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CCFC8">
      <w:pPr>
        <w:rPr>
          <w:rFonts w:hint="eastAsia" w:ascii="黑体" w:hAnsi="黑体" w:eastAsia="黑体" w:cs="宋体"/>
          <w:color w:val="333333"/>
          <w:kern w:val="0"/>
          <w:sz w:val="32"/>
          <w:szCs w:val="32"/>
          <w:lang w:eastAsia="zh-CN"/>
        </w:rPr>
      </w:pPr>
      <w:r>
        <w:rPr>
          <w:rFonts w:hint="eastAsia" w:ascii="黑体" w:hAnsi="黑体" w:eastAsia="黑体" w:cs="宋体"/>
          <w:color w:val="333333"/>
          <w:kern w:val="0"/>
          <w:sz w:val="32"/>
          <w:szCs w:val="32"/>
        </w:rPr>
        <w:t>附件</w:t>
      </w:r>
      <w:r>
        <w:rPr>
          <w:rFonts w:hint="eastAsia" w:ascii="黑体" w:hAnsi="黑体" w:eastAsia="黑体" w:cs="宋体"/>
          <w:color w:val="333333"/>
          <w:kern w:val="0"/>
          <w:sz w:val="32"/>
          <w:szCs w:val="32"/>
          <w:lang w:val="en-US" w:eastAsia="zh-CN"/>
        </w:rPr>
        <w:t>1</w:t>
      </w:r>
    </w:p>
    <w:p w14:paraId="172799AC">
      <w:pPr>
        <w:adjustRightInd w:val="0"/>
        <w:snapToGrid w:val="0"/>
        <w:jc w:val="center"/>
        <w:rPr>
          <w:rFonts w:hint="eastAsia" w:ascii="方正小标宋_GBK" w:hAnsi="宋体" w:eastAsia="方正小标宋_GBK" w:cs="宋体"/>
          <w:spacing w:val="0"/>
          <w:sz w:val="44"/>
          <w:szCs w:val="44"/>
          <w:lang w:bidi="ar"/>
        </w:rPr>
      </w:pPr>
    </w:p>
    <w:p w14:paraId="2487B680">
      <w:pPr>
        <w:adjustRightInd w:val="0"/>
        <w:snapToGrid w:val="0"/>
        <w:jc w:val="center"/>
        <w:rPr>
          <w:rFonts w:hint="eastAsia" w:ascii="方正小标宋_GBK" w:hAnsi="宋体" w:eastAsia="方正小标宋_GBK" w:cs="宋体"/>
          <w:spacing w:val="0"/>
          <w:sz w:val="44"/>
          <w:szCs w:val="44"/>
          <w:lang w:bidi="ar"/>
        </w:rPr>
      </w:pPr>
      <w:r>
        <w:rPr>
          <w:rFonts w:hint="eastAsia" w:ascii="方正小标宋_GBK" w:hAnsi="宋体" w:eastAsia="方正小标宋_GBK" w:cs="宋体"/>
          <w:spacing w:val="0"/>
          <w:sz w:val="44"/>
          <w:szCs w:val="44"/>
          <w:lang w:bidi="ar"/>
        </w:rPr>
        <w:t>关于</w:t>
      </w:r>
      <w:r>
        <w:rPr>
          <w:rFonts w:hint="eastAsia" w:ascii="方正小标宋_GBK" w:hAnsi="宋体" w:eastAsia="方正小标宋_GBK" w:cs="宋体"/>
          <w:spacing w:val="0"/>
          <w:sz w:val="44"/>
          <w:szCs w:val="44"/>
          <w:lang w:eastAsia="zh-CN" w:bidi="ar"/>
        </w:rPr>
        <w:t>健全</w:t>
      </w:r>
      <w:r>
        <w:rPr>
          <w:rFonts w:hint="eastAsia" w:ascii="方正小标宋_GBK" w:hAnsi="宋体" w:eastAsia="方正小标宋_GBK" w:cs="宋体"/>
          <w:spacing w:val="0"/>
          <w:sz w:val="44"/>
          <w:szCs w:val="44"/>
          <w:lang w:bidi="ar"/>
        </w:rPr>
        <w:t>最低生活保障</w:t>
      </w:r>
      <w:r>
        <w:rPr>
          <w:rFonts w:hint="eastAsia" w:ascii="方正小标宋_GBK" w:hAnsi="宋体" w:eastAsia="方正小标宋_GBK" w:cs="宋体"/>
          <w:spacing w:val="0"/>
          <w:sz w:val="44"/>
          <w:szCs w:val="44"/>
          <w:lang w:eastAsia="zh-CN" w:bidi="ar"/>
        </w:rPr>
        <w:t>等</w:t>
      </w:r>
      <w:r>
        <w:rPr>
          <w:rFonts w:hint="default" w:ascii="方正小标宋_GBK" w:hAnsi="宋体" w:eastAsia="方正小标宋_GBK" w:cs="宋体"/>
          <w:spacing w:val="0"/>
          <w:sz w:val="44"/>
          <w:szCs w:val="44"/>
          <w:lang w:bidi="ar"/>
        </w:rPr>
        <w:t>社会救助</w:t>
      </w:r>
      <w:r>
        <w:rPr>
          <w:rFonts w:hint="eastAsia" w:ascii="方正小标宋_GBK" w:hAnsi="宋体" w:eastAsia="方正小标宋_GBK" w:cs="宋体"/>
          <w:spacing w:val="0"/>
          <w:sz w:val="44"/>
          <w:szCs w:val="44"/>
          <w:lang w:bidi="ar"/>
        </w:rPr>
        <w:t>标准</w:t>
      </w:r>
    </w:p>
    <w:p w14:paraId="0D59A673">
      <w:pPr>
        <w:adjustRightInd w:val="0"/>
        <w:snapToGrid w:val="0"/>
        <w:jc w:val="center"/>
        <w:rPr>
          <w:rFonts w:hint="eastAsia" w:ascii="方正小标宋_GBK" w:hAnsi="宋体" w:eastAsia="方正小标宋_GBK" w:cs="宋体"/>
          <w:spacing w:val="0"/>
          <w:sz w:val="44"/>
          <w:szCs w:val="44"/>
          <w:lang w:val="en-US" w:eastAsia="zh-CN" w:bidi="ar"/>
        </w:rPr>
      </w:pPr>
      <w:r>
        <w:rPr>
          <w:rFonts w:hint="eastAsia" w:ascii="方正小标宋_GBK" w:hAnsi="宋体" w:eastAsia="方正小标宋_GBK" w:cs="宋体"/>
          <w:spacing w:val="0"/>
          <w:sz w:val="44"/>
          <w:szCs w:val="44"/>
          <w:lang w:bidi="ar"/>
        </w:rPr>
        <w:t>调整机制的通知</w:t>
      </w:r>
    </w:p>
    <w:p w14:paraId="7B4B3A3D">
      <w:pPr>
        <w:adjustRightInd w:val="0"/>
        <w:snapToGrid w:val="0"/>
        <w:spacing w:line="336"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（征求意见稿）</w:t>
      </w:r>
    </w:p>
    <w:p w14:paraId="46686F3E">
      <w:pPr>
        <w:keepNext w:val="0"/>
        <w:keepLines w:val="0"/>
        <w:pageBreakBefore w:val="0"/>
        <w:widowControl w:val="0"/>
        <w:kinsoku/>
        <w:overflowPunct/>
        <w:topLinePunct w:val="0"/>
        <w:autoSpaceDE/>
        <w:bidi w:val="0"/>
        <w:adjustRightInd/>
        <w:snapToGrid w:val="0"/>
        <w:spacing w:line="346" w:lineRule="auto"/>
        <w:ind w:left="0" w:leftChars="0"/>
        <w:textAlignment w:val="auto"/>
        <w:outlineLvl w:val="9"/>
        <w:rPr>
          <w:rFonts w:hint="eastAsia" w:ascii="仿宋" w:hAnsi="仿宋" w:eastAsia="仿宋" w:cs="仿宋"/>
          <w:sz w:val="32"/>
          <w:szCs w:val="32"/>
          <w:lang w:bidi="ar"/>
        </w:rPr>
      </w:pPr>
    </w:p>
    <w:p w14:paraId="6CC4464B">
      <w:pPr>
        <w:keepNext w:val="0"/>
        <w:keepLines w:val="0"/>
        <w:pageBreakBefore w:val="0"/>
        <w:widowControl w:val="0"/>
        <w:kinsoku/>
        <w:wordWrap/>
        <w:overflowPunct/>
        <w:topLinePunct w:val="0"/>
        <w:autoSpaceDE/>
        <w:bidi w:val="0"/>
        <w:adjustRightInd w:val="0"/>
        <w:snapToGrid w:val="0"/>
        <w:spacing w:line="560" w:lineRule="exact"/>
        <w:ind w:left="0" w:leftChars="0"/>
        <w:textAlignment w:val="auto"/>
        <w:outlineLvl w:val="9"/>
        <w:rPr>
          <w:rFonts w:hint="eastAsia" w:ascii="仿宋" w:hAnsi="仿宋" w:eastAsia="仿宋" w:cs="仿宋"/>
          <w:sz w:val="32"/>
          <w:szCs w:val="32"/>
          <w:lang w:bidi="ar"/>
        </w:rPr>
      </w:pPr>
      <w:bookmarkStart w:id="0" w:name="_GoBack"/>
      <w:r>
        <w:rPr>
          <w:rFonts w:hint="eastAsia" w:ascii="仿宋" w:hAnsi="仿宋" w:eastAsia="仿宋" w:cs="仿宋"/>
          <w:sz w:val="32"/>
          <w:szCs w:val="32"/>
          <w:lang w:bidi="ar"/>
        </w:rPr>
        <w:t>各区、县（市）人民政府，市政府各部门、各直属单位：</w:t>
      </w:r>
    </w:p>
    <w:p w14:paraId="22F59471">
      <w:pPr>
        <w:keepNext w:val="0"/>
        <w:keepLines w:val="0"/>
        <w:pageBreakBefore w:val="0"/>
        <w:widowControl w:val="0"/>
        <w:kinsoku/>
        <w:wordWrap/>
        <w:overflowPunct/>
        <w:topLinePunct w:val="0"/>
        <w:autoSpaceDE/>
        <w:bidi w:val="0"/>
        <w:adjustRightInd w:val="0"/>
        <w:snapToGrid w:val="0"/>
        <w:spacing w:line="560" w:lineRule="exact"/>
        <w:ind w:left="0" w:leftChars="0" w:firstLine="616" w:firstLineChars="200"/>
        <w:textAlignment w:val="auto"/>
        <w:outlineLvl w:val="9"/>
        <w:rPr>
          <w:rFonts w:hint="eastAsia" w:ascii="仿宋" w:hAnsi="仿宋" w:eastAsia="仿宋" w:cs="仿宋"/>
          <w:sz w:val="32"/>
          <w:szCs w:val="32"/>
          <w:lang w:eastAsia="zh-CN" w:bidi="ar"/>
        </w:rPr>
      </w:pPr>
      <w:r>
        <w:rPr>
          <w:rFonts w:hint="eastAsia" w:ascii="仿宋" w:hAnsi="仿宋" w:eastAsia="仿宋" w:cs="仿宋"/>
          <w:color w:val="auto"/>
          <w:sz w:val="32"/>
          <w:szCs w:val="32"/>
          <w:lang w:val="en-US" w:eastAsia="zh-CN"/>
        </w:rPr>
        <w:t>为进一步发挥社会救助制度对基本民生的兜底保障作用，助推共同富裕，根据</w:t>
      </w:r>
      <w:r>
        <w:rPr>
          <w:rFonts w:hint="eastAsia" w:ascii="仿宋" w:hAnsi="仿宋" w:eastAsia="仿宋" w:cs="仿宋"/>
          <w:sz w:val="32"/>
          <w:szCs w:val="32"/>
          <w:lang w:val="en-US" w:eastAsia="zh-CN"/>
        </w:rPr>
        <w:t>《社会救助暂行办法》《浙江省社会救助条例》</w:t>
      </w:r>
      <w:r>
        <w:rPr>
          <w:rFonts w:hint="eastAsia" w:ascii="仿宋" w:hAnsi="仿宋" w:eastAsia="仿宋" w:cs="仿宋"/>
          <w:color w:val="auto"/>
          <w:spacing w:val="0"/>
          <w:sz w:val="32"/>
          <w:szCs w:val="32"/>
          <w:lang w:eastAsia="zh-CN"/>
        </w:rPr>
        <w:t>《浙江省人民政府办公厅关于健全完善特困人员救助供养制度的意见》（浙政办发</w:t>
      </w:r>
      <w:r>
        <w:rPr>
          <w:rFonts w:hint="eastAsia" w:ascii="仿宋" w:hAnsi="仿宋" w:eastAsia="仿宋" w:cs="仿宋"/>
          <w:color w:val="auto"/>
          <w:kern w:val="2"/>
          <w:sz w:val="32"/>
          <w:szCs w:val="32"/>
          <w:lang w:val="en-US" w:eastAsia="zh-CN" w:bidi="ar"/>
        </w:rPr>
        <w:t>〔2021〕58号)、</w:t>
      </w:r>
      <w:r>
        <w:rPr>
          <w:rFonts w:hint="eastAsia" w:ascii="仿宋" w:hAnsi="仿宋" w:eastAsia="仿宋" w:cs="仿宋"/>
          <w:color w:val="auto"/>
          <w:sz w:val="32"/>
          <w:szCs w:val="32"/>
          <w:lang w:val="en-US" w:eastAsia="zh-CN"/>
        </w:rPr>
        <w:t>《浙江省人民政府办公厅关于加快推进普惠型儿童福利体系建设的意见》（浙政办</w:t>
      </w:r>
      <w:r>
        <w:rPr>
          <w:rFonts w:hint="eastAsia" w:ascii="仿宋" w:hAnsi="仿宋" w:eastAsia="仿宋" w:cs="仿宋"/>
          <w:b w:val="0"/>
          <w:bCs w:val="0"/>
          <w:color w:val="auto"/>
          <w:sz w:val="32"/>
          <w:szCs w:val="32"/>
          <w:lang w:val="en-US" w:eastAsia="zh-CN"/>
        </w:rPr>
        <w:t>发</w:t>
      </w:r>
      <w:r>
        <w:rPr>
          <w:rFonts w:hint="eastAsia" w:ascii="仿宋" w:hAnsi="仿宋" w:eastAsia="仿宋" w:cs="仿宋"/>
          <w:color w:val="auto"/>
          <w:sz w:val="32"/>
          <w:szCs w:val="32"/>
          <w:lang w:val="en-US" w:eastAsia="zh-CN"/>
        </w:rPr>
        <w:t>〔2017〕67号）和</w:t>
      </w:r>
      <w:r>
        <w:rPr>
          <w:rFonts w:hint="default" w:ascii="仿宋" w:hAnsi="仿宋" w:eastAsia="仿宋" w:cs="仿宋"/>
          <w:color w:val="auto"/>
          <w:sz w:val="32"/>
          <w:szCs w:val="32"/>
        </w:rPr>
        <w:t>浙江省民政厅</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4部门</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关于做好最低生活保障标准确定调整工作的实施意见</w:t>
      </w:r>
      <w:r>
        <w:rPr>
          <w:rFonts w:hint="eastAsia" w:ascii="仿宋" w:hAnsi="仿宋" w:eastAsia="仿宋" w:cs="仿宋"/>
          <w:color w:val="auto"/>
          <w:spacing w:val="0"/>
          <w:sz w:val="32"/>
          <w:szCs w:val="32"/>
          <w:lang w:eastAsia="zh-CN"/>
        </w:rPr>
        <w:t>》（浙民助</w:t>
      </w:r>
      <w:r>
        <w:rPr>
          <w:rFonts w:hint="eastAsia" w:ascii="仿宋" w:hAnsi="仿宋" w:eastAsia="仿宋" w:cs="仿宋"/>
          <w:color w:val="auto"/>
          <w:kern w:val="2"/>
          <w:sz w:val="32"/>
          <w:szCs w:val="32"/>
          <w:lang w:val="en-US" w:eastAsia="zh-CN" w:bidi="ar"/>
        </w:rPr>
        <w:t>〔2024〕106号</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lang w:eastAsia="zh-CN"/>
        </w:rPr>
        <w:t>）</w:t>
      </w:r>
      <w:r>
        <w:rPr>
          <w:rFonts w:hint="eastAsia" w:ascii="仿宋" w:hAnsi="仿宋" w:eastAsia="仿宋" w:cs="仿宋"/>
          <w:color w:val="auto"/>
          <w:kern w:val="2"/>
          <w:sz w:val="32"/>
          <w:szCs w:val="32"/>
          <w:lang w:val="en-US" w:eastAsia="zh-CN" w:bidi="ar"/>
        </w:rPr>
        <w:t>等文件精神</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bidi="ar"/>
        </w:rPr>
        <w:t>现就我市</w:t>
      </w:r>
      <w:r>
        <w:rPr>
          <w:rFonts w:hint="eastAsia" w:ascii="仿宋" w:hAnsi="仿宋" w:eastAsia="仿宋" w:cs="仿宋"/>
          <w:sz w:val="32"/>
          <w:szCs w:val="32"/>
          <w:lang w:eastAsia="zh-CN" w:bidi="ar"/>
        </w:rPr>
        <w:t>健全</w:t>
      </w:r>
      <w:r>
        <w:rPr>
          <w:rFonts w:hint="eastAsia" w:ascii="仿宋" w:hAnsi="仿宋" w:eastAsia="仿宋" w:cs="仿宋"/>
          <w:sz w:val="32"/>
          <w:szCs w:val="32"/>
          <w:lang w:bidi="ar"/>
        </w:rPr>
        <w:t>最低生活保障</w:t>
      </w:r>
      <w:r>
        <w:rPr>
          <w:rFonts w:hint="eastAsia" w:ascii="仿宋" w:hAnsi="仿宋" w:eastAsia="仿宋" w:cs="仿宋"/>
          <w:sz w:val="32"/>
          <w:szCs w:val="32"/>
          <w:lang w:eastAsia="zh-CN" w:bidi="ar"/>
        </w:rPr>
        <w:t>等社会救助标准调整机制</w:t>
      </w:r>
      <w:r>
        <w:rPr>
          <w:rFonts w:hint="eastAsia" w:ascii="仿宋" w:hAnsi="仿宋" w:eastAsia="仿宋" w:cs="仿宋"/>
          <w:sz w:val="32"/>
          <w:szCs w:val="32"/>
          <w:lang w:bidi="ar"/>
        </w:rPr>
        <w:t>有关事项通知如下</w:t>
      </w:r>
      <w:r>
        <w:rPr>
          <w:rFonts w:hint="eastAsia" w:ascii="仿宋" w:hAnsi="仿宋" w:eastAsia="仿宋" w:cs="仿宋"/>
          <w:sz w:val="32"/>
          <w:szCs w:val="32"/>
          <w:lang w:eastAsia="zh-CN" w:bidi="ar"/>
        </w:rPr>
        <w:t>：</w:t>
      </w:r>
    </w:p>
    <w:p w14:paraId="2DEE28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bidi="ar"/>
        </w:rPr>
        <w:t>一、</w:t>
      </w:r>
      <w:r>
        <w:rPr>
          <w:rFonts w:hint="eastAsia" w:ascii="黑体" w:hAnsi="黑体" w:eastAsia="黑体" w:cs="黑体"/>
          <w:sz w:val="32"/>
          <w:szCs w:val="32"/>
          <w:lang w:val="en-US" w:eastAsia="zh-CN"/>
        </w:rPr>
        <w:t>完善最低生活保障等社会救助标准</w:t>
      </w:r>
      <w:r>
        <w:rPr>
          <w:rFonts w:hint="eastAsia" w:ascii="黑体" w:hAnsi="黑体" w:eastAsia="黑体" w:cs="黑体"/>
          <w:sz w:val="32"/>
          <w:szCs w:val="32"/>
          <w:lang w:eastAsia="zh-CN"/>
        </w:rPr>
        <w:t>调整机制</w:t>
      </w:r>
    </w:p>
    <w:p w14:paraId="79315DBA">
      <w:pPr>
        <w:pStyle w:val="2"/>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最低生活保障标准根据全省上年度全体居民人均消费支出确定，计算公式为：最低生活保障标准=全省上年度全体居民人均消费支出</w:t>
      </w:r>
      <w:r>
        <w:rPr>
          <w:rFonts w:hint="eastAsia" w:ascii="汉仪细圆B5" w:hAnsi="汉仪细圆B5" w:eastAsia="汉仪细圆B5" w:cs="汉仪细圆B5"/>
          <w:color w:val="auto"/>
          <w:spacing w:val="0"/>
          <w:kern w:val="2"/>
          <w:sz w:val="32"/>
          <w:szCs w:val="32"/>
          <w:lang w:val="en-US" w:eastAsia="zh-CN" w:bidi="ar-SA"/>
        </w:rPr>
        <w:t>×</w:t>
      </w:r>
      <w:r>
        <w:rPr>
          <w:rFonts w:hint="eastAsia" w:ascii="仿宋" w:hAnsi="仿宋" w:eastAsia="仿宋" w:cs="仿宋"/>
          <w:color w:val="auto"/>
          <w:spacing w:val="0"/>
          <w:kern w:val="2"/>
          <w:sz w:val="32"/>
          <w:szCs w:val="32"/>
          <w:lang w:val="en-US" w:eastAsia="zh-CN" w:bidi="ar-SA"/>
        </w:rPr>
        <w:t>量化比例。量化比例根据省民政厅、省财政厅指导意见结合我市经济社会发展水平、居民基本生活费用支出、人均可支配收入、财政可承受能力等因素在30%-40%的区间内确定。</w:t>
      </w:r>
    </w:p>
    <w:p w14:paraId="5DF36845">
      <w:pPr>
        <w:pStyle w:val="2"/>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特困人员基本生活标准按不低于全市上年城镇常住居民人均消费支出的50%确定。</w:t>
      </w:r>
    </w:p>
    <w:p w14:paraId="42C0D6A0">
      <w:pPr>
        <w:pStyle w:val="2"/>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儿童福利机构养育的孤儿年基本生活最低养育标准按不低于全市上年度城镇常住居民人均消费支出的70%确定。社会散居孤儿（艾滋病病毒感染儿童）年基本生活最低养育标准按不低于儿童福利机构孤儿养育标准的80%确定。事实无人抚养儿童以及低保、低保边缘家庭中的</w:t>
      </w:r>
      <w:r>
        <w:rPr>
          <w:rFonts w:hint="eastAsia" w:ascii="仿宋" w:hAnsi="仿宋" w:eastAsia="仿宋" w:cs="仿宋"/>
          <w:color w:val="auto"/>
          <w:spacing w:val="0"/>
          <w:sz w:val="32"/>
          <w:szCs w:val="32"/>
          <w:highlight w:val="none"/>
          <w:lang w:val="en-US" w:eastAsia="zh-CN"/>
        </w:rPr>
        <w:t>重残、患重病、患罕见病、三级四级精神（智力）残疾儿童</w:t>
      </w:r>
      <w:r>
        <w:rPr>
          <w:rFonts w:hint="eastAsia" w:ascii="仿宋" w:hAnsi="仿宋" w:eastAsia="仿宋" w:cs="仿宋"/>
          <w:color w:val="auto"/>
          <w:spacing w:val="0"/>
          <w:kern w:val="2"/>
          <w:sz w:val="32"/>
          <w:szCs w:val="32"/>
          <w:lang w:val="en-US" w:eastAsia="zh-CN" w:bidi="ar-SA"/>
        </w:rPr>
        <w:t>参照社会散居孤儿基本生活费标准补差发放。低保、低保边缘家庭中其他困境儿童分别按照低保标准和社会散居孤儿养育标准差额的50%、30%发放生活补贴。</w:t>
      </w:r>
    </w:p>
    <w:p w14:paraId="67DDCA4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default"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最低生活保障标准由市民政局、市财政局提出调整方案，在征求省级民政、财政部门和区、县（市）人民政府意见后，报经市政府同意后及时调整并向社会公布。原则上5月份公布，6月起实施。特困人员基本生活标准及孤儿、困境儿童生活补贴标准由市民政局、市财政局拟定，报市政府批准执行。</w:t>
      </w:r>
    </w:p>
    <w:p w14:paraId="43C1A4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default"/>
        </w:rPr>
      </w:pPr>
      <w:r>
        <w:rPr>
          <w:rFonts w:hint="eastAsia" w:ascii="黑体" w:hAnsi="黑体" w:eastAsia="黑体" w:cs="黑体"/>
          <w:sz w:val="32"/>
          <w:szCs w:val="32"/>
          <w:lang w:val="en-US" w:eastAsia="zh-CN"/>
        </w:rPr>
        <w:t>二、完善</w:t>
      </w:r>
      <w:r>
        <w:rPr>
          <w:rFonts w:hint="default" w:ascii="黑体" w:hAnsi="黑体" w:eastAsia="黑体" w:cs="黑体"/>
          <w:sz w:val="32"/>
          <w:szCs w:val="32"/>
          <w:lang w:val="en-US" w:eastAsia="zh-CN"/>
        </w:rPr>
        <w:t>最</w:t>
      </w:r>
      <w:r>
        <w:rPr>
          <w:rFonts w:hint="eastAsia" w:ascii="黑体" w:hAnsi="黑体" w:eastAsia="黑体" w:cs="黑体"/>
          <w:sz w:val="32"/>
          <w:szCs w:val="32"/>
          <w:lang w:val="en-US" w:eastAsia="zh-CN"/>
        </w:rPr>
        <w:t>低生活保障边缘家庭认定标准、定期生活补助和基本生活价格补贴</w:t>
      </w:r>
      <w:r>
        <w:rPr>
          <w:rFonts w:hint="default" w:ascii="黑体" w:hAnsi="黑体" w:eastAsia="黑体" w:cs="黑体"/>
          <w:sz w:val="32"/>
          <w:szCs w:val="32"/>
          <w:lang w:val="en-US" w:eastAsia="zh-CN"/>
        </w:rPr>
        <w:t>标准</w:t>
      </w:r>
    </w:p>
    <w:p w14:paraId="5F62F29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最低生活保障边缘家庭认定标准为扣除刚性支出后，未纳入最低生活保障范围，家庭人均月收入在低保标准2倍（含）以下（最高不超过当地执行的月最低工资标准），且家庭财产状况符合相关规定的本地户籍家庭。最低生活保障边缘对象定期生活补助标准按照每人每月74元发放，基本生活价格补贴标准按照</w:t>
      </w:r>
      <w:r>
        <w:rPr>
          <w:rFonts w:hint="eastAsia" w:ascii="仿宋" w:hAnsi="仿宋" w:eastAsia="仿宋" w:cs="仿宋"/>
          <w:sz w:val="32"/>
          <w:szCs w:val="32"/>
          <w:lang w:val="en-US" w:eastAsia="zh-CN"/>
        </w:rPr>
        <w:t>最低生活保障对象生活价格补贴75％的标准发放。</w:t>
      </w:r>
    </w:p>
    <w:p w14:paraId="222C5E8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三、资金渠道</w:t>
      </w:r>
    </w:p>
    <w:p w14:paraId="1A2249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最低生活保障等社会救助所需资金，按原渠道列支。具体是：</w:t>
      </w:r>
    </w:p>
    <w:p w14:paraId="3E4FA2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lang w:val="en-US" w:eastAsia="zh-CN"/>
        </w:rPr>
        <w:t>最低生活保障、最低生活保障边缘家庭定期生活补助以及孤儿、困境儿童生</w:t>
      </w:r>
      <w:r>
        <w:rPr>
          <w:rFonts w:hint="eastAsia" w:ascii="仿宋" w:hAnsi="仿宋" w:eastAsia="仿宋" w:cs="仿宋"/>
          <w:color w:val="auto"/>
          <w:sz w:val="32"/>
          <w:szCs w:val="32"/>
          <w:lang w:val="en-US" w:eastAsia="zh-CN"/>
        </w:rPr>
        <w:t>活补贴各区所需资金，由市、区两级财政各承担50%；桐庐县、淳安县、建德市由当地财政自行承担。</w:t>
      </w:r>
    </w:p>
    <w:p w14:paraId="0C5314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lang w:val="en-US" w:eastAsia="zh-CN"/>
        </w:rPr>
        <w:t>最低生活保障、最低生活保障边缘家庭基本生活价格补贴所需资金，上城</w:t>
      </w:r>
      <w:r>
        <w:rPr>
          <w:rFonts w:hint="eastAsia" w:ascii="仿宋" w:hAnsi="仿宋" w:eastAsia="仿宋" w:cs="仿宋"/>
          <w:color w:val="000000"/>
          <w:sz w:val="32"/>
          <w:szCs w:val="32"/>
          <w:lang w:val="en-US" w:eastAsia="zh-CN"/>
        </w:rPr>
        <w:t>区、拱墅区、西湖区、滨江区、钱塘区、西湖风景名胜区由市、区两级财政各承担50%；其他区、县（市）由当地财政自行承担。</w:t>
      </w:r>
    </w:p>
    <w:p w14:paraId="45C5B7D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特困人员基本生活保障所需资金由当地财政自行承担。</w:t>
      </w:r>
    </w:p>
    <w:p w14:paraId="03A29F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四、执行时间</w:t>
      </w:r>
    </w:p>
    <w:p w14:paraId="25EEAA2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本通知自2024年  月  日起施行（2024年6月1日至2024年  月  日最低生活保障等社会救助标准按本通知的调整机制执行），前发《杭州市人民政府关于改革最低生活保障标准调整机制的通知》（杭政函〔2017〕192号）同时废止。</w:t>
      </w:r>
    </w:p>
    <w:p w14:paraId="37BE067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仿宋" w:hAnsi="仿宋" w:eastAsia="仿宋" w:cs="仿宋"/>
          <w:color w:val="000000"/>
          <w:sz w:val="32"/>
          <w:szCs w:val="32"/>
          <w:lang w:val="en-US" w:eastAsia="zh-CN"/>
        </w:rPr>
      </w:pPr>
    </w:p>
    <w:p w14:paraId="61AC831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eastAsia" w:ascii="仿宋" w:hAnsi="仿宋" w:eastAsia="仿宋" w:cs="仿宋"/>
          <w:color w:val="000000"/>
          <w:sz w:val="32"/>
          <w:szCs w:val="32"/>
          <w:lang w:val="en-US" w:eastAsia="zh-CN"/>
        </w:rPr>
      </w:pPr>
    </w:p>
    <w:p w14:paraId="16DF1C97">
      <w:pPr>
        <w:keepNext w:val="0"/>
        <w:keepLines w:val="0"/>
        <w:pageBreakBefore w:val="0"/>
        <w:widowControl w:val="0"/>
        <w:kinsoku/>
        <w:wordWrap/>
        <w:overflowPunct/>
        <w:topLinePunct w:val="0"/>
        <w:autoSpaceDE/>
        <w:bidi w:val="0"/>
        <w:adjustRightInd w:val="0"/>
        <w:snapToGrid w:val="0"/>
        <w:spacing w:line="560" w:lineRule="exact"/>
        <w:ind w:left="0" w:leftChars="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杭州市人民政府        </w:t>
      </w:r>
    </w:p>
    <w:p w14:paraId="4F9FE2B1">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黑体" w:hAnsi="黑体" w:eastAsia="黑体" w:cs="宋体"/>
          <w:color w:val="333333"/>
          <w:kern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p>
    <w:p w14:paraId="2DBD96AB">
      <w:pPr>
        <w:keepNext w:val="0"/>
        <w:keepLines w:val="0"/>
        <w:pageBreakBefore w:val="0"/>
        <w:widowControl w:val="0"/>
        <w:kinsoku/>
        <w:wordWrap/>
        <w:overflowPunct/>
        <w:topLinePunct w:val="0"/>
        <w:bidi w:val="0"/>
        <w:adjustRightInd w:val="0"/>
        <w:snapToGrid w:val="0"/>
        <w:spacing w:line="560" w:lineRule="exact"/>
        <w:textAlignment w:val="auto"/>
      </w:pPr>
    </w:p>
    <w:bookmarkEnd w:id="0"/>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18766F-73C3-4749-90AF-6FA4F72AD9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CF3404-F2E4-44A1-B108-896DB564EF7A}"/>
  </w:font>
  <w:font w:name="仿宋_GB2312">
    <w:panose1 w:val="02010609030101010101"/>
    <w:charset w:val="86"/>
    <w:family w:val="auto"/>
    <w:pitch w:val="default"/>
    <w:sig w:usb0="00000001" w:usb1="080E0000" w:usb2="00000000" w:usb3="00000000" w:csb0="00040000" w:csb1="00000000"/>
    <w:embedRegular r:id="rId3" w:fontKey="{84F25296-CD02-46D6-87C7-B02C5082C3F8}"/>
  </w:font>
  <w:font w:name="仿宋">
    <w:panose1 w:val="02010609060101010101"/>
    <w:charset w:val="86"/>
    <w:family w:val="auto"/>
    <w:pitch w:val="default"/>
    <w:sig w:usb0="800002BF" w:usb1="38CF7CFA" w:usb2="00000016" w:usb3="00000000" w:csb0="00040001" w:csb1="00000000"/>
    <w:embedRegular r:id="rId4" w:fontKey="{54676AC6-83EA-4472-B16C-A6F7C4A415C1}"/>
  </w:font>
  <w:font w:name="方正小标宋_GBK">
    <w:panose1 w:val="02000000000000000000"/>
    <w:charset w:val="86"/>
    <w:family w:val="script"/>
    <w:pitch w:val="default"/>
    <w:sig w:usb0="A00002BF" w:usb1="38CF7CFA" w:usb2="00082016" w:usb3="00000000" w:csb0="00040001" w:csb1="00000000"/>
    <w:embedRegular r:id="rId5" w:fontKey="{8195D7D3-25D3-4552-AEF4-754DAB4531D4}"/>
  </w:font>
  <w:font w:name="汉仪细圆B5">
    <w:altName w:val="Microsoft JhengHei UI"/>
    <w:panose1 w:val="02010600000101010101"/>
    <w:charset w:val="88"/>
    <w:family w:val="auto"/>
    <w:pitch w:val="default"/>
    <w:sig w:usb0="00000000" w:usb1="00000000" w:usb2="00000002" w:usb3="00000000" w:csb0="00100000" w:csb1="00000000"/>
    <w:embedRegular r:id="rId6" w:fontKey="{4F2CA4DD-DA15-4213-BAC3-C9B2CE356567}"/>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07777">
    <w:pPr>
      <w:pStyle w:val="4"/>
      <w:tabs>
        <w:tab w:val="left" w:pos="6624"/>
        <w:tab w:val="clear" w:pos="8306"/>
      </w:tabs>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BBDE87">
                          <w:pPr>
                            <w:pStyle w:val="4"/>
                            <w:rPr>
                              <w:rFonts w:hint="eastAsia" w:ascii="Times New Roman" w:hAnsi="Times New Roman" w:eastAsia="仿宋_GB2312" w:cs="仿宋"/>
                              <w:sz w:val="28"/>
                              <w:szCs w:val="28"/>
                              <w:lang w:eastAsia="zh-CN"/>
                            </w:rPr>
                          </w:pPr>
                          <w:r>
                            <w:rPr>
                              <w:rFonts w:hint="eastAsia" w:ascii="Times New Roman" w:hAnsi="Times New Roman" w:eastAsia="仿宋_GB2312" w:cs="仿宋"/>
                              <w:sz w:val="28"/>
                              <w:szCs w:val="28"/>
                              <w:lang w:eastAsia="zh-CN"/>
                            </w:rPr>
                            <w:t xml:space="preserve">— </w:t>
                          </w:r>
                          <w:r>
                            <w:rPr>
                              <w:rFonts w:hint="eastAsia" w:ascii="Times New Roman" w:hAnsi="Times New Roman" w:eastAsia="仿宋_GB2312" w:cs="仿宋"/>
                              <w:sz w:val="28"/>
                              <w:szCs w:val="28"/>
                              <w:lang w:eastAsia="zh-CN"/>
                            </w:rPr>
                            <w:fldChar w:fldCharType="begin"/>
                          </w:r>
                          <w:r>
                            <w:rPr>
                              <w:rFonts w:hint="eastAsia" w:ascii="Times New Roman" w:hAnsi="Times New Roman" w:eastAsia="仿宋_GB2312" w:cs="仿宋"/>
                              <w:sz w:val="28"/>
                              <w:szCs w:val="28"/>
                              <w:lang w:eastAsia="zh-CN"/>
                            </w:rPr>
                            <w:instrText xml:space="preserve"> PAGE  \* MERGEFORMAT </w:instrText>
                          </w:r>
                          <w:r>
                            <w:rPr>
                              <w:rFonts w:hint="eastAsia" w:ascii="Times New Roman" w:hAnsi="Times New Roman" w:eastAsia="仿宋_GB2312" w:cs="仿宋"/>
                              <w:sz w:val="28"/>
                              <w:szCs w:val="28"/>
                              <w:lang w:eastAsia="zh-CN"/>
                            </w:rPr>
                            <w:fldChar w:fldCharType="separate"/>
                          </w:r>
                          <w:r>
                            <w:rPr>
                              <w:rFonts w:hint="eastAsia" w:ascii="Times New Roman" w:hAnsi="Times New Roman" w:eastAsia="仿宋_GB2312" w:cs="仿宋"/>
                              <w:sz w:val="28"/>
                              <w:szCs w:val="28"/>
                              <w:lang w:eastAsia="zh-CN"/>
                            </w:rPr>
                            <w:t>1</w:t>
                          </w:r>
                          <w:r>
                            <w:rPr>
                              <w:rFonts w:hint="eastAsia" w:ascii="Times New Roman" w:hAnsi="Times New Roman" w:eastAsia="仿宋_GB2312" w:cs="仿宋"/>
                              <w:sz w:val="28"/>
                              <w:szCs w:val="28"/>
                              <w:lang w:eastAsia="zh-CN"/>
                            </w:rPr>
                            <w:fldChar w:fldCharType="end"/>
                          </w:r>
                          <w:r>
                            <w:rPr>
                              <w:rFonts w:hint="eastAsia" w:ascii="Times New Roman" w:hAnsi="Times New Roman" w:eastAsia="仿宋_GB2312" w:cs="仿宋"/>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BBDE87">
                    <w:pPr>
                      <w:pStyle w:val="4"/>
                      <w:rPr>
                        <w:rFonts w:hint="eastAsia" w:ascii="Times New Roman" w:hAnsi="Times New Roman" w:eastAsia="仿宋_GB2312" w:cs="仿宋"/>
                        <w:sz w:val="28"/>
                        <w:szCs w:val="28"/>
                        <w:lang w:eastAsia="zh-CN"/>
                      </w:rPr>
                    </w:pPr>
                    <w:r>
                      <w:rPr>
                        <w:rFonts w:hint="eastAsia" w:ascii="Times New Roman" w:hAnsi="Times New Roman" w:eastAsia="仿宋_GB2312" w:cs="仿宋"/>
                        <w:sz w:val="28"/>
                        <w:szCs w:val="28"/>
                        <w:lang w:eastAsia="zh-CN"/>
                      </w:rPr>
                      <w:t xml:space="preserve">— </w:t>
                    </w:r>
                    <w:r>
                      <w:rPr>
                        <w:rFonts w:hint="eastAsia" w:ascii="Times New Roman" w:hAnsi="Times New Roman" w:eastAsia="仿宋_GB2312" w:cs="仿宋"/>
                        <w:sz w:val="28"/>
                        <w:szCs w:val="28"/>
                        <w:lang w:eastAsia="zh-CN"/>
                      </w:rPr>
                      <w:fldChar w:fldCharType="begin"/>
                    </w:r>
                    <w:r>
                      <w:rPr>
                        <w:rFonts w:hint="eastAsia" w:ascii="Times New Roman" w:hAnsi="Times New Roman" w:eastAsia="仿宋_GB2312" w:cs="仿宋"/>
                        <w:sz w:val="28"/>
                        <w:szCs w:val="28"/>
                        <w:lang w:eastAsia="zh-CN"/>
                      </w:rPr>
                      <w:instrText xml:space="preserve"> PAGE  \* MERGEFORMAT </w:instrText>
                    </w:r>
                    <w:r>
                      <w:rPr>
                        <w:rFonts w:hint="eastAsia" w:ascii="Times New Roman" w:hAnsi="Times New Roman" w:eastAsia="仿宋_GB2312" w:cs="仿宋"/>
                        <w:sz w:val="28"/>
                        <w:szCs w:val="28"/>
                        <w:lang w:eastAsia="zh-CN"/>
                      </w:rPr>
                      <w:fldChar w:fldCharType="separate"/>
                    </w:r>
                    <w:r>
                      <w:rPr>
                        <w:rFonts w:hint="eastAsia" w:ascii="Times New Roman" w:hAnsi="Times New Roman" w:eastAsia="仿宋_GB2312" w:cs="仿宋"/>
                        <w:sz w:val="28"/>
                        <w:szCs w:val="28"/>
                        <w:lang w:eastAsia="zh-CN"/>
                      </w:rPr>
                      <w:t>1</w:t>
                    </w:r>
                    <w:r>
                      <w:rPr>
                        <w:rFonts w:hint="eastAsia" w:ascii="Times New Roman" w:hAnsi="Times New Roman" w:eastAsia="仿宋_GB2312" w:cs="仿宋"/>
                        <w:sz w:val="28"/>
                        <w:szCs w:val="28"/>
                        <w:lang w:eastAsia="zh-CN"/>
                      </w:rPr>
                      <w:fldChar w:fldCharType="end"/>
                    </w:r>
                    <w:r>
                      <w:rPr>
                        <w:rFonts w:hint="eastAsia" w:ascii="Times New Roman" w:hAnsi="Times New Roman" w:eastAsia="仿宋_GB2312" w:cs="仿宋"/>
                        <w:sz w:val="28"/>
                        <w:szCs w:val="28"/>
                        <w:lang w:eastAsia="zh-CN"/>
                      </w:rPr>
                      <w:t xml:space="preserve"> —</w:t>
                    </w:r>
                  </w:p>
                </w:txbxContent>
              </v:textbox>
            </v:shape>
          </w:pict>
        </mc:Fallback>
      </mc:AlternateContent>
    </w:r>
    <w:r>
      <w:rPr>
        <w:rFonts w:hint="eastAsia" w:ascii="Times New Roman" w:hAnsi="Times New Roman"/>
        <w:sz w:val="28"/>
        <w:szCs w:val="28"/>
        <w:lang w:eastAsia="zh-CN"/>
      </w:rPr>
      <w:tab/>
    </w:r>
    <w:r>
      <w:rPr>
        <w:rFonts w:hint="eastAsia" w:ascii="Times New Roman" w:hAnsi="Times New Roman"/>
        <w:sz w:val="28"/>
        <w:szCs w:val="28"/>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4EF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2NhZDQwNzRmZDU3NzlkN2MxNzlmZjVmN2I5NmMifQ=="/>
  </w:docVars>
  <w:rsids>
    <w:rsidRoot w:val="632D635B"/>
    <w:rsid w:val="08D95292"/>
    <w:rsid w:val="632D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napToGrid/>
      <w:spacing w:line="360" w:lineRule="atLeast"/>
      <w:ind w:firstLine="0"/>
    </w:pPr>
    <w:rPr>
      <w:rFonts w:ascii="仿宋_GB2312"/>
      <w:color w:val="FF0000"/>
      <w:sz w:val="28"/>
    </w:rPr>
  </w:style>
  <w:style w:type="paragraph" w:styleId="3">
    <w:name w:val="Body Text First Indent"/>
    <w:basedOn w:val="2"/>
    <w:next w:val="1"/>
    <w:unhideWhenUsed/>
    <w:qFormat/>
    <w:uiPriority w:val="99"/>
    <w:pPr>
      <w:ind w:firstLine="420" w:firstLineChars="100"/>
    </w:pPr>
  </w:style>
  <w:style w:type="paragraph" w:styleId="4">
    <w:name w:val="footer"/>
    <w:basedOn w:val="1"/>
    <w:next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2024-10-09T02:35:00Z</dcterms:created>
  <dc:creator>耿玲</dc:creator>
  <cp:lastModifiedBy>耿玲</cp:lastModifiedBy>
  <dcterms:modified xsi:type="dcterms:W3CDTF">2024-10-09T02:37:22Z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5693FF9A1C8D4C54AE302EFE69538602_11</vt:lpwstr>
  </property>
</Properties>
</file>