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540" w:lineRule="exact"/>
        <w:jc w:val="center"/>
        <w:rPr>
          <w:rFonts w:ascii="方正小标宋简体" w:eastAsia="方正小标宋简体"/>
          <w:sz w:val="36"/>
          <w:szCs w:val="40"/>
        </w:rPr>
      </w:pPr>
      <w:r>
        <w:rPr>
          <w:rFonts w:hint="eastAsia" w:ascii="方正小标宋简体" w:eastAsia="方正小标宋简体"/>
          <w:sz w:val="36"/>
          <w:szCs w:val="40"/>
        </w:rPr>
        <w:t>关于《关于东部湾新城打造可再生能源区域集中供能</w:t>
      </w:r>
    </w:p>
    <w:p>
      <w:pPr>
        <w:spacing w:after="0" w:line="540" w:lineRule="exact"/>
        <w:jc w:val="center"/>
        <w:rPr>
          <w:rFonts w:ascii="方正小标宋简体" w:eastAsia="方正小标宋简体"/>
          <w:sz w:val="36"/>
          <w:szCs w:val="40"/>
        </w:rPr>
      </w:pPr>
      <w:r>
        <w:rPr>
          <w:rFonts w:hint="eastAsia" w:ascii="方正小标宋简体" w:eastAsia="方正小标宋简体"/>
          <w:sz w:val="36"/>
          <w:szCs w:val="40"/>
        </w:rPr>
        <w:t>示范区实施意见</w:t>
      </w:r>
      <w:r>
        <w:rPr>
          <w:rFonts w:hint="eastAsia" w:ascii="方正小标宋简体" w:eastAsia="方正小标宋简体"/>
          <w:sz w:val="36"/>
          <w:szCs w:val="40"/>
          <w:lang w:eastAsia="zh-CN"/>
        </w:rPr>
        <w:t>（征求意见稿）</w:t>
      </w:r>
      <w:r>
        <w:rPr>
          <w:rFonts w:hint="eastAsia" w:ascii="方正小标宋简体" w:eastAsia="方正小标宋简体"/>
          <w:sz w:val="36"/>
          <w:szCs w:val="40"/>
        </w:rPr>
        <w:t>》</w:t>
      </w:r>
      <w:r>
        <w:rPr>
          <w:rFonts w:hint="eastAsia" w:ascii="方正小标宋简体" w:eastAsia="方正小标宋简体"/>
          <w:sz w:val="36"/>
          <w:szCs w:val="40"/>
          <w:lang w:eastAsia="zh-CN"/>
        </w:rPr>
        <w:t>的</w:t>
      </w:r>
      <w:r>
        <w:rPr>
          <w:rFonts w:hint="eastAsia" w:ascii="方正小标宋简体" w:eastAsia="方正小标宋简体"/>
          <w:sz w:val="36"/>
          <w:szCs w:val="40"/>
        </w:rPr>
        <w:t>起草说明</w:t>
      </w:r>
    </w:p>
    <w:p>
      <w:pPr>
        <w:spacing w:after="0" w:line="540" w:lineRule="exact"/>
        <w:jc w:val="center"/>
        <w:rPr>
          <w:rFonts w:ascii="方正小标宋简体" w:eastAsia="方正小标宋简体"/>
          <w:sz w:val="36"/>
          <w:szCs w:val="40"/>
        </w:rPr>
      </w:pPr>
    </w:p>
    <w:p>
      <w:pPr>
        <w:spacing w:after="0" w:line="540" w:lineRule="exact"/>
        <w:ind w:firstLine="640" w:firstLineChars="200"/>
        <w:rPr>
          <w:rFonts w:hint="eastAsia" w:ascii="仿宋_GB2312" w:eastAsia="仿宋_GB2312"/>
          <w:sz w:val="32"/>
          <w:szCs w:val="32"/>
        </w:rPr>
      </w:pPr>
      <w:r>
        <w:rPr>
          <w:rFonts w:hint="eastAsia" w:ascii="仿宋_GB2312" w:eastAsia="仿宋_GB2312"/>
          <w:sz w:val="32"/>
          <w:szCs w:val="32"/>
        </w:rPr>
        <w:t>为贯彻落实市、区两级工作部署，更好的支撑东部湾新城可再生能源区域集中供能项目的有序建设，区发改局会同区产业集团起草了《关于东部湾新城打造可再生能源区域集中供能示范区实施意见》。</w:t>
      </w:r>
    </w:p>
    <w:p>
      <w:pPr>
        <w:pStyle w:val="30"/>
        <w:numPr>
          <w:ilvl w:val="0"/>
          <w:numId w:val="1"/>
        </w:numPr>
        <w:tabs>
          <w:tab w:val="left" w:pos="1418"/>
        </w:tabs>
        <w:spacing w:after="0" w:line="540" w:lineRule="exact"/>
        <w:rPr>
          <w:rFonts w:hint="eastAsia" w:ascii="黑体" w:hAnsi="黑体" w:eastAsia="黑体"/>
          <w:sz w:val="32"/>
          <w:szCs w:val="32"/>
          <w:lang w:eastAsia="zh-CN"/>
        </w:rPr>
      </w:pPr>
      <w:r>
        <w:rPr>
          <w:rFonts w:hint="eastAsia" w:ascii="黑体" w:hAnsi="黑体" w:eastAsia="黑体"/>
          <w:sz w:val="32"/>
          <w:szCs w:val="32"/>
          <w:lang w:eastAsia="zh-CN"/>
        </w:rPr>
        <w:t>起草依据</w:t>
      </w:r>
    </w:p>
    <w:p>
      <w:pPr>
        <w:numPr>
          <w:ilvl w:val="0"/>
          <w:numId w:val="0"/>
        </w:numPr>
        <w:spacing w:after="0" w:line="54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《2</w:t>
      </w:r>
      <w:r>
        <w:rPr>
          <w:rFonts w:ascii="仿宋_GB2312" w:eastAsia="仿宋_GB2312"/>
          <w:sz w:val="32"/>
          <w:szCs w:val="32"/>
        </w:rPr>
        <w:t>023年区政府工作报告</w:t>
      </w:r>
      <w:r>
        <w:rPr>
          <w:rFonts w:hint="eastAsia" w:ascii="仿宋_GB2312" w:eastAsia="仿宋_GB2312"/>
          <w:sz w:val="32"/>
          <w:szCs w:val="32"/>
        </w:rPr>
        <w:t>重点工作任务》“加快绿色低碳发展”中提出“全域推广可再生能源集中供能，重点推进‘两城’范围集中冷暖供应示范项目”；</w:t>
      </w:r>
      <w:r>
        <w:rPr>
          <w:rFonts w:ascii="仿宋_GB2312" w:eastAsia="仿宋_GB2312"/>
          <w:sz w:val="32"/>
          <w:szCs w:val="32"/>
        </w:rPr>
        <w:t>杭州市人民政府于2024年5月21日印发的《国家碳达峰试点（杭州）实施方案》，其中，重大改革（制度）清单的“推动区域绿色低碳基础设施建设政策创新”中明确“推动钱塘区制定出台东部湾新城打造可再生能源区域集中供能示范区的实施意见”，十大标志性工程清单的“新型供能园区建设工程”将东部湾新城集中供能列为试点项目之一。</w:t>
      </w:r>
    </w:p>
    <w:p>
      <w:pPr>
        <w:pStyle w:val="30"/>
        <w:numPr>
          <w:ilvl w:val="0"/>
          <w:numId w:val="1"/>
        </w:numPr>
        <w:tabs>
          <w:tab w:val="left" w:pos="1418"/>
        </w:tabs>
        <w:spacing w:after="0" w:line="540" w:lineRule="exact"/>
        <w:rPr>
          <w:rFonts w:ascii="黑体" w:hAnsi="黑体" w:eastAsia="黑体"/>
          <w:sz w:val="32"/>
          <w:szCs w:val="32"/>
        </w:rPr>
      </w:pPr>
      <w:r>
        <w:rPr>
          <w:rFonts w:hint="eastAsia" w:ascii="黑体" w:hAnsi="黑体" w:eastAsia="黑体"/>
          <w:sz w:val="32"/>
          <w:szCs w:val="32"/>
        </w:rPr>
        <w:t>起草过程</w:t>
      </w:r>
    </w:p>
    <w:p>
      <w:pPr>
        <w:spacing w:after="0" w:line="540" w:lineRule="exact"/>
        <w:ind w:firstLine="640" w:firstLineChars="200"/>
        <w:jc w:val="both"/>
        <w:rPr>
          <w:rFonts w:ascii="仿宋_GB2312" w:eastAsia="仿宋_GB2312"/>
          <w:sz w:val="32"/>
          <w:szCs w:val="32"/>
        </w:rPr>
      </w:pPr>
      <w:r>
        <w:rPr>
          <w:rFonts w:hint="eastAsia" w:ascii="仿宋_GB2312" w:eastAsia="仿宋_GB2312"/>
          <w:sz w:val="32"/>
          <w:szCs w:val="32"/>
        </w:rPr>
        <w:t>《关于东部湾新城打造钱塘可再生能源区域集中供能示范区实施意见》于2</w:t>
      </w:r>
      <w:r>
        <w:rPr>
          <w:rFonts w:ascii="仿宋_GB2312" w:eastAsia="仿宋_GB2312"/>
          <w:sz w:val="32"/>
          <w:szCs w:val="32"/>
        </w:rPr>
        <w:t>024年年初</w:t>
      </w:r>
      <w:r>
        <w:rPr>
          <w:rFonts w:hint="eastAsia" w:ascii="仿宋_GB2312" w:eastAsia="仿宋_GB2312"/>
          <w:sz w:val="32"/>
          <w:szCs w:val="32"/>
        </w:rPr>
        <w:t>完成起草后，于</w:t>
      </w:r>
      <w:r>
        <w:rPr>
          <w:rFonts w:ascii="仿宋_GB2312" w:eastAsia="仿宋_GB2312"/>
          <w:sz w:val="32"/>
          <w:szCs w:val="32"/>
        </w:rPr>
        <w:t>春节前完成了两轮职能部门的意见征求，区</w:t>
      </w:r>
      <w:r>
        <w:rPr>
          <w:rFonts w:hint="eastAsia" w:ascii="仿宋_GB2312" w:eastAsia="仿宋_GB2312"/>
          <w:sz w:val="32"/>
          <w:szCs w:val="32"/>
        </w:rPr>
        <w:t>发改局会同产业集团根据相关单位意见修改完善</w:t>
      </w:r>
      <w:r>
        <w:rPr>
          <w:rFonts w:ascii="仿宋_GB2312" w:eastAsia="仿宋_GB2312"/>
          <w:sz w:val="32"/>
          <w:szCs w:val="32"/>
        </w:rPr>
        <w:t>。</w:t>
      </w:r>
      <w:bookmarkStart w:id="0" w:name="_GoBack"/>
      <w:bookmarkEnd w:id="0"/>
    </w:p>
    <w:p>
      <w:pPr>
        <w:pStyle w:val="30"/>
        <w:numPr>
          <w:ilvl w:val="0"/>
          <w:numId w:val="1"/>
        </w:numPr>
        <w:tabs>
          <w:tab w:val="left" w:pos="1418"/>
        </w:tabs>
        <w:spacing w:after="0" w:line="540" w:lineRule="exact"/>
        <w:rPr>
          <w:rFonts w:ascii="黑体" w:hAnsi="黑体" w:eastAsia="黑体"/>
          <w:sz w:val="32"/>
          <w:szCs w:val="32"/>
        </w:rPr>
      </w:pPr>
      <w:r>
        <w:rPr>
          <w:rFonts w:hint="eastAsia" w:ascii="黑体" w:hAnsi="黑体" w:eastAsia="黑体"/>
          <w:sz w:val="32"/>
          <w:szCs w:val="32"/>
        </w:rPr>
        <w:t>起草思路</w:t>
      </w:r>
    </w:p>
    <w:p>
      <w:pPr>
        <w:spacing w:after="0" w:line="540" w:lineRule="exact"/>
        <w:ind w:firstLine="643" w:firstLineChars="200"/>
        <w:jc w:val="both"/>
        <w:rPr>
          <w:rFonts w:ascii="仿宋_GB2312" w:eastAsia="仿宋_GB2312"/>
          <w:sz w:val="32"/>
          <w:szCs w:val="32"/>
        </w:rPr>
      </w:pPr>
      <w:r>
        <w:rPr>
          <w:rFonts w:hint="eastAsia" w:ascii="仿宋_GB2312" w:eastAsia="仿宋_GB2312"/>
          <w:b/>
          <w:bCs/>
          <w:sz w:val="32"/>
          <w:szCs w:val="32"/>
        </w:rPr>
        <w:t>一是提出</w:t>
      </w:r>
      <w:r>
        <w:rPr>
          <w:rFonts w:hint="eastAsia" w:ascii="仿宋_GB2312" w:eastAsia="仿宋_GB2312"/>
          <w:b/>
          <w:sz w:val="32"/>
          <w:szCs w:val="32"/>
        </w:rPr>
        <w:t>总体目标。</w:t>
      </w:r>
      <w:r>
        <w:rPr>
          <w:rFonts w:hint="eastAsia" w:ascii="仿宋_GB2312" w:eastAsia="仿宋_GB2312"/>
          <w:sz w:val="32"/>
          <w:szCs w:val="32"/>
        </w:rPr>
        <w:t>计划在未来三年内，新增投资约</w:t>
      </w:r>
      <w:r>
        <w:rPr>
          <w:rFonts w:ascii="仿宋_GB2312" w:eastAsia="仿宋_GB2312"/>
          <w:sz w:val="32"/>
          <w:szCs w:val="32"/>
        </w:rPr>
        <w:t>3亿元，完成首期2座站点的建成投运；未来五年内，累计新增投资约5亿元，基本形成“一网五站”体系；至十五五末，累计完成新增投资约10亿元用于示范区内的全域推广。“一网五站”</w:t>
      </w:r>
      <w:r>
        <w:rPr>
          <w:rFonts w:hint="eastAsia" w:ascii="仿宋_GB2312" w:hAnsi="仿宋_GB2312" w:eastAsia="仿宋_GB2312" w:cs="仿宋_GB2312"/>
          <w:sz w:val="32"/>
          <w:szCs w:val="32"/>
        </w:rPr>
        <w:t>规划</w:t>
      </w:r>
      <w:r>
        <w:rPr>
          <w:rFonts w:ascii="仿宋_GB2312" w:hAnsi="仿宋_GB2312" w:eastAsia="仿宋_GB2312" w:cs="仿宋_GB2312"/>
          <w:sz w:val="32"/>
          <w:szCs w:val="32"/>
        </w:rPr>
        <w:t>覆盖</w:t>
      </w:r>
      <w:r>
        <w:rPr>
          <w:rFonts w:hint="eastAsia" w:ascii="仿宋_GB2312" w:hAnsi="仿宋_GB2312" w:eastAsia="仿宋_GB2312" w:cs="仿宋_GB2312"/>
          <w:sz w:val="32"/>
          <w:szCs w:val="32"/>
        </w:rPr>
        <w:t>区域</w:t>
      </w:r>
      <w:r>
        <w:rPr>
          <w:rFonts w:ascii="仿宋_GB2312" w:hAnsi="仿宋_GB2312" w:eastAsia="仿宋_GB2312" w:cs="仿宋_GB2312"/>
          <w:sz w:val="32"/>
          <w:szCs w:val="32"/>
        </w:rPr>
        <w:t>新建建筑600万方，全部达产后可</w:t>
      </w:r>
      <w:r>
        <w:rPr>
          <w:rFonts w:hint="eastAsia" w:ascii="仿宋_GB2312" w:hAnsi="仿宋_GB2312" w:eastAsia="仿宋_GB2312" w:cs="仿宋_GB2312"/>
          <w:sz w:val="32"/>
          <w:szCs w:val="32"/>
        </w:rPr>
        <w:t>实现年节电量</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亿</w:t>
      </w:r>
      <w:r>
        <w:rPr>
          <w:rFonts w:ascii="仿宋_GB2312" w:hAnsi="仿宋_GB2312" w:eastAsia="仿宋_GB2312" w:cs="仿宋_GB2312"/>
          <w:sz w:val="32"/>
          <w:szCs w:val="32"/>
        </w:rPr>
        <w:t>KWh，赋能城市核心区高质量发展、绿色低碳运行。</w:t>
      </w:r>
    </w:p>
    <w:p>
      <w:pPr>
        <w:spacing w:after="0" w:line="540" w:lineRule="exact"/>
        <w:ind w:firstLine="643" w:firstLineChars="200"/>
        <w:jc w:val="both"/>
        <w:rPr>
          <w:rFonts w:ascii="仿宋_GB2312" w:hAnsi="仿宋_GB2312" w:eastAsia="仿宋_GB2312" w:cs="仿宋_GB2312"/>
          <w:sz w:val="32"/>
          <w:szCs w:val="32"/>
        </w:rPr>
      </w:pPr>
      <w:r>
        <w:rPr>
          <w:rFonts w:hint="eastAsia" w:ascii="仿宋_GB2312" w:eastAsia="仿宋_GB2312"/>
          <w:b/>
          <w:sz w:val="32"/>
          <w:szCs w:val="32"/>
        </w:rPr>
        <w:t>二是明确工作原则。</w:t>
      </w:r>
      <w:r>
        <w:rPr>
          <w:rFonts w:hint="eastAsia" w:ascii="仿宋_GB2312" w:eastAsia="仿宋_GB2312"/>
          <w:sz w:val="32"/>
          <w:szCs w:val="32"/>
        </w:rPr>
        <w:t>统一认识，深刻领会区域集中供能对绿色转型的重要作用；以点带面，充分借鉴医药港的经验，因地制宜打造以中水源热泵为特色的集中供能示范区；示范先行，加快示范项目落地，支持东部湾片区创建省级、国家级绿色生态城区。明确</w:t>
      </w:r>
      <w:r>
        <w:rPr>
          <w:rFonts w:hint="eastAsia" w:ascii="仿宋_GB2312" w:hAnsi="仿宋_GB2312" w:eastAsia="仿宋_GB2312" w:cs="仿宋_GB2312"/>
          <w:sz w:val="32"/>
          <w:szCs w:val="32"/>
        </w:rPr>
        <w:t>东部湾新城可再生能源区域集中供能系统是钱塘区重要市政公用基础设施的基本属性。</w:t>
      </w:r>
    </w:p>
    <w:p>
      <w:pPr>
        <w:spacing w:after="0" w:line="540" w:lineRule="exact"/>
        <w:ind w:firstLine="643" w:firstLineChars="200"/>
        <w:jc w:val="both"/>
        <w:rPr>
          <w:rFonts w:hint="eastAsia" w:ascii="仿宋_GB2312" w:eastAsia="仿宋_GB2312"/>
          <w:sz w:val="32"/>
          <w:szCs w:val="32"/>
        </w:rPr>
      </w:pPr>
      <w:r>
        <w:rPr>
          <w:rFonts w:ascii="仿宋_GB2312" w:hAnsi="仿宋_GB2312" w:eastAsia="仿宋_GB2312" w:cs="仿宋_GB2312"/>
          <w:b/>
          <w:sz w:val="32"/>
          <w:szCs w:val="32"/>
        </w:rPr>
        <w:t>三是细化推进机制。</w:t>
      </w:r>
      <w:r>
        <w:rPr>
          <w:rFonts w:hint="eastAsia" w:ascii="仿宋_GB2312" w:hAnsi="仿宋_GB2312" w:eastAsia="仿宋_GB2312" w:cs="仿宋_GB2312"/>
          <w:sz w:val="32"/>
          <w:szCs w:val="32"/>
        </w:rPr>
        <w:t>从强化审批管理、深化示范应用、明确标准要求、完善收费机制、加强政策引导等</w:t>
      </w:r>
      <w:r>
        <w:rPr>
          <w:rFonts w:ascii="仿宋_GB2312" w:hAnsi="仿宋_GB2312" w:eastAsia="仿宋_GB2312" w:cs="仿宋_GB2312"/>
          <w:sz w:val="32"/>
          <w:szCs w:val="32"/>
        </w:rPr>
        <w:t>五方面加以细化，推进可再生能源区域集中供能的推广应用，引导区域新建建筑主动接入；</w:t>
      </w:r>
      <w:r>
        <w:rPr>
          <w:rFonts w:hint="eastAsia" w:ascii="仿宋_GB2312" w:eastAsia="仿宋_GB2312"/>
          <w:color w:val="000000" w:themeColor="text1"/>
          <w:sz w:val="32"/>
          <w:szCs w:val="32"/>
          <w14:textFill>
            <w14:solidFill>
              <w14:schemeClr w14:val="tx1"/>
            </w14:solidFill>
          </w14:textFill>
        </w:rPr>
        <w:t>明确职责分工，</w:t>
      </w:r>
      <w:r>
        <w:rPr>
          <w:rFonts w:hint="eastAsia" w:ascii="仿宋_GB2312" w:hAnsi="仿宋_GB2312" w:eastAsia="仿宋_GB2312" w:cs="仿宋_GB2312"/>
          <w:sz w:val="32"/>
          <w:szCs w:val="32"/>
        </w:rPr>
        <w:t>区发改、经信、财政、住建、商务、审批、规资、东部湾指挥部、区属三大国企集团等</w:t>
      </w:r>
      <w:r>
        <w:rPr>
          <w:rFonts w:hint="eastAsia" w:ascii="仿宋_GB2312" w:eastAsia="仿宋_GB2312"/>
          <w:color w:val="000000" w:themeColor="text1"/>
          <w:sz w:val="32"/>
          <w:szCs w:val="32"/>
          <w14:textFill>
            <w14:solidFill>
              <w14:schemeClr w14:val="tx1"/>
            </w14:solidFill>
          </w14:textFill>
        </w:rPr>
        <w:t>各相关单位根据职责做好项目引导、审批管理、要素保障等。</w:t>
      </w:r>
    </w:p>
    <w:p>
      <w:pPr>
        <w:pStyle w:val="30"/>
        <w:numPr>
          <w:ilvl w:val="0"/>
          <w:numId w:val="1"/>
        </w:numPr>
        <w:tabs>
          <w:tab w:val="left" w:pos="1418"/>
        </w:tabs>
        <w:spacing w:after="0" w:line="540" w:lineRule="exact"/>
        <w:jc w:val="both"/>
        <w:rPr>
          <w:rFonts w:ascii="仿宋_GB2312" w:hAnsi="仿宋_GB2312" w:eastAsia="仿宋_GB2312" w:cs="仿宋_GB2312"/>
          <w:sz w:val="32"/>
          <w:szCs w:val="32"/>
        </w:rPr>
      </w:pPr>
      <w:r>
        <w:rPr>
          <w:rFonts w:hint="eastAsia" w:ascii="黑体" w:hAnsi="黑体" w:eastAsia="黑体"/>
          <w:sz w:val="32"/>
          <w:szCs w:val="32"/>
        </w:rPr>
        <w:t>主要内容</w:t>
      </w:r>
    </w:p>
    <w:p>
      <w:pPr>
        <w:tabs>
          <w:tab w:val="left" w:pos="1418"/>
        </w:tabs>
        <w:spacing w:after="0" w:line="540" w:lineRule="exact"/>
        <w:ind w:firstLine="643" w:firstLineChars="200"/>
        <w:jc w:val="both"/>
        <w:rPr>
          <w:rFonts w:ascii="仿宋_GB2312" w:eastAsia="仿宋_GB2312"/>
          <w:b/>
          <w:bCs/>
          <w:sz w:val="32"/>
          <w:szCs w:val="32"/>
        </w:rPr>
      </w:pPr>
      <w:r>
        <w:rPr>
          <w:rFonts w:hint="eastAsia" w:ascii="仿宋_GB2312" w:eastAsia="仿宋_GB2312"/>
          <w:b/>
          <w:bCs/>
          <w:sz w:val="32"/>
          <w:szCs w:val="32"/>
        </w:rPr>
        <w:t>（一）关于适用范围</w:t>
      </w:r>
    </w:p>
    <w:p>
      <w:pPr>
        <w:tabs>
          <w:tab w:val="left" w:pos="1418"/>
        </w:tabs>
        <w:spacing w:after="0" w:line="54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相关政府性投资和区属国有投资新建的公共建筑以及工业楼宇建筑，原则上应接入可再生能源区域集中供能；社会资本投资、非区属国有投资新建的，积极引导接入，争取在执行区域绿色建筑专项规划的基础上达到更优的节能降碳标准；鼓励普通住宅建筑接入，形成极端天气下民用住宅建筑空调用电的可调度负荷，并显著提升新建住宅建筑品质。</w:t>
      </w:r>
    </w:p>
    <w:p>
      <w:pPr>
        <w:tabs>
          <w:tab w:val="left" w:pos="1418"/>
        </w:tabs>
        <w:spacing w:after="0" w:line="540" w:lineRule="exact"/>
        <w:ind w:firstLine="643" w:firstLineChars="200"/>
        <w:jc w:val="both"/>
        <w:rPr>
          <w:rFonts w:ascii="仿宋_GB2312" w:hAnsi="仿宋_GB2312" w:eastAsia="仿宋_GB2312" w:cs="仿宋_GB2312"/>
          <w:b/>
          <w:sz w:val="32"/>
          <w:szCs w:val="32"/>
        </w:rPr>
      </w:pPr>
      <w:r>
        <w:rPr>
          <w:rFonts w:ascii="仿宋_GB2312" w:hAnsi="仿宋_GB2312" w:eastAsia="仿宋_GB2312" w:cs="仿宋_GB2312"/>
          <w:b/>
          <w:sz w:val="32"/>
          <w:szCs w:val="32"/>
        </w:rPr>
        <w:t>（二）关于工作举措</w:t>
      </w:r>
    </w:p>
    <w:p>
      <w:pPr>
        <w:tabs>
          <w:tab w:val="left" w:pos="1418"/>
        </w:tabs>
        <w:spacing w:after="0" w:line="540" w:lineRule="exact"/>
        <w:ind w:firstLine="640" w:firstLineChars="200"/>
        <w:jc w:val="both"/>
        <w:rPr>
          <w:rFonts w:hint="default" w:ascii="仿宋_GB2312" w:hAnsi="仿宋_GB2312" w:eastAsia="仿宋_GB2312" w:cs="仿宋_GB2312"/>
          <w:sz w:val="32"/>
          <w:szCs w:val="32"/>
        </w:rPr>
      </w:pPr>
      <w:r>
        <w:rPr>
          <w:rFonts w:ascii="仿宋_GB2312" w:hAnsi="仿宋_GB2312" w:eastAsia="仿宋_GB2312" w:cs="仿宋_GB2312"/>
          <w:sz w:val="32"/>
          <w:szCs w:val="32"/>
        </w:rPr>
        <w:t>1、强化审批管理。东部湾新城可再生能源集中冷暖供应系统供冷供热范围内在建和新建公共建筑、商业商务及工业楼宇建筑（以下称为“用能建筑”），由政府性投资和区属国有投资新建的，除用能特殊性集中供能系统无法满足外，原则上应接入统一提供的空调冷热源系统；由社会资本投资、非区属国有投资新建的，在项目招引、挂牌供地、建筑初步设计方案审查等阶段，做好示范区集中冷暖供应的推介指导和技术对接，力争实现示范区内新建建筑高比例接入集中冷暖供应。</w:t>
      </w:r>
      <w:r>
        <w:rPr>
          <w:rFonts w:hint="eastAsia" w:ascii="仿宋_GB2312" w:hAnsi="仿宋_GB2312" w:eastAsia="仿宋_GB2312" w:cs="仿宋_GB2312"/>
          <w:sz w:val="32"/>
          <w:szCs w:val="32"/>
        </w:rPr>
        <w:t>各建设审批主管部门支持可再生能源集中冷暖供应系统和用能建筑建设，提高审批效率，缩短审批时限</w:t>
      </w:r>
      <w:r>
        <w:rPr>
          <w:rFonts w:hint="default" w:ascii="仿宋_GB2312" w:hAnsi="仿宋_GB2312" w:eastAsia="仿宋_GB2312" w:cs="仿宋_GB2312"/>
          <w:sz w:val="32"/>
          <w:szCs w:val="32"/>
        </w:rPr>
        <w:t>。</w:t>
      </w:r>
    </w:p>
    <w:p>
      <w:pPr>
        <w:tabs>
          <w:tab w:val="left" w:pos="1418"/>
        </w:tabs>
        <w:spacing w:after="0" w:line="540" w:lineRule="exact"/>
        <w:ind w:firstLine="640" w:firstLineChars="200"/>
        <w:jc w:val="both"/>
        <w:rPr>
          <w:rFonts w:ascii="仿宋_GB2312" w:hAnsi="仿宋_GB2312" w:eastAsia="仿宋_GB2312" w:cs="仿宋_GB2312"/>
          <w:sz w:val="32"/>
          <w:szCs w:val="32"/>
        </w:rPr>
      </w:pPr>
      <w:r>
        <w:rPr>
          <w:rFonts w:ascii="仿宋_GB2312" w:hAnsi="仿宋_GB2312" w:eastAsia="仿宋_GB2312" w:cs="仿宋_GB2312"/>
          <w:sz w:val="32"/>
          <w:szCs w:val="32"/>
        </w:rPr>
        <w:t>2、深化示范应用。可再生能源集中冷暖供应系统建设运营单位应严格按照国家、省、市相关规范标准精心组织建设，加强工程建设质量安全管理，确保按要求如期建成；积极配合用能建筑做好空调系统的设计、施工和运营管理，按相关集中冷暖供应质量和服务标准为用能建筑提供高效、可靠的供能服务，最大限度发挥示范效益。</w:t>
      </w:r>
    </w:p>
    <w:p>
      <w:pPr>
        <w:tabs>
          <w:tab w:val="left" w:pos="1418"/>
        </w:tabs>
        <w:spacing w:after="0" w:line="54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szCs w:val="32"/>
        </w:rPr>
        <w:t>完善收费机制。区域集中冷暖供应的定价应兼顾建设运营主体和用能建筑等相关方的利益，按照保本微利、科学合理、公开透明的原则确定，具体实行初装费和冷热量使用费两部制收费模式。</w:t>
      </w:r>
      <w:r>
        <w:rPr>
          <w:rFonts w:hint="eastAsia" w:ascii="仿宋_GB2312" w:hAnsi="仿宋_GB2312" w:eastAsia="仿宋_GB2312" w:cs="仿宋_GB2312"/>
          <w:sz w:val="32"/>
          <w:szCs w:val="32"/>
        </w:rPr>
        <w:t>建设运营主体应参考全国范围内先试先行地区的先进经验和具体标准，并以“初装费</w:t>
      </w:r>
      <w:r>
        <w:rPr>
          <w:rFonts w:ascii="仿宋_GB2312" w:hAnsi="仿宋_GB2312" w:eastAsia="仿宋_GB2312" w:cs="仿宋_GB2312"/>
          <w:sz w:val="32"/>
          <w:szCs w:val="32"/>
        </w:rPr>
        <w:t>+用户末端系统投资不高于用户自建空调系统总投资”、“冷热量使用费不高于用户自建空调系统综合用能成本”为原则，</w:t>
      </w:r>
      <w:r>
        <w:rPr>
          <w:rFonts w:hint="eastAsia" w:ascii="仿宋_GB2312" w:hAnsi="仿宋_GB2312" w:eastAsia="仿宋_GB2312" w:cs="仿宋_GB2312"/>
          <w:sz w:val="32"/>
          <w:szCs w:val="32"/>
        </w:rPr>
        <w:t>制定集中冷暖供应收费方案。</w:t>
      </w:r>
    </w:p>
    <w:p>
      <w:pPr>
        <w:tabs>
          <w:tab w:val="left" w:pos="1418"/>
        </w:tabs>
        <w:spacing w:after="0" w:line="54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4、加强政策引导。在示范区内探索试行用户接入的引导政策，发挥政策资金的撬动作用，鼓励示范区内的用户积极选用可再生能源集中冷暖供应替代传统用能方式，共同参与区域经济社会绿色低碳发展运行。</w:t>
      </w:r>
    </w:p>
    <w:p>
      <w:pPr>
        <w:tabs>
          <w:tab w:val="left" w:pos="1418"/>
        </w:tabs>
        <w:spacing w:after="0" w:line="540" w:lineRule="exact"/>
        <w:ind w:firstLine="643" w:firstLineChars="200"/>
        <w:jc w:val="both"/>
        <w:rPr>
          <w:rFonts w:ascii="仿宋_GB2312" w:hAnsi="楷体" w:eastAsia="仿宋_GB2312"/>
          <w:b/>
          <w:sz w:val="32"/>
          <w:szCs w:val="32"/>
        </w:rPr>
      </w:pPr>
      <w:r>
        <w:rPr>
          <w:rFonts w:hint="eastAsia" w:ascii="仿宋_GB2312" w:hAnsi="楷体" w:eastAsia="仿宋_GB2312"/>
          <w:b/>
          <w:sz w:val="32"/>
          <w:szCs w:val="32"/>
        </w:rPr>
        <w:t>（三）关于保障措施</w:t>
      </w:r>
    </w:p>
    <w:p>
      <w:pPr>
        <w:tabs>
          <w:tab w:val="left" w:pos="1418"/>
        </w:tabs>
        <w:spacing w:after="0" w:line="540" w:lineRule="exact"/>
        <w:ind w:firstLine="640" w:firstLineChars="200"/>
        <w:jc w:val="both"/>
        <w:rPr>
          <w:rFonts w:hint="eastAsia" w:ascii="仿宋_GB2312" w:hAnsi="楷体" w:eastAsia="仿宋_GB2312"/>
          <w:sz w:val="32"/>
          <w:szCs w:val="32"/>
        </w:rPr>
      </w:pPr>
      <w:r>
        <w:rPr>
          <w:rFonts w:hint="eastAsia" w:ascii="仿宋_GB2312" w:hAnsi="楷体" w:eastAsia="仿宋_GB2312"/>
          <w:sz w:val="32"/>
          <w:szCs w:val="32"/>
        </w:rPr>
        <w:t>从强化组织领导、强化规划引领、强化监督考核、强化宣传引导四方面保障方案落实落细。</w:t>
      </w:r>
    </w:p>
    <w:p>
      <w:pPr>
        <w:tabs>
          <w:tab w:val="left" w:pos="1418"/>
        </w:tabs>
        <w:spacing w:after="0" w:line="540" w:lineRule="exact"/>
        <w:jc w:val="right"/>
        <w:rPr>
          <w:rFonts w:ascii="仿宋_GB2312" w:hAnsi="楷体" w:eastAsia="仿宋_GB2312"/>
          <w:sz w:val="32"/>
          <w:szCs w:val="32"/>
        </w:rPr>
      </w:pP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docPartObj>
        <w:docPartGallery w:val="autotext"/>
      </w:docPartObj>
    </w:sdtPr>
    <w:sdtContent>
      <w:p>
        <w:pPr>
          <w:pStyle w:val="11"/>
          <w:jc w:val="center"/>
        </w:pPr>
        <w:r>
          <w:fldChar w:fldCharType="begin"/>
        </w:r>
        <w:r>
          <w:instrText xml:space="preserve">PAGE   \* MERGEFORMAT</w:instrText>
        </w:r>
        <w:r>
          <w:fldChar w:fldCharType="separate"/>
        </w:r>
        <w:r>
          <w:rPr>
            <w:lang w:val="zh-CN"/>
          </w:rPr>
          <w:t>4</w:t>
        </w:r>
        <w:r>
          <w:fldChar w:fldCharType="end"/>
        </w:r>
      </w:p>
    </w:sdtContent>
  </w:sdt>
  <w:p>
    <w:pPr>
      <w:pStyle w:val="1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2E04AE7"/>
    <w:multiLevelType w:val="multilevel"/>
    <w:tmpl w:val="72E04AE7"/>
    <w:lvl w:ilvl="0" w:tentative="0">
      <w:start w:val="1"/>
      <w:numFmt w:val="chineseCountingThousand"/>
      <w:lvlText w:val="%1、"/>
      <w:lvlJc w:val="left"/>
      <w:pPr>
        <w:ind w:left="1080" w:hanging="440"/>
      </w:pPr>
    </w:lvl>
    <w:lvl w:ilvl="1" w:tentative="0">
      <w:start w:val="1"/>
      <w:numFmt w:val="lowerLetter"/>
      <w:lvlText w:val="%2)"/>
      <w:lvlJc w:val="left"/>
      <w:pPr>
        <w:ind w:left="1520" w:hanging="440"/>
      </w:pPr>
    </w:lvl>
    <w:lvl w:ilvl="2" w:tentative="0">
      <w:start w:val="1"/>
      <w:numFmt w:val="lowerRoman"/>
      <w:lvlText w:val="%3."/>
      <w:lvlJc w:val="right"/>
      <w:pPr>
        <w:ind w:left="1960" w:hanging="440"/>
      </w:pPr>
    </w:lvl>
    <w:lvl w:ilvl="3" w:tentative="0">
      <w:start w:val="1"/>
      <w:numFmt w:val="decimal"/>
      <w:lvlText w:val="%4."/>
      <w:lvlJc w:val="left"/>
      <w:pPr>
        <w:ind w:left="2400" w:hanging="440"/>
      </w:pPr>
    </w:lvl>
    <w:lvl w:ilvl="4" w:tentative="0">
      <w:start w:val="1"/>
      <w:numFmt w:val="lowerLetter"/>
      <w:lvlText w:val="%5)"/>
      <w:lvlJc w:val="left"/>
      <w:pPr>
        <w:ind w:left="2840" w:hanging="440"/>
      </w:pPr>
    </w:lvl>
    <w:lvl w:ilvl="5" w:tentative="0">
      <w:start w:val="1"/>
      <w:numFmt w:val="lowerRoman"/>
      <w:lvlText w:val="%6."/>
      <w:lvlJc w:val="right"/>
      <w:pPr>
        <w:ind w:left="3280" w:hanging="440"/>
      </w:pPr>
    </w:lvl>
    <w:lvl w:ilvl="6" w:tentative="0">
      <w:start w:val="1"/>
      <w:numFmt w:val="decimal"/>
      <w:lvlText w:val="%7."/>
      <w:lvlJc w:val="left"/>
      <w:pPr>
        <w:ind w:left="3720" w:hanging="440"/>
      </w:pPr>
    </w:lvl>
    <w:lvl w:ilvl="7" w:tentative="0">
      <w:start w:val="1"/>
      <w:numFmt w:val="lowerLetter"/>
      <w:lvlText w:val="%8)"/>
      <w:lvlJc w:val="left"/>
      <w:pPr>
        <w:ind w:left="4160" w:hanging="440"/>
      </w:pPr>
    </w:lvl>
    <w:lvl w:ilvl="8" w:tentative="0">
      <w:start w:val="1"/>
      <w:numFmt w:val="lowerRoman"/>
      <w:lvlText w:val="%9."/>
      <w:lvlJc w:val="right"/>
      <w:pPr>
        <w:ind w:left="460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A3E"/>
    <w:rsid w:val="000324A5"/>
    <w:rsid w:val="000D564B"/>
    <w:rsid w:val="00134F0C"/>
    <w:rsid w:val="001A5D3F"/>
    <w:rsid w:val="00201917"/>
    <w:rsid w:val="00211B77"/>
    <w:rsid w:val="00223F81"/>
    <w:rsid w:val="00250952"/>
    <w:rsid w:val="00330A3E"/>
    <w:rsid w:val="0036101E"/>
    <w:rsid w:val="003906CB"/>
    <w:rsid w:val="00427C43"/>
    <w:rsid w:val="004F51A3"/>
    <w:rsid w:val="00517643"/>
    <w:rsid w:val="00576D4B"/>
    <w:rsid w:val="005A59F4"/>
    <w:rsid w:val="005B4A9C"/>
    <w:rsid w:val="00602D91"/>
    <w:rsid w:val="006F2393"/>
    <w:rsid w:val="007357DA"/>
    <w:rsid w:val="00736E3C"/>
    <w:rsid w:val="00743EB1"/>
    <w:rsid w:val="00792DF5"/>
    <w:rsid w:val="008147C4"/>
    <w:rsid w:val="00866CC7"/>
    <w:rsid w:val="008842E0"/>
    <w:rsid w:val="008F3AE4"/>
    <w:rsid w:val="0093529B"/>
    <w:rsid w:val="009614B1"/>
    <w:rsid w:val="00970A9A"/>
    <w:rsid w:val="009E6F0F"/>
    <w:rsid w:val="00A9267A"/>
    <w:rsid w:val="00AA61C5"/>
    <w:rsid w:val="00B61AE4"/>
    <w:rsid w:val="00CD6EED"/>
    <w:rsid w:val="00D47056"/>
    <w:rsid w:val="00DD0D81"/>
    <w:rsid w:val="00E06E17"/>
    <w:rsid w:val="00E257E7"/>
    <w:rsid w:val="00E71462"/>
    <w:rsid w:val="00FD7F2B"/>
    <w:rsid w:val="00FE5043"/>
    <w:rsid w:val="0911540D"/>
    <w:rsid w:val="11712A31"/>
    <w:rsid w:val="24D9133D"/>
    <w:rsid w:val="30B74628"/>
    <w:rsid w:val="E35BDEC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styleId="2">
    <w:name w:val="heading 1"/>
    <w:basedOn w:val="1"/>
    <w:next w:val="1"/>
    <w:link w:val="17"/>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18"/>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19"/>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20"/>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1"/>
    <w:semiHidden/>
    <w:unhideWhenUsed/>
    <w:qFormat/>
    <w:uiPriority w:val="9"/>
    <w:pPr>
      <w:keepNext/>
      <w:keepLines/>
      <w:spacing w:before="80" w:after="40"/>
      <w:outlineLvl w:val="4"/>
    </w:pPr>
    <w:rPr>
      <w:rFonts w:cstheme="majorBidi"/>
      <w:color w:val="104862" w:themeColor="accent1" w:themeShade="BF"/>
      <w:sz w:val="24"/>
    </w:rPr>
  </w:style>
  <w:style w:type="paragraph" w:styleId="7">
    <w:name w:val="heading 6"/>
    <w:basedOn w:val="1"/>
    <w:next w:val="1"/>
    <w:link w:val="22"/>
    <w:semiHidden/>
    <w:unhideWhenUsed/>
    <w:qFormat/>
    <w:uiPriority w:val="9"/>
    <w:pPr>
      <w:keepNext/>
      <w:keepLines/>
      <w:spacing w:before="40" w:after="0"/>
      <w:outlineLvl w:val="5"/>
    </w:pPr>
    <w:rPr>
      <w:rFonts w:cstheme="majorBidi"/>
      <w:b/>
      <w:bCs/>
      <w:color w:val="104862" w:themeColor="accent1" w:themeShade="BF"/>
    </w:rPr>
  </w:style>
  <w:style w:type="paragraph" w:styleId="8">
    <w:name w:val="heading 7"/>
    <w:basedOn w:val="1"/>
    <w:next w:val="1"/>
    <w:link w:val="23"/>
    <w:semiHidden/>
    <w:unhideWhenUsed/>
    <w:qFormat/>
    <w:uiPriority w:val="9"/>
    <w:pPr>
      <w:keepNext/>
      <w:keepLines/>
      <w:spacing w:before="40" w:after="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4"/>
    <w:semiHidden/>
    <w:unhideWhenUsed/>
    <w:qFormat/>
    <w:uiPriority w:val="9"/>
    <w:pPr>
      <w:keepNext/>
      <w:keepLines/>
      <w:spacing w:after="0"/>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5"/>
    <w:semiHidden/>
    <w:unhideWhenUsed/>
    <w:qFormat/>
    <w:uiPriority w:val="9"/>
    <w:pPr>
      <w:keepNext/>
      <w:keepLines/>
      <w:spacing w:after="0"/>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11">
    <w:name w:val="footer"/>
    <w:basedOn w:val="1"/>
    <w:link w:val="36"/>
    <w:unhideWhenUsed/>
    <w:qFormat/>
    <w:uiPriority w:val="99"/>
    <w:pPr>
      <w:tabs>
        <w:tab w:val="center" w:pos="4153"/>
        <w:tab w:val="right" w:pos="8306"/>
      </w:tabs>
      <w:snapToGrid w:val="0"/>
      <w:spacing w:line="240" w:lineRule="auto"/>
    </w:pPr>
    <w:rPr>
      <w:sz w:val="18"/>
      <w:szCs w:val="18"/>
    </w:rPr>
  </w:style>
  <w:style w:type="paragraph" w:styleId="12">
    <w:name w:val="header"/>
    <w:basedOn w:val="1"/>
    <w:link w:val="35"/>
    <w:unhideWhenUsed/>
    <w:qFormat/>
    <w:uiPriority w:val="99"/>
    <w:pPr>
      <w:tabs>
        <w:tab w:val="center" w:pos="4153"/>
        <w:tab w:val="right" w:pos="8306"/>
      </w:tabs>
      <w:snapToGrid w:val="0"/>
      <w:spacing w:line="240" w:lineRule="auto"/>
      <w:jc w:val="center"/>
    </w:pPr>
    <w:rPr>
      <w:sz w:val="18"/>
      <w:szCs w:val="18"/>
    </w:rPr>
  </w:style>
  <w:style w:type="paragraph" w:styleId="13">
    <w:name w:val="Subtitle"/>
    <w:basedOn w:val="1"/>
    <w:next w:val="1"/>
    <w:link w:val="27"/>
    <w:qFormat/>
    <w:uiPriority w:val="11"/>
    <w:pPr>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6"/>
    <w:qFormat/>
    <w:uiPriority w:val="10"/>
    <w:pPr>
      <w:spacing w:after="80" w:line="240" w:lineRule="auto"/>
      <w:contextualSpacing/>
      <w:jc w:val="center"/>
    </w:pPr>
    <w:rPr>
      <w:rFonts w:asciiTheme="majorHAnsi" w:hAnsiTheme="majorHAnsi" w:eastAsiaTheme="majorEastAsia" w:cstheme="majorBidi"/>
      <w:spacing w:val="-10"/>
      <w:kern w:val="28"/>
      <w:sz w:val="56"/>
      <w:szCs w:val="56"/>
    </w:rPr>
  </w:style>
  <w:style w:type="character" w:customStyle="1" w:styleId="17">
    <w:name w:val="标题 1 Char"/>
    <w:basedOn w:val="16"/>
    <w:link w:val="2"/>
    <w:qFormat/>
    <w:uiPriority w:val="9"/>
    <w:rPr>
      <w:rFonts w:asciiTheme="majorHAnsi" w:hAnsiTheme="majorHAnsi" w:eastAsiaTheme="majorEastAsia" w:cstheme="majorBidi"/>
      <w:color w:val="104862" w:themeColor="accent1" w:themeShade="BF"/>
      <w:sz w:val="48"/>
      <w:szCs w:val="48"/>
    </w:rPr>
  </w:style>
  <w:style w:type="character" w:customStyle="1" w:styleId="18">
    <w:name w:val="标题 2 Char"/>
    <w:basedOn w:val="16"/>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19">
    <w:name w:val="标题 3 Char"/>
    <w:basedOn w:val="16"/>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20">
    <w:name w:val="标题 4 Char"/>
    <w:basedOn w:val="16"/>
    <w:link w:val="5"/>
    <w:semiHidden/>
    <w:qFormat/>
    <w:uiPriority w:val="9"/>
    <w:rPr>
      <w:rFonts w:cstheme="majorBidi"/>
      <w:color w:val="104862" w:themeColor="accent1" w:themeShade="BF"/>
      <w:sz w:val="28"/>
      <w:szCs w:val="28"/>
    </w:rPr>
  </w:style>
  <w:style w:type="character" w:customStyle="1" w:styleId="21">
    <w:name w:val="标题 5 Char"/>
    <w:basedOn w:val="16"/>
    <w:link w:val="6"/>
    <w:semiHidden/>
    <w:qFormat/>
    <w:uiPriority w:val="9"/>
    <w:rPr>
      <w:rFonts w:cstheme="majorBidi"/>
      <w:color w:val="104862" w:themeColor="accent1" w:themeShade="BF"/>
      <w:sz w:val="24"/>
    </w:rPr>
  </w:style>
  <w:style w:type="character" w:customStyle="1" w:styleId="22">
    <w:name w:val="标题 6 Char"/>
    <w:basedOn w:val="16"/>
    <w:link w:val="7"/>
    <w:semiHidden/>
    <w:qFormat/>
    <w:uiPriority w:val="9"/>
    <w:rPr>
      <w:rFonts w:cstheme="majorBidi"/>
      <w:b/>
      <w:bCs/>
      <w:color w:val="104862" w:themeColor="accent1" w:themeShade="BF"/>
    </w:rPr>
  </w:style>
  <w:style w:type="character" w:customStyle="1" w:styleId="23">
    <w:name w:val="标题 7 Char"/>
    <w:basedOn w:val="16"/>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4">
    <w:name w:val="标题 8 Char"/>
    <w:basedOn w:val="16"/>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5">
    <w:name w:val="标题 9 Char"/>
    <w:basedOn w:val="16"/>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6">
    <w:name w:val="标题 Char"/>
    <w:basedOn w:val="16"/>
    <w:link w:val="14"/>
    <w:qFormat/>
    <w:uiPriority w:val="10"/>
    <w:rPr>
      <w:rFonts w:asciiTheme="majorHAnsi" w:hAnsiTheme="majorHAnsi" w:eastAsiaTheme="majorEastAsia" w:cstheme="majorBidi"/>
      <w:spacing w:val="-10"/>
      <w:kern w:val="28"/>
      <w:sz w:val="56"/>
      <w:szCs w:val="56"/>
    </w:rPr>
  </w:style>
  <w:style w:type="character" w:customStyle="1" w:styleId="27">
    <w:name w:val="副标题 Char"/>
    <w:basedOn w:val="16"/>
    <w:link w:val="13"/>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8">
    <w:name w:val="Quote"/>
    <w:basedOn w:val="1"/>
    <w:next w:val="1"/>
    <w:link w:val="29"/>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29">
    <w:name w:val="引用 Char"/>
    <w:basedOn w:val="16"/>
    <w:link w:val="28"/>
    <w:qFormat/>
    <w:uiPriority w:val="29"/>
    <w:rPr>
      <w:i/>
      <w:iCs/>
      <w:color w:val="404040" w:themeColor="text1" w:themeTint="BF"/>
      <w14:textFill>
        <w14:solidFill>
          <w14:schemeClr w14:val="tx1">
            <w14:lumMod w14:val="75000"/>
            <w14:lumOff w14:val="25000"/>
          </w14:schemeClr>
        </w14:solidFill>
      </w14:textFill>
    </w:rPr>
  </w:style>
  <w:style w:type="paragraph" w:styleId="30">
    <w:name w:val="List Paragraph"/>
    <w:basedOn w:val="1"/>
    <w:qFormat/>
    <w:uiPriority w:val="34"/>
    <w:pPr>
      <w:ind w:left="720"/>
      <w:contextualSpacing/>
    </w:pPr>
  </w:style>
  <w:style w:type="character" w:customStyle="1" w:styleId="31">
    <w:name w:val="Intense Emphasis"/>
    <w:basedOn w:val="16"/>
    <w:qFormat/>
    <w:uiPriority w:val="21"/>
    <w:rPr>
      <w:i/>
      <w:iCs/>
      <w:color w:val="104862" w:themeColor="accent1" w:themeShade="BF"/>
    </w:rPr>
  </w:style>
  <w:style w:type="paragraph" w:styleId="32">
    <w:name w:val="Intense Quote"/>
    <w:basedOn w:val="1"/>
    <w:next w:val="1"/>
    <w:link w:val="33"/>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3">
    <w:name w:val="明显引用 Char"/>
    <w:basedOn w:val="16"/>
    <w:link w:val="32"/>
    <w:qFormat/>
    <w:uiPriority w:val="30"/>
    <w:rPr>
      <w:i/>
      <w:iCs/>
      <w:color w:val="104862" w:themeColor="accent1" w:themeShade="BF"/>
    </w:rPr>
  </w:style>
  <w:style w:type="character" w:customStyle="1" w:styleId="34">
    <w:name w:val="Intense Reference"/>
    <w:basedOn w:val="16"/>
    <w:qFormat/>
    <w:uiPriority w:val="32"/>
    <w:rPr>
      <w:b/>
      <w:bCs/>
      <w:smallCaps/>
      <w:color w:val="104862" w:themeColor="accent1" w:themeShade="BF"/>
      <w:spacing w:val="5"/>
    </w:rPr>
  </w:style>
  <w:style w:type="character" w:customStyle="1" w:styleId="35">
    <w:name w:val="页眉 Char"/>
    <w:basedOn w:val="16"/>
    <w:link w:val="12"/>
    <w:qFormat/>
    <w:uiPriority w:val="99"/>
    <w:rPr>
      <w:sz w:val="18"/>
      <w:szCs w:val="18"/>
    </w:rPr>
  </w:style>
  <w:style w:type="character" w:customStyle="1" w:styleId="36">
    <w:name w:val="页脚 Char"/>
    <w:basedOn w:val="16"/>
    <w:link w:val="11"/>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Pages>
  <Words>294</Words>
  <Characters>1682</Characters>
  <Lines>14</Lines>
  <Paragraphs>3</Paragraphs>
  <TotalTime>1</TotalTime>
  <ScaleCrop>false</ScaleCrop>
  <LinksUpToDate>false</LinksUpToDate>
  <CharactersWithSpaces>1973</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2024-04-29T10:08:00Z</dcterms:created>
  <dc:creator>楼磊</dc:creator>
  <cp:lastModifiedBy>Gala</cp:lastModifiedBy>
  <cp:lastPrinted>2024-04-25T14:46:00Z</cp:lastPrinted>
  <dcterms:modified xsi:type="dcterms:W3CDTF">2024-07-17T02:36:28Z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24E8D69C3A1D4BDA898335961895F899</vt:lpwstr>
  </property>
</Properties>
</file>