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仿宋"/>
          <w:bCs/>
          <w:color w:val="000000"/>
          <w:sz w:val="44"/>
          <w:szCs w:val="44"/>
        </w:rPr>
        <w:t>《东阳市支持分布式光伏和新型储能发展的实施意见》起草说明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方正小标宋简体" w:hAnsi="仿宋" w:eastAsia="方正小标宋简体" w:cs="仿宋"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left="0" w:firstLine="642" w:firstLineChars="200"/>
        <w:textAlignment w:val="auto"/>
        <w:rPr>
          <w:rFonts w:hint="eastAsia" w:ascii="黑体" w:hAnsi="黑体" w:eastAsia="黑体" w:cs="黑体"/>
          <w:b/>
          <w:bCs/>
          <w:color w:val="000000"/>
        </w:rPr>
      </w:pPr>
      <w:r>
        <w:rPr>
          <w:rFonts w:hint="eastAsia" w:ascii="黑体" w:hAnsi="黑体" w:eastAsia="黑体" w:cs="黑体"/>
          <w:b/>
          <w:bCs/>
          <w:color w:val="000000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起草的背景和依据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为了更好发挥新能源在保供增供方面的作用，助力扎实做好碳达峰、碳中和工作，根据《省发展改革委 省能源局关于印发&lt;浙江省可再生能源发展“十四五”规划&gt;的通知》(浙发改能源〔2021〕152号)、《省发展改革委 省能源局关于浙江省加快新型储能示范应用的实施意见》（浙发改能源[2021]393号）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、《省能源局关于印发&lt;浙江省用户侧电化学储能技术导则&gt;的通知》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文件精神，结合东阳实际，我局起草了《东阳市支持分布式光伏和新型储能发展的实施意见》。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、总体框架及重要内容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《实施</w:t>
      </w:r>
      <w:r>
        <w:rPr>
          <w:rFonts w:hint="eastAsia" w:ascii="仿宋_GB2312" w:hAnsi="仿宋_GB2312" w:eastAsia="仿宋_GB2312" w:cs="仿宋_GB2312"/>
          <w:lang w:eastAsia="zh-CN"/>
        </w:rPr>
        <w:t>意见</w:t>
      </w:r>
      <w:r>
        <w:rPr>
          <w:rFonts w:hint="eastAsia" w:ascii="仿宋_GB2312" w:hAnsi="仿宋_GB2312" w:eastAsia="仿宋_GB2312" w:cs="仿宋_GB2312"/>
        </w:rPr>
        <w:t>》</w:t>
      </w:r>
      <w:r>
        <w:rPr>
          <w:rFonts w:hint="eastAsia" w:ascii="仿宋_GB2312" w:hAnsi="仿宋_GB2312" w:eastAsia="仿宋_GB2312" w:cs="仿宋_GB2312"/>
          <w:lang w:eastAsia="zh-CN"/>
        </w:rPr>
        <w:t>旨在</w:t>
      </w:r>
      <w:r>
        <w:rPr>
          <w:rFonts w:hint="eastAsia" w:ascii="仿宋_GB2312" w:hAnsi="仿宋_GB2312" w:eastAsia="仿宋_GB2312" w:cs="仿宋_GB2312"/>
        </w:rPr>
        <w:t>提高电网调峰能力，提升电力自给能力，降低</w:t>
      </w:r>
      <w:r>
        <w:rPr>
          <w:rFonts w:hint="eastAsia" w:ascii="仿宋_GB2312" w:hAnsi="仿宋_GB2312" w:eastAsia="仿宋_GB2312" w:cs="仿宋_GB2312"/>
          <w:lang w:eastAsia="zh-CN"/>
        </w:rPr>
        <w:t>企业</w:t>
      </w:r>
      <w:r>
        <w:rPr>
          <w:rFonts w:hint="eastAsia" w:ascii="仿宋_GB2312" w:hAnsi="仿宋_GB2312" w:eastAsia="仿宋_GB2312" w:cs="仿宋_GB2312"/>
        </w:rPr>
        <w:t>用电成本，</w:t>
      </w:r>
      <w:r>
        <w:rPr>
          <w:rFonts w:hint="eastAsia" w:ascii="仿宋_GB2312" w:hAnsi="仿宋_GB2312" w:eastAsia="仿宋_GB2312" w:cs="仿宋_GB231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《浙江省可再生发展“十四五”规划》、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《省发展改革委 省能源局关于浙江省加快新型储能示范应用的实施意见》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、《省能源局关于印发&lt;浙江省用户侧电化学储能技术导则&gt;的通知》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文件精神，对我市分布式光伏和新型储能发展提出响应</w:t>
      </w:r>
      <w:r>
        <w:rPr>
          <w:rFonts w:hint="eastAsia" w:ascii="仿宋_GB2312" w:hAnsi="仿宋_GB2312" w:eastAsia="仿宋_GB2312" w:cs="仿宋_GB2312"/>
        </w:rPr>
        <w:t>管理要求和政策措施，共分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部分</w:t>
      </w:r>
      <w:r>
        <w:rPr>
          <w:rFonts w:hint="eastAsia" w:ascii="仿宋_GB2312" w:hAnsi="仿宋_GB2312" w:eastAsia="仿宋_GB2312" w:cs="仿宋_GB231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（一）指导思想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加大分布式光伏推进力度，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加快新型储能技术创新，建立健全配套机制，实现新型储能产业高质量发展，进一步提升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分布式光伏、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新型储能与荷网协调互动能力，提升电力系统灵活性调节能力和安全保障能力。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（二）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加大政策支持力度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1.调整光伏补贴力度。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对2024年1月1日至2025年12月31日期间建成的光伏发电项目，补助标准调整为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0.1元/千瓦时，连续补助3年。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支持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新型储能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项目建设。</w:t>
      </w:r>
      <w:r>
        <w:rPr>
          <w:rFonts w:hint="eastAsia" w:ascii="仿宋_GB2312" w:hAnsi="仿宋_GB2312" w:eastAsia="仿宋_GB2312" w:cs="仿宋_GB2312"/>
          <w:lang w:val="en-US" w:eastAsia="zh-CN"/>
        </w:rPr>
        <w:t>对2024年1月1日至2026年12月31日期间建成投运的储能系统容量不低于200千瓦/400千瓦时的用户侧储能、分布式光储、光储充一体化等项目，按照储能设施装机规模给予50元/千瓦一次性建设补贴，单个项目最高补助金额不超过10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3.优先保障储能项目用电需求。</w:t>
      </w:r>
      <w:r>
        <w:rPr>
          <w:rFonts w:hint="eastAsia" w:ascii="仿宋_GB2312" w:hAnsi="仿宋_GB2312" w:eastAsia="仿宋_GB2312" w:cs="仿宋_GB2312"/>
          <w:lang w:val="en-US" w:eastAsia="zh-CN"/>
        </w:rPr>
        <w:t>在需求侧响应、有序用电等特殊时期，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优先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保障</w:t>
      </w:r>
      <w:r>
        <w:rPr>
          <w:rFonts w:hint="eastAsia" w:ascii="仿宋_GB2312" w:hAnsi="仿宋_GB2312" w:eastAsia="仿宋_GB2312" w:cs="仿宋_GB2312"/>
          <w:lang w:val="en-US" w:eastAsia="zh-CN"/>
        </w:rPr>
        <w:t>已安装系统容量200千瓦/400千瓦时及以上用户侧储能项目的制造业企业。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2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4.鼓励参与虚拟电厂负荷调节。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2024年1月1日至2026年12月31日期间，对积极参与虚拟电厂负荷调控的制造业企业，根据响应次数及储能设备装机功率给予1.5元/千瓦/次调峰补贴，每年发放一次。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（三）保障措施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1.加强组织领导。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" w:eastAsia="zh-CN" w:bidi="ar"/>
        </w:rPr>
        <w:t>市碳达峰碳中和工作领导小组统筹指导全市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分布式光伏和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" w:eastAsia="zh-CN" w:bidi="ar"/>
        </w:rPr>
        <w:t>新型储能发展工作。</w:t>
      </w:r>
    </w:p>
    <w:p>
      <w:pPr>
        <w:widowControl/>
        <w:spacing w:line="240" w:lineRule="auto"/>
        <w:ind w:firstLine="642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加强宣传引导。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积极引导工商业企业通过分布式光伏和新型储能合理调整用电负荷，缓解用电高峰时段供电压力。</w:t>
      </w: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uto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3.强化资金保障。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对企业的各项补助，以不超过该企业当年地方综合贡献额为限，超出部分补助金额可在后两年内兑现。</w:t>
      </w:r>
    </w:p>
    <w:p>
      <w:pPr>
        <w:pStyle w:val="8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uto"/>
        <w:ind w:firstLine="642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4.</w:t>
      </w:r>
      <w:r>
        <w:rPr>
          <w:rStyle w:val="11"/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建立健全安全保障体系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新型储能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设施投资方明确储能设施安全责任方，并由安全责任方办理相关业务，承担因自身原因造成事故引起的一切法律责任。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供电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与用户或储能设施投资方签订《储能系统调度协议》，共同加强对储能系统验收接入及后续运行的安全管理。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级各相关部门落实安全主体责任，强化消防安全管理，有效提升安全运行水平。</w:t>
      </w:r>
    </w:p>
    <w:sectPr>
      <w:footerReference r:id="rId3" w:type="default"/>
      <w:footerReference r:id="rId4" w:type="even"/>
      <w:pgSz w:w="11906" w:h="16838"/>
      <w:pgMar w:top="1588" w:right="1588" w:bottom="1588" w:left="1588" w:header="851" w:footer="1247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宋体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4D"/>
    <w:rsid w:val="000106D0"/>
    <w:rsid w:val="0002025A"/>
    <w:rsid w:val="00021AF3"/>
    <w:rsid w:val="00022ED7"/>
    <w:rsid w:val="00034532"/>
    <w:rsid w:val="000352B4"/>
    <w:rsid w:val="000422AB"/>
    <w:rsid w:val="000472FA"/>
    <w:rsid w:val="00051A46"/>
    <w:rsid w:val="0008787D"/>
    <w:rsid w:val="00087FA2"/>
    <w:rsid w:val="00096544"/>
    <w:rsid w:val="000A1F42"/>
    <w:rsid w:val="000A5220"/>
    <w:rsid w:val="000D7554"/>
    <w:rsid w:val="000F1DAA"/>
    <w:rsid w:val="000F24C2"/>
    <w:rsid w:val="000F4605"/>
    <w:rsid w:val="001105BF"/>
    <w:rsid w:val="00110F09"/>
    <w:rsid w:val="001159C4"/>
    <w:rsid w:val="00122DFE"/>
    <w:rsid w:val="00140DD6"/>
    <w:rsid w:val="0014486C"/>
    <w:rsid w:val="001507EC"/>
    <w:rsid w:val="00151343"/>
    <w:rsid w:val="001530C0"/>
    <w:rsid w:val="0016663F"/>
    <w:rsid w:val="00176120"/>
    <w:rsid w:val="001A1DBD"/>
    <w:rsid w:val="001A7BAE"/>
    <w:rsid w:val="001B446F"/>
    <w:rsid w:val="001C0E91"/>
    <w:rsid w:val="001C77ED"/>
    <w:rsid w:val="001D08AF"/>
    <w:rsid w:val="001D2851"/>
    <w:rsid w:val="001D3D18"/>
    <w:rsid w:val="001D7ADA"/>
    <w:rsid w:val="00224729"/>
    <w:rsid w:val="00230C2E"/>
    <w:rsid w:val="00234299"/>
    <w:rsid w:val="00240D5D"/>
    <w:rsid w:val="00242D4D"/>
    <w:rsid w:val="002755A5"/>
    <w:rsid w:val="00277C74"/>
    <w:rsid w:val="002A0F67"/>
    <w:rsid w:val="002A61B3"/>
    <w:rsid w:val="002B3930"/>
    <w:rsid w:val="002C1292"/>
    <w:rsid w:val="002C3403"/>
    <w:rsid w:val="002C6F29"/>
    <w:rsid w:val="002E76ED"/>
    <w:rsid w:val="002F0014"/>
    <w:rsid w:val="002F0FEC"/>
    <w:rsid w:val="002F55A6"/>
    <w:rsid w:val="00300415"/>
    <w:rsid w:val="00300ABD"/>
    <w:rsid w:val="00302C14"/>
    <w:rsid w:val="00312014"/>
    <w:rsid w:val="003269E3"/>
    <w:rsid w:val="0033063D"/>
    <w:rsid w:val="00332193"/>
    <w:rsid w:val="00342E6E"/>
    <w:rsid w:val="00347982"/>
    <w:rsid w:val="00353E9D"/>
    <w:rsid w:val="00355C05"/>
    <w:rsid w:val="00364E5A"/>
    <w:rsid w:val="00366304"/>
    <w:rsid w:val="00366F17"/>
    <w:rsid w:val="00377D95"/>
    <w:rsid w:val="00380C4F"/>
    <w:rsid w:val="00382F02"/>
    <w:rsid w:val="003861F7"/>
    <w:rsid w:val="00394570"/>
    <w:rsid w:val="00396E1D"/>
    <w:rsid w:val="003A755D"/>
    <w:rsid w:val="003E4A23"/>
    <w:rsid w:val="003E6E19"/>
    <w:rsid w:val="003F388D"/>
    <w:rsid w:val="003F38BF"/>
    <w:rsid w:val="00401DF2"/>
    <w:rsid w:val="00412071"/>
    <w:rsid w:val="00413474"/>
    <w:rsid w:val="004235DF"/>
    <w:rsid w:val="004264B1"/>
    <w:rsid w:val="004272A0"/>
    <w:rsid w:val="00436413"/>
    <w:rsid w:val="00440814"/>
    <w:rsid w:val="00453B50"/>
    <w:rsid w:val="004659AE"/>
    <w:rsid w:val="00473F6B"/>
    <w:rsid w:val="00477CDE"/>
    <w:rsid w:val="00486ABE"/>
    <w:rsid w:val="00492860"/>
    <w:rsid w:val="00492F46"/>
    <w:rsid w:val="00493888"/>
    <w:rsid w:val="004A4657"/>
    <w:rsid w:val="004B669C"/>
    <w:rsid w:val="004B7890"/>
    <w:rsid w:val="004C242B"/>
    <w:rsid w:val="004D3500"/>
    <w:rsid w:val="004F1B93"/>
    <w:rsid w:val="004F1F80"/>
    <w:rsid w:val="004F235F"/>
    <w:rsid w:val="004F3C2A"/>
    <w:rsid w:val="004F46DB"/>
    <w:rsid w:val="005113A9"/>
    <w:rsid w:val="0053799A"/>
    <w:rsid w:val="00543808"/>
    <w:rsid w:val="00543C2C"/>
    <w:rsid w:val="00544FD8"/>
    <w:rsid w:val="00567AB4"/>
    <w:rsid w:val="00577CB6"/>
    <w:rsid w:val="005806F8"/>
    <w:rsid w:val="00585668"/>
    <w:rsid w:val="00592A24"/>
    <w:rsid w:val="005A343E"/>
    <w:rsid w:val="005A3A85"/>
    <w:rsid w:val="005B7C18"/>
    <w:rsid w:val="005C2582"/>
    <w:rsid w:val="005E44EC"/>
    <w:rsid w:val="005E48D8"/>
    <w:rsid w:val="00604A0B"/>
    <w:rsid w:val="00605D54"/>
    <w:rsid w:val="0061778F"/>
    <w:rsid w:val="00620B2A"/>
    <w:rsid w:val="00622056"/>
    <w:rsid w:val="00623F00"/>
    <w:rsid w:val="00624B60"/>
    <w:rsid w:val="006255F7"/>
    <w:rsid w:val="00640B60"/>
    <w:rsid w:val="0064266E"/>
    <w:rsid w:val="00646326"/>
    <w:rsid w:val="006551AE"/>
    <w:rsid w:val="006658DE"/>
    <w:rsid w:val="0068178D"/>
    <w:rsid w:val="00682E74"/>
    <w:rsid w:val="00684560"/>
    <w:rsid w:val="006915C9"/>
    <w:rsid w:val="00691B50"/>
    <w:rsid w:val="0069572B"/>
    <w:rsid w:val="006A5A6C"/>
    <w:rsid w:val="006A74A1"/>
    <w:rsid w:val="006D26C2"/>
    <w:rsid w:val="006D5B9A"/>
    <w:rsid w:val="006E08C7"/>
    <w:rsid w:val="006F7845"/>
    <w:rsid w:val="00705F7D"/>
    <w:rsid w:val="00714017"/>
    <w:rsid w:val="0072058D"/>
    <w:rsid w:val="00723C47"/>
    <w:rsid w:val="00732353"/>
    <w:rsid w:val="007330D2"/>
    <w:rsid w:val="0074289E"/>
    <w:rsid w:val="0074345B"/>
    <w:rsid w:val="007503B3"/>
    <w:rsid w:val="00754BF2"/>
    <w:rsid w:val="00763010"/>
    <w:rsid w:val="00771A5F"/>
    <w:rsid w:val="0078395D"/>
    <w:rsid w:val="00786F65"/>
    <w:rsid w:val="00790B31"/>
    <w:rsid w:val="007931BB"/>
    <w:rsid w:val="00796FDB"/>
    <w:rsid w:val="007A06A8"/>
    <w:rsid w:val="007B0E02"/>
    <w:rsid w:val="007B359A"/>
    <w:rsid w:val="007C0220"/>
    <w:rsid w:val="007C4410"/>
    <w:rsid w:val="007D6180"/>
    <w:rsid w:val="007E441B"/>
    <w:rsid w:val="007F1596"/>
    <w:rsid w:val="007F2380"/>
    <w:rsid w:val="007F2810"/>
    <w:rsid w:val="00801776"/>
    <w:rsid w:val="00817A10"/>
    <w:rsid w:val="0083189E"/>
    <w:rsid w:val="008332F0"/>
    <w:rsid w:val="00840C75"/>
    <w:rsid w:val="00846140"/>
    <w:rsid w:val="00852A63"/>
    <w:rsid w:val="008547FB"/>
    <w:rsid w:val="00855C38"/>
    <w:rsid w:val="00862B9B"/>
    <w:rsid w:val="00864CF4"/>
    <w:rsid w:val="0087177E"/>
    <w:rsid w:val="00892B5A"/>
    <w:rsid w:val="008C0AEF"/>
    <w:rsid w:val="008C1541"/>
    <w:rsid w:val="008C15CE"/>
    <w:rsid w:val="008D2B6E"/>
    <w:rsid w:val="008D44AB"/>
    <w:rsid w:val="008D6E91"/>
    <w:rsid w:val="008E633B"/>
    <w:rsid w:val="008F0D0C"/>
    <w:rsid w:val="008F6201"/>
    <w:rsid w:val="00904241"/>
    <w:rsid w:val="00906902"/>
    <w:rsid w:val="00906D9A"/>
    <w:rsid w:val="00906E07"/>
    <w:rsid w:val="00915737"/>
    <w:rsid w:val="00931F27"/>
    <w:rsid w:val="00942707"/>
    <w:rsid w:val="00942B57"/>
    <w:rsid w:val="0096494F"/>
    <w:rsid w:val="0096677B"/>
    <w:rsid w:val="00973C94"/>
    <w:rsid w:val="009828AF"/>
    <w:rsid w:val="0098457F"/>
    <w:rsid w:val="00984BE1"/>
    <w:rsid w:val="00992E50"/>
    <w:rsid w:val="00993CF6"/>
    <w:rsid w:val="009950E7"/>
    <w:rsid w:val="009A24F4"/>
    <w:rsid w:val="009A3BE5"/>
    <w:rsid w:val="009C7E6E"/>
    <w:rsid w:val="009D155D"/>
    <w:rsid w:val="009D6216"/>
    <w:rsid w:val="009E5167"/>
    <w:rsid w:val="009F189C"/>
    <w:rsid w:val="009F2A3D"/>
    <w:rsid w:val="00A009BA"/>
    <w:rsid w:val="00A0112B"/>
    <w:rsid w:val="00A1350A"/>
    <w:rsid w:val="00A14D32"/>
    <w:rsid w:val="00A37D80"/>
    <w:rsid w:val="00A5366C"/>
    <w:rsid w:val="00A547EA"/>
    <w:rsid w:val="00A605CD"/>
    <w:rsid w:val="00A75952"/>
    <w:rsid w:val="00A85E41"/>
    <w:rsid w:val="00A91B5F"/>
    <w:rsid w:val="00A91DA6"/>
    <w:rsid w:val="00A957F7"/>
    <w:rsid w:val="00AA2E2C"/>
    <w:rsid w:val="00AA48FC"/>
    <w:rsid w:val="00AA64FD"/>
    <w:rsid w:val="00AA7FA9"/>
    <w:rsid w:val="00AB0F12"/>
    <w:rsid w:val="00AB1C80"/>
    <w:rsid w:val="00AC253A"/>
    <w:rsid w:val="00AC5344"/>
    <w:rsid w:val="00AD46D7"/>
    <w:rsid w:val="00AD4D69"/>
    <w:rsid w:val="00AD573A"/>
    <w:rsid w:val="00AE65E0"/>
    <w:rsid w:val="00AF1030"/>
    <w:rsid w:val="00AF2311"/>
    <w:rsid w:val="00AF3DC2"/>
    <w:rsid w:val="00B05674"/>
    <w:rsid w:val="00B06025"/>
    <w:rsid w:val="00B10D5D"/>
    <w:rsid w:val="00B125E4"/>
    <w:rsid w:val="00B25BD7"/>
    <w:rsid w:val="00B32455"/>
    <w:rsid w:val="00B452E4"/>
    <w:rsid w:val="00B45CD7"/>
    <w:rsid w:val="00B61632"/>
    <w:rsid w:val="00B70B84"/>
    <w:rsid w:val="00B71AA4"/>
    <w:rsid w:val="00B72144"/>
    <w:rsid w:val="00B72496"/>
    <w:rsid w:val="00B76531"/>
    <w:rsid w:val="00BA5A5D"/>
    <w:rsid w:val="00BB3BFB"/>
    <w:rsid w:val="00BB71BA"/>
    <w:rsid w:val="00BC4CF7"/>
    <w:rsid w:val="00BC4F05"/>
    <w:rsid w:val="00BD10E2"/>
    <w:rsid w:val="00BE08C1"/>
    <w:rsid w:val="00BF0314"/>
    <w:rsid w:val="00C0147B"/>
    <w:rsid w:val="00C020E2"/>
    <w:rsid w:val="00C10A61"/>
    <w:rsid w:val="00C10EAE"/>
    <w:rsid w:val="00C164EA"/>
    <w:rsid w:val="00C23898"/>
    <w:rsid w:val="00C27062"/>
    <w:rsid w:val="00C37C27"/>
    <w:rsid w:val="00C54A1F"/>
    <w:rsid w:val="00C66482"/>
    <w:rsid w:val="00C6649E"/>
    <w:rsid w:val="00C67871"/>
    <w:rsid w:val="00C72285"/>
    <w:rsid w:val="00C93274"/>
    <w:rsid w:val="00CA0077"/>
    <w:rsid w:val="00CA1D38"/>
    <w:rsid w:val="00CA58A4"/>
    <w:rsid w:val="00CB3F3C"/>
    <w:rsid w:val="00CB4598"/>
    <w:rsid w:val="00CC0069"/>
    <w:rsid w:val="00CD4E8A"/>
    <w:rsid w:val="00CD7A16"/>
    <w:rsid w:val="00CE2F27"/>
    <w:rsid w:val="00CF199F"/>
    <w:rsid w:val="00CF3C56"/>
    <w:rsid w:val="00CF4BD2"/>
    <w:rsid w:val="00CF71EE"/>
    <w:rsid w:val="00D00927"/>
    <w:rsid w:val="00D01F99"/>
    <w:rsid w:val="00D108E9"/>
    <w:rsid w:val="00D205C1"/>
    <w:rsid w:val="00D2154F"/>
    <w:rsid w:val="00D31BC0"/>
    <w:rsid w:val="00D50DCB"/>
    <w:rsid w:val="00D52383"/>
    <w:rsid w:val="00D573C7"/>
    <w:rsid w:val="00D604DB"/>
    <w:rsid w:val="00D636F8"/>
    <w:rsid w:val="00D70041"/>
    <w:rsid w:val="00D748DE"/>
    <w:rsid w:val="00D821A1"/>
    <w:rsid w:val="00D828AE"/>
    <w:rsid w:val="00D95EEC"/>
    <w:rsid w:val="00D9684D"/>
    <w:rsid w:val="00DA68CB"/>
    <w:rsid w:val="00DB3C58"/>
    <w:rsid w:val="00DC2042"/>
    <w:rsid w:val="00DC4569"/>
    <w:rsid w:val="00DD7FD6"/>
    <w:rsid w:val="00DF741A"/>
    <w:rsid w:val="00DF782E"/>
    <w:rsid w:val="00E00FD7"/>
    <w:rsid w:val="00E019F1"/>
    <w:rsid w:val="00E0686F"/>
    <w:rsid w:val="00E301BF"/>
    <w:rsid w:val="00E31056"/>
    <w:rsid w:val="00E34E27"/>
    <w:rsid w:val="00E37564"/>
    <w:rsid w:val="00E40481"/>
    <w:rsid w:val="00E428EE"/>
    <w:rsid w:val="00E4476A"/>
    <w:rsid w:val="00E5156B"/>
    <w:rsid w:val="00E6024D"/>
    <w:rsid w:val="00E65C07"/>
    <w:rsid w:val="00E817F0"/>
    <w:rsid w:val="00E81B9D"/>
    <w:rsid w:val="00E91EB4"/>
    <w:rsid w:val="00E9659D"/>
    <w:rsid w:val="00EA6F9F"/>
    <w:rsid w:val="00EB03D5"/>
    <w:rsid w:val="00EB1AA9"/>
    <w:rsid w:val="00EB1E15"/>
    <w:rsid w:val="00EB3B40"/>
    <w:rsid w:val="00EB5576"/>
    <w:rsid w:val="00EC12CD"/>
    <w:rsid w:val="00EC4430"/>
    <w:rsid w:val="00ED477C"/>
    <w:rsid w:val="00ED6ED9"/>
    <w:rsid w:val="00ED79AF"/>
    <w:rsid w:val="00ED7D64"/>
    <w:rsid w:val="00EE0CA4"/>
    <w:rsid w:val="00EE107E"/>
    <w:rsid w:val="00EE3A02"/>
    <w:rsid w:val="00F00A4B"/>
    <w:rsid w:val="00F01442"/>
    <w:rsid w:val="00F015D3"/>
    <w:rsid w:val="00F0182F"/>
    <w:rsid w:val="00F13B5D"/>
    <w:rsid w:val="00F20F07"/>
    <w:rsid w:val="00F22C0D"/>
    <w:rsid w:val="00F3068A"/>
    <w:rsid w:val="00F671EA"/>
    <w:rsid w:val="00F70DBD"/>
    <w:rsid w:val="00F80DE7"/>
    <w:rsid w:val="00F81C55"/>
    <w:rsid w:val="00F8548C"/>
    <w:rsid w:val="00F92B2E"/>
    <w:rsid w:val="00F93143"/>
    <w:rsid w:val="00F978D3"/>
    <w:rsid w:val="00F97CB9"/>
    <w:rsid w:val="00FA26E3"/>
    <w:rsid w:val="00FA2D6D"/>
    <w:rsid w:val="00FC070C"/>
    <w:rsid w:val="00FC232B"/>
    <w:rsid w:val="00FC5365"/>
    <w:rsid w:val="00FD1288"/>
    <w:rsid w:val="00FE749F"/>
    <w:rsid w:val="00FE7FB7"/>
    <w:rsid w:val="00FF7239"/>
    <w:rsid w:val="00FF7473"/>
    <w:rsid w:val="02406488"/>
    <w:rsid w:val="04F3C4F7"/>
    <w:rsid w:val="11BC7457"/>
    <w:rsid w:val="1ECE683B"/>
    <w:rsid w:val="21D1346B"/>
    <w:rsid w:val="23BD448A"/>
    <w:rsid w:val="254954C0"/>
    <w:rsid w:val="323004EA"/>
    <w:rsid w:val="35763704"/>
    <w:rsid w:val="3B071084"/>
    <w:rsid w:val="3B579799"/>
    <w:rsid w:val="416A22F5"/>
    <w:rsid w:val="4CAE1568"/>
    <w:rsid w:val="4E390AEE"/>
    <w:rsid w:val="4FFA5DC5"/>
    <w:rsid w:val="55EFBFDF"/>
    <w:rsid w:val="567E3390"/>
    <w:rsid w:val="576B316C"/>
    <w:rsid w:val="57EFADA5"/>
    <w:rsid w:val="5BFF174A"/>
    <w:rsid w:val="5C171691"/>
    <w:rsid w:val="5EFCDE1C"/>
    <w:rsid w:val="5EFFE56A"/>
    <w:rsid w:val="667F749D"/>
    <w:rsid w:val="697675C8"/>
    <w:rsid w:val="6DF768C7"/>
    <w:rsid w:val="6E7FB092"/>
    <w:rsid w:val="71B71DDF"/>
    <w:rsid w:val="73E00E47"/>
    <w:rsid w:val="753FBAC2"/>
    <w:rsid w:val="775AE0E5"/>
    <w:rsid w:val="794009DA"/>
    <w:rsid w:val="7BFFA9B3"/>
    <w:rsid w:val="7DAFDBA3"/>
    <w:rsid w:val="7FFF0687"/>
    <w:rsid w:val="ABFC1169"/>
    <w:rsid w:val="AF34F0D3"/>
    <w:rsid w:val="D7FF8F21"/>
    <w:rsid w:val="DFDE95E6"/>
    <w:rsid w:val="ECEB8D8D"/>
    <w:rsid w:val="F6F78128"/>
    <w:rsid w:val="FB774898"/>
    <w:rsid w:val="FCAE5B12"/>
    <w:rsid w:val="FEDC1656"/>
    <w:rsid w:val="FFDB1824"/>
    <w:rsid w:val="FFFF6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20" w:after="120"/>
      <w:ind w:firstLine="200" w:firstLineChars="200"/>
      <w:outlineLvl w:val="2"/>
    </w:pPr>
    <w:rPr>
      <w:rFonts w:ascii="Times New Roman" w:hAnsi="Times New Roman" w:eastAsia="仿宋_GB2312" w:cstheme="minorBidi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正文-文本"/>
    <w:qFormat/>
    <w:uiPriority w:val="0"/>
    <w:pPr>
      <w:spacing w:line="580" w:lineRule="exact"/>
      <w:ind w:firstLine="200" w:firstLineChars="200"/>
      <w:jc w:val="both"/>
    </w:pPr>
    <w:rPr>
      <w:rFonts w:ascii="Times New Roman" w:hAnsi="Times New Roman" w:eastAsia="仿宋_GB2312" w:cs="Times New Roman"/>
      <w:bCs/>
      <w:kern w:val="2"/>
      <w:sz w:val="32"/>
      <w:szCs w:val="32"/>
      <w:lang w:val="en-US" w:eastAsia="zh-CN" w:bidi="ar-SA"/>
    </w:rPr>
  </w:style>
  <w:style w:type="character" w:customStyle="1" w:styleId="14">
    <w:name w:val="批注框文本 Char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眉 Char"/>
    <w:link w:val="7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7">
    <w:name w:val="正文文本 + SimSun"/>
    <w:qFormat/>
    <w:uiPriority w:val="0"/>
    <w:rPr>
      <w:rFonts w:ascii="宋体" w:hAnsi="宋体" w:eastAsia="MingLiU" w:cs="宋体"/>
      <w:spacing w:val="0"/>
      <w:sz w:val="23"/>
      <w:szCs w:val="23"/>
      <w:lang w:val="en-US" w:eastAsia="en-US" w:bidi="ar-SA"/>
    </w:rPr>
  </w:style>
  <w:style w:type="character" w:customStyle="1" w:styleId="18">
    <w:name w:val="15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10"/>
    <w:basedOn w:val="10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261</Words>
  <Characters>1493</Characters>
  <Lines>1</Lines>
  <Paragraphs>1</Paragraphs>
  <TotalTime>3</TotalTime>
  <ScaleCrop>false</ScaleCrop>
  <LinksUpToDate>false</LinksUpToDate>
  <CharactersWithSpaces>1751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2020-03-01T09:35:00Z</dcterms:created>
  <dc:creator>User</dc:creator>
  <cp:lastModifiedBy>uos</cp:lastModifiedBy>
  <cp:lastPrinted>2022-07-20T23:50:00Z</cp:lastPrinted>
  <dcterms:modified xsi:type="dcterms:W3CDTF">2024-02-19T09:03:28Z</dcterms:modified>
  <dc:title>《关于鼓励磁性产业发展的政策意见》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