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val="0"/>
        <w:topLinePunct w:val="0"/>
        <w:autoSpaceDE/>
        <w:autoSpaceDN/>
        <w:bidi w:val="0"/>
        <w:adjustRightInd w:val="0"/>
        <w:snapToGrid w:val="0"/>
        <w:spacing w:line="560" w:lineRule="exact"/>
        <w:jc w:val="center"/>
        <w:textAlignment w:val="auto"/>
        <w:rPr>
          <w:rFonts w:hint="eastAsia" w:ascii="方正小标宋简体" w:hAnsi="华文中宋" w:eastAsia="方正小标宋简体"/>
          <w:bCs w:val="0"/>
          <w:spacing w:val="0"/>
          <w:sz w:val="44"/>
          <w:szCs w:val="44"/>
          <w:highlight w:val="none"/>
          <w:u w:val="none"/>
        </w:rPr>
      </w:pPr>
      <w:r>
        <w:rPr>
          <w:rFonts w:hint="eastAsia" w:ascii="方正小标宋简体" w:hAnsi="华文中宋" w:eastAsia="方正小标宋简体"/>
          <w:bCs w:val="0"/>
          <w:spacing w:val="0"/>
          <w:sz w:val="44"/>
          <w:szCs w:val="44"/>
          <w:highlight w:val="none"/>
          <w:u w:val="none"/>
        </w:rPr>
        <w:t>上城区进一步推动律师行业高质量发展的</w:t>
      </w:r>
    </w:p>
    <w:p>
      <w:pPr>
        <w:keepNext w:val="0"/>
        <w:keepLines w:val="0"/>
        <w:pageBreakBefore w:val="0"/>
        <w:kinsoku/>
        <w:wordWrap/>
        <w:overflowPunct w:val="0"/>
        <w:topLinePunct w:val="0"/>
        <w:autoSpaceDE/>
        <w:autoSpaceDN/>
        <w:bidi w:val="0"/>
        <w:adjustRightInd w:val="0"/>
        <w:snapToGrid w:val="0"/>
        <w:spacing w:line="560" w:lineRule="exact"/>
        <w:jc w:val="center"/>
        <w:textAlignment w:val="auto"/>
        <w:rPr>
          <w:rFonts w:hint="eastAsia" w:ascii="方正小标宋简体" w:hAnsi="华文中宋" w:eastAsia="方正小标宋简体"/>
          <w:bCs w:val="0"/>
          <w:spacing w:val="0"/>
          <w:sz w:val="44"/>
          <w:szCs w:val="44"/>
          <w:highlight w:val="none"/>
          <w:u w:val="none"/>
          <w:lang w:val="en-US" w:eastAsia="zh-CN"/>
        </w:rPr>
      </w:pPr>
      <w:r>
        <w:rPr>
          <w:rFonts w:hint="eastAsia" w:ascii="方正小标宋简体" w:hAnsi="华文中宋" w:eastAsia="方正小标宋简体"/>
          <w:bCs w:val="0"/>
          <w:spacing w:val="0"/>
          <w:sz w:val="44"/>
          <w:szCs w:val="44"/>
          <w:highlight w:val="none"/>
          <w:u w:val="none"/>
        </w:rPr>
        <w:t>若干</w:t>
      </w:r>
      <w:r>
        <w:rPr>
          <w:rFonts w:hint="eastAsia" w:ascii="方正小标宋简体" w:hAnsi="华文中宋" w:eastAsia="方正小标宋简体"/>
          <w:bCs w:val="0"/>
          <w:spacing w:val="0"/>
          <w:sz w:val="44"/>
          <w:szCs w:val="44"/>
          <w:highlight w:val="none"/>
          <w:u w:val="none"/>
          <w:lang w:val="en-US" w:eastAsia="zh-CN"/>
        </w:rPr>
        <w:t>政策措施</w:t>
      </w:r>
    </w:p>
    <w:p>
      <w:pPr>
        <w:keepNext w:val="0"/>
        <w:keepLines w:val="0"/>
        <w:pageBreakBefore w:val="0"/>
        <w:kinsoku/>
        <w:wordWrap/>
        <w:overflowPunct w:val="0"/>
        <w:topLinePunct w:val="0"/>
        <w:autoSpaceDE/>
        <w:autoSpaceDN/>
        <w:bidi w:val="0"/>
        <w:adjustRightInd w:val="0"/>
        <w:snapToGrid w:val="0"/>
        <w:spacing w:line="560" w:lineRule="exact"/>
        <w:jc w:val="center"/>
        <w:textAlignment w:val="auto"/>
        <w:rPr>
          <w:rFonts w:hint="eastAsia" w:ascii="楷体_GB2312" w:hAnsi="楷体_GB2312" w:eastAsia="楷体_GB2312" w:cs="楷体_GB2312"/>
          <w:bCs w:val="0"/>
          <w:spacing w:val="0"/>
          <w:sz w:val="32"/>
          <w:szCs w:val="48"/>
          <w:highlight w:val="none"/>
          <w:u w:val="none"/>
        </w:rPr>
      </w:pPr>
      <w:r>
        <w:rPr>
          <w:rFonts w:hint="eastAsia" w:ascii="楷体_GB2312" w:hAnsi="楷体_GB2312" w:eastAsia="楷体_GB2312" w:cs="楷体_GB2312"/>
          <w:bCs w:val="0"/>
          <w:spacing w:val="0"/>
          <w:sz w:val="32"/>
          <w:szCs w:val="48"/>
          <w:highlight w:val="none"/>
          <w:u w:val="none"/>
        </w:rPr>
        <w:t>（</w:t>
      </w:r>
      <w:r>
        <w:rPr>
          <w:rFonts w:hint="eastAsia" w:ascii="楷体_GB2312" w:hAnsi="楷体_GB2312" w:eastAsia="楷体_GB2312" w:cs="楷体_GB2312"/>
          <w:bCs w:val="0"/>
          <w:spacing w:val="0"/>
          <w:sz w:val="32"/>
          <w:szCs w:val="48"/>
          <w:highlight w:val="none"/>
          <w:u w:val="none"/>
          <w:lang w:val="en-US" w:eastAsia="zh-CN"/>
        </w:rPr>
        <w:t>征求意见稿</w:t>
      </w:r>
      <w:r>
        <w:rPr>
          <w:rFonts w:hint="eastAsia" w:ascii="楷体_GB2312" w:hAnsi="楷体_GB2312" w:eastAsia="楷体_GB2312" w:cs="楷体_GB2312"/>
          <w:bCs w:val="0"/>
          <w:spacing w:val="0"/>
          <w:sz w:val="32"/>
          <w:szCs w:val="48"/>
          <w:highlight w:val="none"/>
          <w:u w:val="none"/>
        </w:rPr>
        <w:t>）</w:t>
      </w:r>
    </w:p>
    <w:p>
      <w:pPr>
        <w:keepNext w:val="0"/>
        <w:keepLines w:val="0"/>
        <w:pageBreakBefore w:val="0"/>
        <w:kinsoku/>
        <w:wordWrap/>
        <w:overflowPunct w:val="0"/>
        <w:topLinePunct w:val="0"/>
        <w:autoSpaceDE/>
        <w:autoSpaceDN/>
        <w:bidi w:val="0"/>
        <w:adjustRightInd w:val="0"/>
        <w:snapToGrid w:val="0"/>
        <w:spacing w:line="560" w:lineRule="exact"/>
        <w:jc w:val="center"/>
        <w:textAlignment w:val="auto"/>
        <w:rPr>
          <w:rFonts w:hint="eastAsia" w:ascii="楷体_GB2312" w:hAnsi="楷体_GB2312" w:eastAsia="楷体_GB2312" w:cs="楷体_GB2312"/>
          <w:bCs w:val="0"/>
          <w:spacing w:val="0"/>
          <w:sz w:val="32"/>
          <w:szCs w:val="48"/>
          <w:highlight w:val="none"/>
          <w:u w:val="none"/>
        </w:rPr>
      </w:pPr>
      <w:bookmarkStart w:id="4" w:name="_GoBack"/>
      <w:bookmarkEnd w:id="4"/>
    </w:p>
    <w:p>
      <w:pPr>
        <w:keepNext w:val="0"/>
        <w:keepLines w:val="0"/>
        <w:pageBreakBefore w:val="0"/>
        <w:kinsoku/>
        <w:wordWrap/>
        <w:overflowPunct w:val="0"/>
        <w:topLinePunct w:val="0"/>
        <w:autoSpaceDE/>
        <w:autoSpaceDN/>
        <w:bidi w:val="0"/>
        <w:spacing w:line="560" w:lineRule="exact"/>
        <w:ind w:firstLine="640" w:firstLineChars="200"/>
        <w:textAlignment w:val="auto"/>
        <w:rPr>
          <w:rFonts w:ascii="仿宋_GB2312" w:eastAsia="仿宋_GB2312"/>
          <w:bCs w:val="0"/>
          <w:snapToGrid/>
          <w:spacing w:val="0"/>
          <w:kern w:val="2"/>
          <w:sz w:val="32"/>
          <w:szCs w:val="48"/>
          <w:highlight w:val="none"/>
          <w:u w:val="none"/>
        </w:rPr>
      </w:pPr>
      <w:r>
        <w:rPr>
          <w:rFonts w:hint="eastAsia" w:ascii="仿宋_GB2312" w:eastAsia="仿宋_GB2312"/>
          <w:bCs w:val="0"/>
          <w:snapToGrid/>
          <w:spacing w:val="0"/>
          <w:kern w:val="2"/>
          <w:sz w:val="32"/>
          <w:szCs w:val="48"/>
          <w:highlight w:val="none"/>
          <w:u w:val="none"/>
        </w:rPr>
        <w:t>以习近平新时代中国特色社会主义思想为指导,加强习近平法治思想引领,全面落实《中共浙江省委关于全面深化法治浙江建设的决定》、《中共杭州市委关于全面深化法治杭州建设的若干意见》以及省、市相关律师行业扶持政策要求，</w:t>
      </w:r>
      <w:r>
        <w:rPr>
          <w:rFonts w:hint="eastAsia" w:eastAsia="仿宋_GB2312"/>
          <w:bCs w:val="0"/>
          <w:snapToGrid/>
          <w:spacing w:val="0"/>
          <w:kern w:val="2"/>
          <w:sz w:val="32"/>
          <w:szCs w:val="48"/>
          <w:highlight w:val="none"/>
          <w:u w:val="none"/>
        </w:rPr>
        <w:t>进一步</w:t>
      </w:r>
      <w:r>
        <w:rPr>
          <w:rFonts w:hint="eastAsia" w:ascii="仿宋_GB2312" w:eastAsia="仿宋_GB2312"/>
          <w:bCs w:val="0"/>
          <w:snapToGrid/>
          <w:spacing w:val="0"/>
          <w:kern w:val="2"/>
          <w:sz w:val="32"/>
          <w:szCs w:val="48"/>
          <w:highlight w:val="none"/>
          <w:u w:val="none"/>
        </w:rPr>
        <w:t>发挥上城区法律服务资源集聚优势，引育一批规模大、专业强、声誉好的律所，为全面建设独具韵味的国际化现代化共同富裕典范城区提供坚强法治保障。现结合上城区实际，制定本意见。</w:t>
      </w:r>
    </w:p>
    <w:p>
      <w:pPr>
        <w:keepNext w:val="0"/>
        <w:keepLines w:val="0"/>
        <w:pageBreakBefore w:val="0"/>
        <w:kinsoku/>
        <w:wordWrap/>
        <w:overflowPunct w:val="0"/>
        <w:topLinePunct w:val="0"/>
        <w:autoSpaceDE/>
        <w:autoSpaceDN/>
        <w:bidi w:val="0"/>
        <w:spacing w:line="560" w:lineRule="exact"/>
        <w:ind w:firstLine="640" w:firstLineChars="200"/>
        <w:textAlignment w:val="auto"/>
        <w:rPr>
          <w:rFonts w:hint="eastAsia" w:ascii="黑体" w:hAnsi="黑体" w:eastAsia="黑体"/>
          <w:bCs w:val="0"/>
          <w:snapToGrid/>
          <w:spacing w:val="0"/>
          <w:kern w:val="2"/>
          <w:sz w:val="32"/>
          <w:szCs w:val="48"/>
          <w:highlight w:val="none"/>
          <w:u w:val="none"/>
        </w:rPr>
      </w:pPr>
      <w:r>
        <w:rPr>
          <w:rFonts w:hint="eastAsia" w:ascii="黑体" w:hAnsi="黑体" w:eastAsia="黑体"/>
          <w:bCs w:val="0"/>
          <w:snapToGrid/>
          <w:spacing w:val="0"/>
          <w:kern w:val="2"/>
          <w:sz w:val="32"/>
          <w:szCs w:val="48"/>
          <w:highlight w:val="none"/>
          <w:u w:val="none"/>
        </w:rPr>
        <w:t>一、总体目标</w:t>
      </w:r>
    </w:p>
    <w:p>
      <w:pPr>
        <w:keepNext w:val="0"/>
        <w:keepLines w:val="0"/>
        <w:pageBreakBefore w:val="0"/>
        <w:kinsoku/>
        <w:wordWrap/>
        <w:overflowPunct w:val="0"/>
        <w:topLinePunct w:val="0"/>
        <w:autoSpaceDE/>
        <w:autoSpaceDN/>
        <w:bidi w:val="0"/>
        <w:spacing w:line="560" w:lineRule="exact"/>
        <w:ind w:firstLine="640" w:firstLineChars="200"/>
        <w:textAlignment w:val="auto"/>
        <w:rPr>
          <w:rFonts w:hint="eastAsia" w:ascii="仿宋_GB2312" w:eastAsia="仿宋_GB2312"/>
          <w:bCs w:val="0"/>
          <w:snapToGrid/>
          <w:spacing w:val="0"/>
          <w:kern w:val="2"/>
          <w:sz w:val="32"/>
          <w:szCs w:val="48"/>
          <w:highlight w:val="none"/>
          <w:u w:val="none"/>
        </w:rPr>
      </w:pPr>
      <w:r>
        <w:rPr>
          <w:rFonts w:hint="eastAsia" w:ascii="仿宋_GB2312" w:eastAsia="仿宋_GB2312"/>
          <w:bCs w:val="0"/>
          <w:snapToGrid/>
          <w:spacing w:val="0"/>
          <w:kern w:val="2"/>
          <w:sz w:val="32"/>
          <w:szCs w:val="48"/>
          <w:highlight w:val="none"/>
          <w:u w:val="none"/>
        </w:rPr>
        <w:t>通过政策扶持和市场培育，激发律师行业内在活力和发展动力，建立一支与区域经济社会发展和法治建设需求相适应的律师人才队伍，在国内和国际市场树立上城区法律服务品牌。争取到2028年全区律师行业整体发展水平再上新台阶，行业领军型律所与专业律师人才队伍得到持续发展，成功打造一流法律服务人才生态城区。</w:t>
      </w:r>
    </w:p>
    <w:p>
      <w:pPr>
        <w:keepNext w:val="0"/>
        <w:keepLines w:val="0"/>
        <w:pageBreakBefore w:val="0"/>
        <w:kinsoku/>
        <w:wordWrap/>
        <w:overflowPunct w:val="0"/>
        <w:topLinePunct w:val="0"/>
        <w:autoSpaceDE/>
        <w:autoSpaceDN/>
        <w:bidi w:val="0"/>
        <w:spacing w:line="560" w:lineRule="exact"/>
        <w:ind w:firstLine="640" w:firstLineChars="200"/>
        <w:textAlignment w:val="auto"/>
        <w:rPr>
          <w:rFonts w:hint="eastAsia" w:ascii="黑体" w:hAnsi="黑体" w:eastAsia="黑体"/>
          <w:bCs w:val="0"/>
          <w:snapToGrid/>
          <w:spacing w:val="0"/>
          <w:kern w:val="2"/>
          <w:sz w:val="32"/>
          <w:szCs w:val="48"/>
          <w:highlight w:val="none"/>
          <w:u w:val="none"/>
        </w:rPr>
      </w:pPr>
      <w:r>
        <w:rPr>
          <w:rFonts w:hint="eastAsia" w:ascii="黑体" w:hAnsi="黑体" w:eastAsia="黑体"/>
          <w:bCs w:val="0"/>
          <w:snapToGrid/>
          <w:spacing w:val="0"/>
          <w:kern w:val="2"/>
          <w:sz w:val="32"/>
          <w:szCs w:val="48"/>
          <w:highlight w:val="none"/>
          <w:u w:val="none"/>
        </w:rPr>
        <w:t>二、适用范围</w:t>
      </w:r>
    </w:p>
    <w:p>
      <w:pPr>
        <w:keepNext w:val="0"/>
        <w:keepLines w:val="0"/>
        <w:pageBreakBefore w:val="0"/>
        <w:kinsoku/>
        <w:wordWrap/>
        <w:overflowPunct w:val="0"/>
        <w:topLinePunct w:val="0"/>
        <w:autoSpaceDE/>
        <w:autoSpaceDN/>
        <w:bidi w:val="0"/>
        <w:spacing w:line="560" w:lineRule="exact"/>
        <w:ind w:firstLine="640" w:firstLineChars="200"/>
        <w:textAlignment w:val="auto"/>
        <w:rPr>
          <w:rFonts w:hint="eastAsia" w:ascii="仿宋_GB2312" w:eastAsia="仿宋_GB2312"/>
          <w:bCs w:val="0"/>
          <w:snapToGrid/>
          <w:spacing w:val="0"/>
          <w:kern w:val="2"/>
          <w:sz w:val="32"/>
          <w:szCs w:val="48"/>
          <w:highlight w:val="none"/>
          <w:u w:val="none"/>
        </w:rPr>
      </w:pPr>
      <w:r>
        <w:rPr>
          <w:rFonts w:hint="eastAsia" w:ascii="仿宋_GB2312" w:eastAsia="仿宋_GB2312"/>
          <w:bCs w:val="0"/>
          <w:snapToGrid/>
          <w:spacing w:val="0"/>
          <w:kern w:val="2"/>
          <w:sz w:val="32"/>
          <w:szCs w:val="48"/>
          <w:highlight w:val="none"/>
          <w:u w:val="none"/>
        </w:rPr>
        <w:t>本意见适用于在上城区合法经营且具有健全的财务制度、实行独立核算的</w:t>
      </w:r>
      <w:r>
        <w:rPr>
          <w:rFonts w:hint="default" w:ascii="仿宋_GB2312" w:eastAsia="仿宋_GB2312"/>
          <w:bCs w:val="0"/>
          <w:snapToGrid/>
          <w:spacing w:val="0"/>
          <w:kern w:val="2"/>
          <w:sz w:val="32"/>
          <w:szCs w:val="48"/>
          <w:highlight w:val="none"/>
          <w:u w:val="none"/>
        </w:rPr>
        <w:t>律师事务</w:t>
      </w:r>
      <w:r>
        <w:rPr>
          <w:rFonts w:hint="eastAsia" w:ascii="仿宋_GB2312" w:eastAsia="仿宋_GB2312"/>
          <w:bCs w:val="0"/>
          <w:snapToGrid/>
          <w:spacing w:val="0"/>
          <w:kern w:val="2"/>
          <w:sz w:val="32"/>
          <w:szCs w:val="48"/>
          <w:highlight w:val="none"/>
          <w:u w:val="none"/>
        </w:rPr>
        <w:t>所和在上述</w:t>
      </w:r>
      <w:r>
        <w:rPr>
          <w:rFonts w:hint="default" w:ascii="仿宋_GB2312" w:eastAsia="仿宋_GB2312"/>
          <w:bCs w:val="0"/>
          <w:snapToGrid/>
          <w:spacing w:val="0"/>
          <w:kern w:val="2"/>
          <w:sz w:val="32"/>
          <w:szCs w:val="48"/>
          <w:highlight w:val="none"/>
          <w:u w:val="none"/>
        </w:rPr>
        <w:t>律师事务所</w:t>
      </w:r>
      <w:r>
        <w:rPr>
          <w:rFonts w:hint="eastAsia" w:ascii="仿宋_GB2312" w:eastAsia="仿宋_GB2312"/>
          <w:bCs w:val="0"/>
          <w:snapToGrid/>
          <w:spacing w:val="0"/>
          <w:kern w:val="2"/>
          <w:sz w:val="32"/>
          <w:szCs w:val="48"/>
          <w:highlight w:val="none"/>
          <w:u w:val="none"/>
        </w:rPr>
        <w:t>执业的专职律师。</w:t>
      </w:r>
    </w:p>
    <w:p>
      <w:pPr>
        <w:keepNext w:val="0"/>
        <w:keepLines w:val="0"/>
        <w:pageBreakBefore w:val="0"/>
        <w:kinsoku/>
        <w:wordWrap/>
        <w:overflowPunct w:val="0"/>
        <w:topLinePunct w:val="0"/>
        <w:autoSpaceDE/>
        <w:autoSpaceDN/>
        <w:bidi w:val="0"/>
        <w:spacing w:line="560" w:lineRule="exact"/>
        <w:ind w:firstLine="640" w:firstLineChars="200"/>
        <w:textAlignment w:val="auto"/>
        <w:rPr>
          <w:rFonts w:hint="eastAsia" w:ascii="黑体" w:hAnsi="黑体" w:eastAsia="黑体"/>
          <w:bCs w:val="0"/>
          <w:snapToGrid/>
          <w:spacing w:val="0"/>
          <w:kern w:val="2"/>
          <w:sz w:val="32"/>
          <w:szCs w:val="48"/>
          <w:highlight w:val="none"/>
          <w:u w:val="none"/>
        </w:rPr>
      </w:pPr>
      <w:r>
        <w:rPr>
          <w:rFonts w:hint="eastAsia" w:ascii="黑体" w:hAnsi="黑体" w:eastAsia="黑体"/>
          <w:bCs w:val="0"/>
          <w:snapToGrid/>
          <w:spacing w:val="0"/>
          <w:kern w:val="2"/>
          <w:sz w:val="32"/>
          <w:szCs w:val="48"/>
          <w:highlight w:val="none"/>
          <w:u w:val="none"/>
        </w:rPr>
        <w:t>三、主要措施</w:t>
      </w:r>
    </w:p>
    <w:p>
      <w:pPr>
        <w:keepNext w:val="0"/>
        <w:keepLines w:val="0"/>
        <w:pageBreakBefore w:val="0"/>
        <w:kinsoku/>
        <w:wordWrap/>
        <w:overflowPunct w:val="0"/>
        <w:topLinePunct w:val="0"/>
        <w:autoSpaceDE/>
        <w:autoSpaceDN/>
        <w:bidi w:val="0"/>
        <w:spacing w:line="560" w:lineRule="exact"/>
        <w:ind w:firstLine="643" w:firstLineChars="200"/>
        <w:textAlignment w:val="auto"/>
        <w:rPr>
          <w:rFonts w:hint="eastAsia" w:ascii="楷体_GB2312" w:hAnsi="楷体_GB2312" w:eastAsia="楷体_GB2312" w:cs="楷体_GB2312"/>
          <w:b/>
          <w:snapToGrid/>
          <w:spacing w:val="0"/>
          <w:kern w:val="2"/>
          <w:sz w:val="32"/>
          <w:szCs w:val="48"/>
          <w:highlight w:val="none"/>
          <w:u w:val="none"/>
        </w:rPr>
      </w:pPr>
      <w:r>
        <w:rPr>
          <w:rFonts w:hint="eastAsia" w:ascii="楷体_GB2312" w:hAnsi="楷体_GB2312" w:eastAsia="楷体_GB2312" w:cs="楷体_GB2312"/>
          <w:b/>
          <w:snapToGrid/>
          <w:spacing w:val="0"/>
          <w:kern w:val="2"/>
          <w:sz w:val="32"/>
          <w:szCs w:val="48"/>
          <w:highlight w:val="none"/>
          <w:u w:val="none"/>
        </w:rPr>
        <w:t>（一）加强政治建设，确保律师行业正确发展方向</w:t>
      </w:r>
    </w:p>
    <w:p>
      <w:pPr>
        <w:keepNext w:val="0"/>
        <w:keepLines w:val="0"/>
        <w:pageBreakBefore w:val="0"/>
        <w:kinsoku/>
        <w:wordWrap/>
        <w:overflowPunct w:val="0"/>
        <w:topLinePunct w:val="0"/>
        <w:autoSpaceDE/>
        <w:autoSpaceDN/>
        <w:bidi w:val="0"/>
        <w:spacing w:line="560" w:lineRule="exact"/>
        <w:ind w:firstLine="640" w:firstLineChars="200"/>
        <w:textAlignment w:val="auto"/>
        <w:rPr>
          <w:rFonts w:ascii="仿宋_GB2312" w:eastAsia="仿宋_GB2312"/>
          <w:bCs w:val="0"/>
          <w:snapToGrid/>
          <w:spacing w:val="0"/>
          <w:kern w:val="2"/>
          <w:szCs w:val="32"/>
          <w:highlight w:val="none"/>
          <w:u w:val="none"/>
        </w:rPr>
      </w:pPr>
      <w:r>
        <w:rPr>
          <w:rFonts w:hint="eastAsia" w:ascii="仿宋_GB2312" w:eastAsia="仿宋_GB2312"/>
          <w:bCs w:val="0"/>
          <w:snapToGrid/>
          <w:spacing w:val="0"/>
          <w:kern w:val="2"/>
          <w:sz w:val="32"/>
          <w:szCs w:val="48"/>
          <w:highlight w:val="none"/>
          <w:u w:val="none"/>
        </w:rPr>
        <w:t>（1）优化律师行业党建工作机制。切实加强党对律师工作的全面领导，深入贯彻新时代党的建设总体要求，不断拓展律师行业党建平台，夯实党建工作基础。充分发挥区律师行业党委政治统领作用，探索符合上城区律师职业特点的党建工作新模式，把党建工作纳入律师事务所管理评价范围。指导全区律师进一步学深悟透习近平法治思想，率先打造一批有辨识度、有影响力的上城律师行业党建品牌。积极培育律师行业党建工作示范点，总结、宣传、推广党建工作经验做法，不断提升律师行业党建工作水平。</w:t>
      </w:r>
    </w:p>
    <w:p>
      <w:pPr>
        <w:keepNext w:val="0"/>
        <w:keepLines w:val="0"/>
        <w:pageBreakBefore w:val="0"/>
        <w:kinsoku/>
        <w:wordWrap/>
        <w:overflowPunct w:val="0"/>
        <w:topLinePunct w:val="0"/>
        <w:autoSpaceDE/>
        <w:autoSpaceDN/>
        <w:bidi w:val="0"/>
        <w:spacing w:line="560" w:lineRule="exact"/>
        <w:ind w:firstLine="643" w:firstLineChars="200"/>
        <w:textAlignment w:val="auto"/>
        <w:rPr>
          <w:rFonts w:hint="eastAsia" w:ascii="楷体_GB2312" w:hAnsi="楷体_GB2312" w:eastAsia="楷体_GB2312" w:cs="楷体_GB2312"/>
          <w:b/>
          <w:snapToGrid/>
          <w:spacing w:val="0"/>
          <w:kern w:val="2"/>
          <w:sz w:val="32"/>
          <w:szCs w:val="48"/>
          <w:highlight w:val="none"/>
          <w:u w:val="none"/>
        </w:rPr>
      </w:pPr>
      <w:r>
        <w:rPr>
          <w:rFonts w:hint="eastAsia" w:ascii="楷体_GB2312" w:hAnsi="楷体_GB2312" w:eastAsia="楷体_GB2312" w:cs="楷体_GB2312"/>
          <w:b/>
          <w:snapToGrid/>
          <w:spacing w:val="0"/>
          <w:kern w:val="2"/>
          <w:sz w:val="32"/>
          <w:szCs w:val="48"/>
          <w:highlight w:val="none"/>
          <w:u w:val="none"/>
        </w:rPr>
        <w:t>（二）提高涉外法律服务素养，增强国际竞争力</w:t>
      </w:r>
    </w:p>
    <w:p>
      <w:pPr>
        <w:keepNext w:val="0"/>
        <w:keepLines w:val="0"/>
        <w:pageBreakBefore w:val="0"/>
        <w:kinsoku/>
        <w:wordWrap/>
        <w:overflowPunct w:val="0"/>
        <w:topLinePunct w:val="0"/>
        <w:autoSpaceDE/>
        <w:autoSpaceDN/>
        <w:bidi w:val="0"/>
        <w:spacing w:line="560" w:lineRule="exact"/>
        <w:ind w:firstLine="640" w:firstLineChars="200"/>
        <w:textAlignment w:val="auto"/>
        <w:rPr>
          <w:rFonts w:hint="eastAsia" w:ascii="仿宋_GB2312" w:eastAsia="仿宋_GB2312"/>
          <w:bCs w:val="0"/>
          <w:snapToGrid/>
          <w:spacing w:val="0"/>
          <w:kern w:val="2"/>
          <w:sz w:val="32"/>
          <w:szCs w:val="48"/>
          <w:highlight w:val="none"/>
          <w:u w:val="none"/>
        </w:rPr>
      </w:pPr>
      <w:r>
        <w:rPr>
          <w:rFonts w:hint="eastAsia" w:ascii="仿宋_GB2312" w:eastAsia="仿宋_GB2312"/>
          <w:bCs w:val="0"/>
          <w:snapToGrid/>
          <w:spacing w:val="0"/>
          <w:kern w:val="2"/>
          <w:sz w:val="32"/>
          <w:szCs w:val="48"/>
          <w:highlight w:val="none"/>
          <w:u w:val="none"/>
        </w:rPr>
        <w:t>（2）鼓励和支持律师事务所专业化发展。引导律师事务所根据市场需求与自身优势进行专业化定位，支持有条件的律师事务所通过并购、联营、品牌输出等方式“走出去”，对在境外设立分支机构的，给予一次性奖励</w:t>
      </w:r>
      <w:r>
        <w:rPr>
          <w:rFonts w:hint="eastAsia" w:ascii="仿宋_GB2312" w:eastAsia="仿宋_GB2312"/>
          <w:bCs w:val="0"/>
          <w:snapToGrid/>
          <w:spacing w:val="0"/>
          <w:kern w:val="2"/>
          <w:sz w:val="32"/>
          <w:szCs w:val="48"/>
          <w:highlight w:val="none"/>
          <w:u w:val="none"/>
          <w:lang w:val="en-US" w:eastAsia="zh-CN"/>
        </w:rPr>
        <w:t>20</w:t>
      </w:r>
      <w:r>
        <w:rPr>
          <w:rFonts w:hint="eastAsia" w:ascii="仿宋_GB2312" w:eastAsia="仿宋_GB2312"/>
          <w:bCs w:val="0"/>
          <w:snapToGrid/>
          <w:spacing w:val="0"/>
          <w:kern w:val="2"/>
          <w:sz w:val="32"/>
          <w:szCs w:val="48"/>
          <w:highlight w:val="none"/>
          <w:u w:val="none"/>
        </w:rPr>
        <w:t>万元；律师事务所被评定为全国涉外法律服务示范机构的，给予一次性奖励30万元。</w:t>
      </w:r>
    </w:p>
    <w:p>
      <w:pPr>
        <w:keepNext w:val="0"/>
        <w:keepLines w:val="0"/>
        <w:pageBreakBefore w:val="0"/>
        <w:kinsoku/>
        <w:wordWrap/>
        <w:overflowPunct w:val="0"/>
        <w:topLinePunct w:val="0"/>
        <w:autoSpaceDE/>
        <w:autoSpaceDN/>
        <w:bidi w:val="0"/>
        <w:spacing w:line="560" w:lineRule="exact"/>
        <w:ind w:firstLine="640" w:firstLineChars="200"/>
        <w:textAlignment w:val="auto"/>
        <w:rPr>
          <w:rFonts w:hint="eastAsia" w:ascii="仿宋_GB2312" w:eastAsia="仿宋_GB2312"/>
          <w:bCs w:val="0"/>
          <w:snapToGrid/>
          <w:spacing w:val="0"/>
          <w:kern w:val="2"/>
          <w:sz w:val="32"/>
          <w:szCs w:val="48"/>
          <w:highlight w:val="none"/>
          <w:u w:val="none"/>
        </w:rPr>
      </w:pPr>
      <w:r>
        <w:rPr>
          <w:rFonts w:hint="eastAsia" w:ascii="仿宋_GB2312" w:eastAsia="仿宋_GB2312"/>
          <w:bCs w:val="0"/>
          <w:snapToGrid/>
          <w:spacing w:val="0"/>
          <w:kern w:val="2"/>
          <w:sz w:val="32"/>
          <w:szCs w:val="48"/>
          <w:highlight w:val="none"/>
          <w:u w:val="none"/>
        </w:rPr>
        <w:t>（3）培育和引进涉外律师人才。鼓励律师担任境外律师事务所法律顾问，获得境外律师资格和执业许可，对我区律师代理</w:t>
      </w:r>
      <w:bookmarkStart w:id="0" w:name="OLE_LINK4"/>
      <w:r>
        <w:rPr>
          <w:rFonts w:hint="eastAsia" w:ascii="仿宋_GB2312" w:eastAsia="仿宋_GB2312"/>
          <w:bCs w:val="0"/>
          <w:snapToGrid/>
          <w:spacing w:val="0"/>
          <w:kern w:val="2"/>
          <w:sz w:val="32"/>
          <w:szCs w:val="48"/>
          <w:highlight w:val="none"/>
          <w:u w:val="none"/>
        </w:rPr>
        <w:t>绿地投资</w:t>
      </w:r>
      <w:bookmarkEnd w:id="0"/>
      <w:r>
        <w:rPr>
          <w:rFonts w:hint="eastAsia" w:ascii="仿宋_GB2312" w:eastAsia="仿宋_GB2312"/>
          <w:bCs w:val="0"/>
          <w:snapToGrid/>
          <w:spacing w:val="0"/>
          <w:kern w:val="2"/>
          <w:sz w:val="32"/>
          <w:szCs w:val="48"/>
          <w:highlight w:val="none"/>
          <w:u w:val="none"/>
        </w:rPr>
        <w:t>、境外并购、境外反垄断调查、境外贸易纠纷解决、境外贸易救济措施业务的，根据业务类型和标的额给予律师最高50万元的补助。对入选全国千名涉外律师人才库</w:t>
      </w:r>
      <w:r>
        <w:rPr>
          <w:rFonts w:hint="eastAsia" w:ascii="仿宋_GB2312" w:eastAsia="仿宋_GB2312"/>
          <w:bCs w:val="0"/>
          <w:snapToGrid/>
          <w:spacing w:val="0"/>
          <w:kern w:val="2"/>
          <w:sz w:val="32"/>
          <w:szCs w:val="48"/>
          <w:highlight w:val="none"/>
          <w:u w:val="none"/>
          <w:lang w:eastAsia="zh-CN"/>
        </w:rPr>
        <w:t>、</w:t>
      </w:r>
      <w:r>
        <w:rPr>
          <w:rFonts w:hint="eastAsia" w:ascii="仿宋_GB2312" w:eastAsia="仿宋_GB2312"/>
          <w:bCs w:val="0"/>
          <w:snapToGrid/>
          <w:spacing w:val="0"/>
          <w:kern w:val="2"/>
          <w:sz w:val="32"/>
          <w:szCs w:val="48"/>
          <w:highlight w:val="none"/>
          <w:u w:val="none"/>
          <w:lang w:val="en-US" w:eastAsia="zh-CN"/>
        </w:rPr>
        <w:t>新入选</w:t>
      </w:r>
      <w:r>
        <w:rPr>
          <w:rFonts w:hint="eastAsia" w:ascii="仿宋_GB2312" w:eastAsia="仿宋_GB2312"/>
          <w:bCs w:val="0"/>
          <w:snapToGrid/>
          <w:spacing w:val="0"/>
          <w:kern w:val="2"/>
          <w:sz w:val="32"/>
          <w:szCs w:val="48"/>
          <w:highlight w:val="none"/>
          <w:u w:val="none"/>
          <w:lang w:eastAsia="zh-CN"/>
        </w:rPr>
        <w:t>浙江省涉外律师人才库的</w:t>
      </w:r>
      <w:r>
        <w:rPr>
          <w:rFonts w:hint="eastAsia" w:ascii="仿宋_GB2312" w:eastAsia="仿宋_GB2312"/>
          <w:bCs w:val="0"/>
          <w:snapToGrid/>
          <w:spacing w:val="0"/>
          <w:kern w:val="2"/>
          <w:sz w:val="32"/>
          <w:szCs w:val="48"/>
          <w:highlight w:val="none"/>
          <w:u w:val="none"/>
          <w:lang w:val="en-US" w:eastAsia="zh-CN"/>
        </w:rPr>
        <w:t>律师，给予最高奖励2万元</w:t>
      </w:r>
      <w:r>
        <w:rPr>
          <w:rFonts w:hint="default" w:ascii="仿宋_GB2312" w:eastAsia="仿宋_GB2312"/>
          <w:bCs w:val="0"/>
          <w:snapToGrid/>
          <w:spacing w:val="0"/>
          <w:kern w:val="2"/>
          <w:sz w:val="32"/>
          <w:szCs w:val="48"/>
          <w:highlight w:val="none"/>
          <w:u w:val="none"/>
          <w:lang w:eastAsia="zh-CN"/>
        </w:rPr>
        <w:t>；</w:t>
      </w:r>
      <w:r>
        <w:rPr>
          <w:rFonts w:hint="eastAsia" w:ascii="仿宋_GB2312" w:eastAsia="仿宋_GB2312"/>
          <w:bCs w:val="0"/>
          <w:snapToGrid/>
          <w:spacing w:val="0"/>
          <w:kern w:val="2"/>
          <w:sz w:val="32"/>
          <w:szCs w:val="48"/>
          <w:highlight w:val="none"/>
          <w:u w:val="none"/>
          <w:lang w:val="en-US" w:eastAsia="zh-CN"/>
        </w:rPr>
        <w:t>对</w:t>
      </w:r>
      <w:r>
        <w:rPr>
          <w:rFonts w:hint="eastAsia" w:ascii="仿宋_GB2312" w:eastAsia="仿宋_GB2312"/>
          <w:bCs w:val="0"/>
          <w:snapToGrid/>
          <w:spacing w:val="0"/>
          <w:kern w:val="2"/>
          <w:sz w:val="32"/>
          <w:szCs w:val="48"/>
          <w:highlight w:val="none"/>
          <w:u w:val="none"/>
        </w:rPr>
        <w:t>新取得境外律师</w:t>
      </w:r>
      <w:r>
        <w:rPr>
          <w:rFonts w:hint="eastAsia" w:ascii="仿宋_GB2312" w:eastAsia="仿宋_GB2312"/>
          <w:bCs w:val="0"/>
          <w:snapToGrid/>
          <w:spacing w:val="0"/>
          <w:kern w:val="2"/>
          <w:sz w:val="32"/>
          <w:szCs w:val="48"/>
          <w:highlight w:val="none"/>
          <w:u w:val="none"/>
          <w:lang w:val="en-US" w:eastAsia="zh-CN"/>
        </w:rPr>
        <w:t>执业</w:t>
      </w:r>
      <w:r>
        <w:rPr>
          <w:rFonts w:hint="eastAsia" w:ascii="仿宋_GB2312" w:eastAsia="仿宋_GB2312"/>
          <w:bCs w:val="0"/>
          <w:snapToGrid/>
          <w:spacing w:val="0"/>
          <w:kern w:val="2"/>
          <w:sz w:val="32"/>
          <w:szCs w:val="48"/>
          <w:highlight w:val="none"/>
          <w:u w:val="none"/>
        </w:rPr>
        <w:t>资格的律师，给予</w:t>
      </w:r>
      <w:r>
        <w:rPr>
          <w:rFonts w:hint="eastAsia" w:ascii="仿宋_GB2312" w:eastAsia="仿宋_GB2312"/>
          <w:bCs w:val="0"/>
          <w:snapToGrid/>
          <w:spacing w:val="0"/>
          <w:kern w:val="2"/>
          <w:sz w:val="32"/>
          <w:szCs w:val="48"/>
          <w:highlight w:val="none"/>
          <w:u w:val="none"/>
          <w:lang w:val="en-US" w:eastAsia="zh-CN"/>
        </w:rPr>
        <w:t>最高</w:t>
      </w:r>
      <w:r>
        <w:rPr>
          <w:rFonts w:hint="eastAsia" w:ascii="仿宋_GB2312" w:eastAsia="仿宋_GB2312"/>
          <w:bCs w:val="0"/>
          <w:snapToGrid/>
          <w:spacing w:val="0"/>
          <w:kern w:val="2"/>
          <w:sz w:val="32"/>
          <w:szCs w:val="48"/>
          <w:highlight w:val="none"/>
          <w:u w:val="none"/>
        </w:rPr>
        <w:t>奖励</w:t>
      </w:r>
      <w:r>
        <w:rPr>
          <w:rFonts w:hint="eastAsia" w:ascii="仿宋_GB2312" w:eastAsia="仿宋_GB2312"/>
          <w:bCs w:val="0"/>
          <w:snapToGrid/>
          <w:spacing w:val="0"/>
          <w:kern w:val="2"/>
          <w:sz w:val="32"/>
          <w:szCs w:val="48"/>
          <w:highlight w:val="none"/>
          <w:u w:val="none"/>
          <w:lang w:val="en-US" w:eastAsia="zh-CN"/>
        </w:rPr>
        <w:t>1</w:t>
      </w:r>
      <w:r>
        <w:rPr>
          <w:rFonts w:hint="eastAsia" w:ascii="仿宋_GB2312" w:eastAsia="仿宋_GB2312"/>
          <w:bCs w:val="0"/>
          <w:snapToGrid/>
          <w:spacing w:val="0"/>
          <w:kern w:val="2"/>
          <w:sz w:val="32"/>
          <w:szCs w:val="48"/>
          <w:highlight w:val="none"/>
          <w:u w:val="none"/>
        </w:rPr>
        <w:t>万元。</w:t>
      </w:r>
    </w:p>
    <w:p>
      <w:pPr>
        <w:keepNext w:val="0"/>
        <w:keepLines w:val="0"/>
        <w:pageBreakBefore w:val="0"/>
        <w:kinsoku/>
        <w:wordWrap/>
        <w:overflowPunct w:val="0"/>
        <w:topLinePunct w:val="0"/>
        <w:autoSpaceDE/>
        <w:autoSpaceDN/>
        <w:bidi w:val="0"/>
        <w:spacing w:line="560" w:lineRule="exact"/>
        <w:ind w:firstLine="640" w:firstLineChars="200"/>
        <w:textAlignment w:val="auto"/>
        <w:rPr>
          <w:rFonts w:hint="eastAsia" w:ascii="仿宋_GB2312" w:eastAsia="仿宋_GB2312"/>
          <w:bCs w:val="0"/>
          <w:snapToGrid/>
          <w:spacing w:val="0"/>
          <w:kern w:val="2"/>
          <w:sz w:val="32"/>
          <w:szCs w:val="48"/>
          <w:highlight w:val="none"/>
          <w:u w:val="none"/>
        </w:rPr>
      </w:pPr>
      <w:r>
        <w:rPr>
          <w:rFonts w:hint="eastAsia" w:ascii="仿宋_GB2312" w:eastAsia="仿宋_GB2312"/>
          <w:bCs w:val="0"/>
          <w:snapToGrid/>
          <w:spacing w:val="0"/>
          <w:kern w:val="2"/>
          <w:sz w:val="32"/>
          <w:szCs w:val="48"/>
          <w:highlight w:val="none"/>
          <w:u w:val="none"/>
        </w:rPr>
        <w:t>（4）支持“出海产业链+法律服务模式”。鼓励</w:t>
      </w:r>
      <w:r>
        <w:rPr>
          <w:rFonts w:hint="eastAsia" w:ascii="仿宋_GB2312" w:eastAsia="仿宋_GB2312"/>
          <w:bCs w:val="0"/>
          <w:snapToGrid/>
          <w:spacing w:val="0"/>
          <w:kern w:val="2"/>
          <w:sz w:val="32"/>
          <w:szCs w:val="48"/>
          <w:highlight w:val="none"/>
          <w:u w:val="none"/>
          <w:lang w:val="en-US" w:eastAsia="zh-CN"/>
        </w:rPr>
        <w:t>律师事务所</w:t>
      </w:r>
      <w:r>
        <w:rPr>
          <w:rFonts w:hint="eastAsia" w:ascii="仿宋_GB2312" w:eastAsia="仿宋_GB2312"/>
          <w:bCs w:val="0"/>
          <w:snapToGrid/>
          <w:spacing w:val="0"/>
          <w:kern w:val="2"/>
          <w:sz w:val="32"/>
          <w:szCs w:val="48"/>
          <w:highlight w:val="none"/>
          <w:u w:val="none"/>
        </w:rPr>
        <w:t>与国际商会、涉外中介服务企业合作，鼓励律师事务所积极参与、举办各类重要</w:t>
      </w:r>
      <w:r>
        <w:rPr>
          <w:rFonts w:hint="default" w:ascii="仿宋_GB2312" w:eastAsia="仿宋_GB2312"/>
          <w:bCs w:val="0"/>
          <w:snapToGrid/>
          <w:spacing w:val="0"/>
          <w:kern w:val="2"/>
          <w:sz w:val="32"/>
          <w:szCs w:val="48"/>
          <w:highlight w:val="none"/>
          <w:u w:val="none"/>
        </w:rPr>
        <w:t>涉外</w:t>
      </w:r>
      <w:r>
        <w:rPr>
          <w:rFonts w:hint="eastAsia" w:ascii="仿宋_GB2312" w:eastAsia="仿宋_GB2312"/>
          <w:bCs w:val="0"/>
          <w:snapToGrid/>
          <w:spacing w:val="0"/>
          <w:kern w:val="2"/>
          <w:sz w:val="32"/>
          <w:szCs w:val="48"/>
          <w:highlight w:val="none"/>
          <w:u w:val="none"/>
        </w:rPr>
        <w:t>培训</w:t>
      </w:r>
      <w:r>
        <w:rPr>
          <w:rFonts w:hint="default" w:ascii="仿宋_GB2312" w:eastAsia="仿宋_GB2312"/>
          <w:bCs w:val="0"/>
          <w:snapToGrid/>
          <w:spacing w:val="0"/>
          <w:kern w:val="2"/>
          <w:sz w:val="32"/>
          <w:szCs w:val="48"/>
          <w:highlight w:val="none"/>
          <w:u w:val="none"/>
        </w:rPr>
        <w:t>、</w:t>
      </w:r>
      <w:r>
        <w:rPr>
          <w:rFonts w:hint="eastAsia" w:ascii="仿宋_GB2312" w:eastAsia="仿宋_GB2312"/>
          <w:bCs w:val="0"/>
          <w:snapToGrid/>
          <w:spacing w:val="0"/>
          <w:kern w:val="2"/>
          <w:sz w:val="32"/>
          <w:szCs w:val="48"/>
          <w:highlight w:val="none"/>
          <w:u w:val="none"/>
        </w:rPr>
        <w:t>论坛、会议</w:t>
      </w:r>
      <w:r>
        <w:rPr>
          <w:rFonts w:hint="default" w:ascii="仿宋_GB2312" w:eastAsia="仿宋_GB2312"/>
          <w:bCs w:val="0"/>
          <w:snapToGrid/>
          <w:spacing w:val="0"/>
          <w:kern w:val="2"/>
          <w:sz w:val="32"/>
          <w:szCs w:val="48"/>
          <w:highlight w:val="none"/>
          <w:u w:val="none"/>
        </w:rPr>
        <w:t>等活动</w:t>
      </w:r>
      <w:r>
        <w:rPr>
          <w:rFonts w:hint="eastAsia" w:ascii="仿宋_GB2312" w:eastAsia="仿宋_GB2312"/>
          <w:bCs w:val="0"/>
          <w:snapToGrid/>
          <w:spacing w:val="0"/>
          <w:kern w:val="2"/>
          <w:sz w:val="32"/>
          <w:szCs w:val="48"/>
          <w:highlight w:val="none"/>
          <w:u w:val="none"/>
        </w:rPr>
        <w:t>，对于承办重要</w:t>
      </w:r>
      <w:r>
        <w:rPr>
          <w:rFonts w:hint="default" w:ascii="仿宋_GB2312" w:eastAsia="仿宋_GB2312"/>
          <w:bCs w:val="0"/>
          <w:snapToGrid/>
          <w:spacing w:val="0"/>
          <w:kern w:val="2"/>
          <w:sz w:val="32"/>
          <w:szCs w:val="48"/>
          <w:highlight w:val="none"/>
          <w:u w:val="none"/>
        </w:rPr>
        <w:t>涉外</w:t>
      </w:r>
      <w:r>
        <w:rPr>
          <w:rFonts w:hint="eastAsia" w:ascii="仿宋_GB2312" w:eastAsia="仿宋_GB2312"/>
          <w:bCs w:val="0"/>
          <w:snapToGrid/>
          <w:spacing w:val="0"/>
          <w:kern w:val="2"/>
          <w:sz w:val="32"/>
          <w:szCs w:val="48"/>
          <w:highlight w:val="none"/>
          <w:u w:val="none"/>
        </w:rPr>
        <w:t>培训</w:t>
      </w:r>
      <w:r>
        <w:rPr>
          <w:rFonts w:hint="default" w:ascii="仿宋_GB2312" w:eastAsia="仿宋_GB2312"/>
          <w:bCs w:val="0"/>
          <w:snapToGrid/>
          <w:spacing w:val="0"/>
          <w:kern w:val="2"/>
          <w:sz w:val="32"/>
          <w:szCs w:val="48"/>
          <w:highlight w:val="none"/>
          <w:u w:val="none"/>
        </w:rPr>
        <w:t>、</w:t>
      </w:r>
      <w:r>
        <w:rPr>
          <w:rFonts w:hint="eastAsia" w:ascii="仿宋_GB2312" w:eastAsia="仿宋_GB2312"/>
          <w:bCs w:val="0"/>
          <w:snapToGrid/>
          <w:spacing w:val="0"/>
          <w:kern w:val="2"/>
          <w:sz w:val="32"/>
          <w:szCs w:val="48"/>
          <w:highlight w:val="none"/>
          <w:u w:val="none"/>
        </w:rPr>
        <w:t>论坛、会议</w:t>
      </w:r>
      <w:r>
        <w:rPr>
          <w:rFonts w:hint="default" w:ascii="仿宋_GB2312" w:eastAsia="仿宋_GB2312"/>
          <w:bCs w:val="0"/>
          <w:snapToGrid/>
          <w:spacing w:val="0"/>
          <w:kern w:val="2"/>
          <w:sz w:val="32"/>
          <w:szCs w:val="48"/>
          <w:highlight w:val="none"/>
          <w:u w:val="none"/>
        </w:rPr>
        <w:t>等活动</w:t>
      </w:r>
      <w:r>
        <w:rPr>
          <w:rFonts w:hint="eastAsia" w:ascii="仿宋_GB2312" w:eastAsia="仿宋_GB2312"/>
          <w:bCs w:val="0"/>
          <w:snapToGrid/>
          <w:spacing w:val="0"/>
          <w:kern w:val="2"/>
          <w:sz w:val="32"/>
          <w:szCs w:val="48"/>
          <w:highlight w:val="none"/>
          <w:u w:val="none"/>
        </w:rPr>
        <w:t>的，</w:t>
      </w:r>
      <w:r>
        <w:rPr>
          <w:rFonts w:hint="default" w:ascii="仿宋_GB2312" w:eastAsia="仿宋_GB2312"/>
          <w:bCs w:val="0"/>
          <w:snapToGrid/>
          <w:spacing w:val="0"/>
          <w:kern w:val="2"/>
          <w:sz w:val="32"/>
          <w:szCs w:val="48"/>
          <w:highlight w:val="none"/>
          <w:u w:val="none"/>
        </w:rPr>
        <w:t>可提供场地支持，</w:t>
      </w:r>
      <w:r>
        <w:rPr>
          <w:rFonts w:hint="eastAsia" w:ascii="仿宋_GB2312" w:eastAsia="仿宋_GB2312"/>
          <w:bCs w:val="0"/>
          <w:snapToGrid/>
          <w:spacing w:val="0"/>
          <w:kern w:val="2"/>
          <w:sz w:val="32"/>
          <w:szCs w:val="48"/>
          <w:highlight w:val="none"/>
          <w:u w:val="none"/>
        </w:rPr>
        <w:t>经认定后</w:t>
      </w:r>
      <w:r>
        <w:rPr>
          <w:rFonts w:hint="eastAsia" w:ascii="仿宋_GB2312" w:eastAsia="仿宋_GB2312"/>
          <w:bCs w:val="0"/>
          <w:snapToGrid/>
          <w:spacing w:val="0"/>
          <w:kern w:val="2"/>
          <w:sz w:val="32"/>
          <w:szCs w:val="48"/>
          <w:highlight w:val="none"/>
          <w:u w:val="none"/>
          <w:lang w:val="en-US" w:eastAsia="zh-CN"/>
        </w:rPr>
        <w:t>参照《杭州市会展业发展扶持政策实施办法》</w:t>
      </w:r>
      <w:r>
        <w:rPr>
          <w:rFonts w:hint="eastAsia" w:ascii="仿宋_GB2312" w:eastAsia="仿宋_GB2312"/>
          <w:bCs w:val="0"/>
          <w:snapToGrid/>
          <w:spacing w:val="0"/>
          <w:kern w:val="2"/>
          <w:sz w:val="32"/>
          <w:szCs w:val="48"/>
          <w:highlight w:val="none"/>
          <w:u w:val="none"/>
        </w:rPr>
        <w:t>给予</w:t>
      </w:r>
      <w:r>
        <w:rPr>
          <w:rFonts w:hint="eastAsia" w:ascii="仿宋_GB2312" w:eastAsia="仿宋_GB2312"/>
          <w:bCs w:val="0"/>
          <w:snapToGrid/>
          <w:spacing w:val="0"/>
          <w:kern w:val="2"/>
          <w:sz w:val="32"/>
          <w:szCs w:val="48"/>
          <w:highlight w:val="none"/>
          <w:u w:val="none"/>
          <w:lang w:val="en-US" w:eastAsia="zh-CN"/>
        </w:rPr>
        <w:t>补助</w:t>
      </w:r>
      <w:r>
        <w:rPr>
          <w:rFonts w:hint="eastAsia" w:ascii="仿宋_GB2312" w:eastAsia="仿宋_GB2312"/>
          <w:bCs w:val="0"/>
          <w:snapToGrid/>
          <w:spacing w:val="0"/>
          <w:kern w:val="2"/>
          <w:sz w:val="32"/>
          <w:szCs w:val="48"/>
          <w:highlight w:val="none"/>
          <w:u w:val="none"/>
        </w:rPr>
        <w:t>。</w:t>
      </w:r>
    </w:p>
    <w:p>
      <w:pPr>
        <w:keepNext w:val="0"/>
        <w:keepLines w:val="0"/>
        <w:pageBreakBefore w:val="0"/>
        <w:kinsoku/>
        <w:wordWrap/>
        <w:overflowPunct w:val="0"/>
        <w:topLinePunct w:val="0"/>
        <w:autoSpaceDE/>
        <w:autoSpaceDN/>
        <w:bidi w:val="0"/>
        <w:spacing w:line="560" w:lineRule="exact"/>
        <w:ind w:firstLine="643" w:firstLineChars="200"/>
        <w:textAlignment w:val="auto"/>
        <w:rPr>
          <w:rFonts w:hint="eastAsia" w:ascii="楷体_GB2312" w:hAnsi="楷体_GB2312" w:eastAsia="楷体_GB2312" w:cs="楷体_GB2312"/>
          <w:b/>
          <w:snapToGrid/>
          <w:spacing w:val="0"/>
          <w:kern w:val="2"/>
          <w:sz w:val="32"/>
          <w:szCs w:val="48"/>
          <w:highlight w:val="none"/>
          <w:u w:val="none"/>
        </w:rPr>
      </w:pPr>
      <w:r>
        <w:rPr>
          <w:rFonts w:hint="eastAsia" w:ascii="楷体_GB2312" w:hAnsi="楷体_GB2312" w:eastAsia="楷体_GB2312" w:cs="楷体_GB2312"/>
          <w:b/>
          <w:snapToGrid/>
          <w:spacing w:val="0"/>
          <w:kern w:val="2"/>
          <w:sz w:val="32"/>
          <w:szCs w:val="48"/>
          <w:highlight w:val="none"/>
          <w:u w:val="none"/>
        </w:rPr>
        <w:t>（三）深化尚律品牌建设，提升服务中心能级</w:t>
      </w:r>
    </w:p>
    <w:p>
      <w:pPr>
        <w:keepNext w:val="0"/>
        <w:keepLines w:val="0"/>
        <w:pageBreakBefore w:val="0"/>
        <w:kinsoku/>
        <w:wordWrap/>
        <w:overflowPunct w:val="0"/>
        <w:topLinePunct w:val="0"/>
        <w:autoSpaceDE/>
        <w:autoSpaceDN/>
        <w:bidi w:val="0"/>
        <w:spacing w:line="560" w:lineRule="exact"/>
        <w:ind w:firstLine="640" w:firstLineChars="200"/>
        <w:textAlignment w:val="auto"/>
        <w:rPr>
          <w:rFonts w:hint="default" w:ascii="仿宋_GB2312" w:eastAsia="仿宋_GB2312"/>
          <w:bCs w:val="0"/>
          <w:snapToGrid/>
          <w:spacing w:val="0"/>
          <w:kern w:val="2"/>
          <w:sz w:val="32"/>
          <w:szCs w:val="48"/>
          <w:highlight w:val="none"/>
          <w:u w:val="none"/>
        </w:rPr>
      </w:pPr>
      <w:r>
        <w:rPr>
          <w:rFonts w:hint="eastAsia" w:ascii="仿宋_GB2312" w:eastAsia="仿宋_GB2312"/>
          <w:bCs w:val="0"/>
          <w:snapToGrid/>
          <w:spacing w:val="0"/>
          <w:kern w:val="2"/>
          <w:sz w:val="32"/>
          <w:szCs w:val="48"/>
          <w:highlight w:val="none"/>
          <w:u w:val="none"/>
        </w:rPr>
        <w:t>（5）</w:t>
      </w:r>
      <w:r>
        <w:rPr>
          <w:rFonts w:hint="eastAsia" w:ascii="仿宋_GB2312" w:eastAsia="仿宋_GB2312"/>
          <w:bCs w:val="0"/>
          <w:snapToGrid/>
          <w:spacing w:val="0"/>
          <w:kern w:val="2"/>
          <w:sz w:val="32"/>
          <w:szCs w:val="48"/>
          <w:highlight w:val="none"/>
          <w:u w:val="none"/>
          <w:lang w:val="en-US" w:eastAsia="zh-CN"/>
        </w:rPr>
        <w:t>支持</w:t>
      </w:r>
      <w:r>
        <w:rPr>
          <w:rFonts w:hint="eastAsia" w:ascii="仿宋_GB2312" w:eastAsia="仿宋_GB2312"/>
          <w:bCs w:val="0"/>
          <w:snapToGrid/>
          <w:spacing w:val="0"/>
          <w:kern w:val="2"/>
          <w:sz w:val="32"/>
          <w:szCs w:val="48"/>
          <w:highlight w:val="none"/>
          <w:u w:val="none"/>
        </w:rPr>
        <w:t>律师全方位参与法治上城建设。</w:t>
      </w:r>
      <w:r>
        <w:rPr>
          <w:rFonts w:hint="eastAsia" w:ascii="仿宋_GB2312" w:eastAsia="仿宋_GB2312"/>
          <w:bCs w:val="0"/>
          <w:snapToGrid/>
          <w:spacing w:val="0"/>
          <w:kern w:val="2"/>
          <w:sz w:val="32"/>
          <w:szCs w:val="48"/>
          <w:highlight w:val="none"/>
          <w:u w:val="none"/>
          <w:lang w:val="en-US" w:eastAsia="zh-CN"/>
        </w:rPr>
        <w:t>鼓励</w:t>
      </w:r>
      <w:r>
        <w:rPr>
          <w:rFonts w:hint="eastAsia" w:ascii="仿宋_GB2312" w:eastAsia="仿宋_GB2312"/>
          <w:bCs w:val="0"/>
          <w:snapToGrid/>
          <w:spacing w:val="0"/>
          <w:kern w:val="2"/>
          <w:sz w:val="32"/>
          <w:szCs w:val="48"/>
          <w:highlight w:val="none"/>
          <w:u w:val="none"/>
        </w:rPr>
        <w:t>持律师参与地方立法和政府文件的制订、修订，重大决策的论证、实施。发挥律师参政议政作用，拓宽律师参政议政渠道。全面推行党政机关、村社法律顾问制度，实现法律顾问全覆盖，推行“律师进社区”工作，参照杭州市文件由市、区财政各承担50%标准落实经费。</w:t>
      </w:r>
    </w:p>
    <w:p>
      <w:pPr>
        <w:keepNext w:val="0"/>
        <w:keepLines w:val="0"/>
        <w:pageBreakBefore w:val="0"/>
        <w:kinsoku/>
        <w:wordWrap/>
        <w:overflowPunct w:val="0"/>
        <w:topLinePunct w:val="0"/>
        <w:autoSpaceDE/>
        <w:autoSpaceDN/>
        <w:bidi w:val="0"/>
        <w:spacing w:line="560" w:lineRule="exact"/>
        <w:ind w:firstLine="640" w:firstLineChars="200"/>
        <w:textAlignment w:val="auto"/>
        <w:rPr>
          <w:rFonts w:hint="default" w:ascii="仿宋_GB2312" w:eastAsia="仿宋_GB2312"/>
          <w:bCs w:val="0"/>
          <w:snapToGrid/>
          <w:spacing w:val="0"/>
          <w:kern w:val="2"/>
          <w:sz w:val="32"/>
          <w:szCs w:val="48"/>
          <w:highlight w:val="none"/>
          <w:u w:val="none"/>
        </w:rPr>
      </w:pPr>
      <w:r>
        <w:rPr>
          <w:rFonts w:hint="eastAsia" w:ascii="仿宋_GB2312" w:eastAsia="仿宋_GB2312"/>
          <w:bCs w:val="0"/>
          <w:snapToGrid/>
          <w:spacing w:val="0"/>
          <w:kern w:val="2"/>
          <w:sz w:val="32"/>
          <w:szCs w:val="48"/>
          <w:highlight w:val="none"/>
          <w:u w:val="none"/>
        </w:rPr>
        <w:t>（6）支持杭州涉外法律服务中心（钱江新城法务集聚区）发展。持续打响“尚律颂”品牌，发挥钱江新城虹吸效应，加强对“全国优秀律师事务所”或上一年度曾被钱伯斯、ALB等世界著名法律评级机构评定为亚太区域五十强</w:t>
      </w:r>
      <w:r>
        <w:rPr>
          <w:rFonts w:hint="eastAsia" w:ascii="仿宋_GB2312" w:eastAsia="仿宋_GB2312"/>
          <w:bCs w:val="0"/>
          <w:snapToGrid/>
          <w:spacing w:val="0"/>
          <w:kern w:val="2"/>
          <w:sz w:val="32"/>
          <w:szCs w:val="48"/>
          <w:highlight w:val="none"/>
          <w:u w:val="none"/>
          <w:lang w:val="en-US" w:eastAsia="zh-CN"/>
        </w:rPr>
        <w:t>律师事务所</w:t>
      </w:r>
      <w:r>
        <w:rPr>
          <w:rFonts w:hint="eastAsia" w:ascii="仿宋_GB2312" w:eastAsia="仿宋_GB2312"/>
          <w:bCs w:val="0"/>
          <w:snapToGrid/>
          <w:spacing w:val="0"/>
          <w:kern w:val="2"/>
          <w:sz w:val="32"/>
          <w:szCs w:val="48"/>
          <w:highlight w:val="none"/>
          <w:u w:val="none"/>
        </w:rPr>
        <w:t>的招引力度，鼓励境外律师事务所设立合伙联营所、代表机构，推动我区构建要素多元、产业融合的法律服务新生态。发挥法律服务集群优势，建立涉外企业、机构团体和涉外法律服务机构、律师人才的信息互通机制</w:t>
      </w:r>
      <w:r>
        <w:rPr>
          <w:rFonts w:hint="eastAsia" w:ascii="仿宋_GB2312" w:eastAsia="仿宋_GB2312"/>
          <w:bCs w:val="0"/>
          <w:snapToGrid/>
          <w:spacing w:val="0"/>
          <w:kern w:val="2"/>
          <w:sz w:val="32"/>
          <w:szCs w:val="48"/>
          <w:highlight w:val="none"/>
          <w:u w:val="none"/>
          <w:lang w:eastAsia="zh-CN"/>
        </w:rPr>
        <w:t>。</w:t>
      </w:r>
      <w:r>
        <w:rPr>
          <w:rFonts w:hint="eastAsia" w:ascii="仿宋_GB2312" w:eastAsia="仿宋_GB2312"/>
          <w:bCs w:val="0"/>
          <w:snapToGrid/>
          <w:spacing w:val="0"/>
          <w:kern w:val="2"/>
          <w:sz w:val="32"/>
          <w:szCs w:val="48"/>
          <w:highlight w:val="none"/>
          <w:u w:val="none"/>
        </w:rPr>
        <w:t>鼓励和支持律师事务所参加各类争先创优活动，对首次荣获全国优秀律师事务所的，给予一次性奖励</w:t>
      </w:r>
      <w:r>
        <w:rPr>
          <w:rFonts w:hint="eastAsia" w:ascii="仿宋_GB2312" w:eastAsia="仿宋_GB2312"/>
          <w:bCs w:val="0"/>
          <w:snapToGrid/>
          <w:spacing w:val="0"/>
          <w:kern w:val="2"/>
          <w:sz w:val="32"/>
          <w:szCs w:val="48"/>
          <w:highlight w:val="none"/>
          <w:u w:val="none"/>
          <w:lang w:val="en-US" w:eastAsia="zh-CN"/>
        </w:rPr>
        <w:t>3</w:t>
      </w:r>
      <w:r>
        <w:rPr>
          <w:rFonts w:hint="eastAsia" w:ascii="仿宋_GB2312" w:eastAsia="仿宋_GB2312"/>
          <w:bCs w:val="0"/>
          <w:snapToGrid/>
          <w:spacing w:val="0"/>
          <w:kern w:val="2"/>
          <w:sz w:val="32"/>
          <w:szCs w:val="48"/>
          <w:highlight w:val="none"/>
          <w:u w:val="none"/>
        </w:rPr>
        <w:t>0万元；对于首次荣获省级优秀律师事务所的，给予一次性奖励10万元。</w:t>
      </w:r>
    </w:p>
    <w:p>
      <w:pPr>
        <w:keepNext w:val="0"/>
        <w:keepLines w:val="0"/>
        <w:pageBreakBefore w:val="0"/>
        <w:kinsoku/>
        <w:wordWrap/>
        <w:overflowPunct w:val="0"/>
        <w:topLinePunct w:val="0"/>
        <w:autoSpaceDE/>
        <w:autoSpaceDN/>
        <w:bidi w:val="0"/>
        <w:spacing w:line="560" w:lineRule="exact"/>
        <w:ind w:firstLine="640" w:firstLineChars="200"/>
        <w:textAlignment w:val="auto"/>
        <w:rPr>
          <w:rFonts w:hint="eastAsia" w:ascii="仿宋_GB2312" w:eastAsia="仿宋_GB2312"/>
          <w:bCs w:val="0"/>
          <w:snapToGrid/>
          <w:spacing w:val="0"/>
          <w:kern w:val="2"/>
          <w:sz w:val="32"/>
          <w:szCs w:val="48"/>
          <w:highlight w:val="none"/>
          <w:u w:val="none"/>
        </w:rPr>
      </w:pPr>
      <w:r>
        <w:rPr>
          <w:rFonts w:hint="eastAsia" w:ascii="仿宋_GB2312" w:eastAsia="仿宋_GB2312"/>
          <w:bCs w:val="0"/>
          <w:snapToGrid/>
          <w:spacing w:val="0"/>
          <w:kern w:val="2"/>
          <w:sz w:val="32"/>
          <w:szCs w:val="48"/>
          <w:highlight w:val="none"/>
          <w:u w:val="none"/>
        </w:rPr>
        <w:t>（7）</w:t>
      </w:r>
      <w:bookmarkStart w:id="1" w:name="_Hlk186300325"/>
      <w:r>
        <w:rPr>
          <w:rFonts w:hint="eastAsia" w:ascii="仿宋_GB2312" w:eastAsia="仿宋_GB2312"/>
          <w:bCs w:val="0"/>
          <w:snapToGrid/>
          <w:spacing w:val="0"/>
          <w:kern w:val="2"/>
          <w:sz w:val="32"/>
          <w:szCs w:val="48"/>
          <w:highlight w:val="none"/>
          <w:u w:val="none"/>
        </w:rPr>
        <w:t>倡导律师</w:t>
      </w:r>
      <w:r>
        <w:rPr>
          <w:rFonts w:hint="eastAsia" w:ascii="仿宋_GB2312" w:eastAsia="仿宋_GB2312"/>
          <w:bCs w:val="0"/>
          <w:snapToGrid/>
          <w:spacing w:val="0"/>
          <w:kern w:val="2"/>
          <w:sz w:val="32"/>
          <w:szCs w:val="48"/>
          <w:highlight w:val="none"/>
          <w:u w:val="none"/>
          <w:lang w:val="en-US" w:eastAsia="zh-CN"/>
        </w:rPr>
        <w:t>助力共同富裕</w:t>
      </w:r>
      <w:r>
        <w:rPr>
          <w:rFonts w:hint="eastAsia" w:ascii="仿宋_GB2312" w:eastAsia="仿宋_GB2312"/>
          <w:bCs w:val="0"/>
          <w:snapToGrid/>
          <w:spacing w:val="0"/>
          <w:kern w:val="2"/>
          <w:sz w:val="32"/>
          <w:szCs w:val="48"/>
          <w:highlight w:val="none"/>
          <w:u w:val="none"/>
        </w:rPr>
        <w:t>。支持律师参与基层治理，</w:t>
      </w:r>
      <w:bookmarkStart w:id="2" w:name="OLE_LINK2"/>
      <w:r>
        <w:rPr>
          <w:rFonts w:hint="eastAsia" w:ascii="仿宋_GB2312" w:eastAsia="仿宋_GB2312"/>
          <w:bCs w:val="0"/>
          <w:snapToGrid/>
          <w:spacing w:val="0"/>
          <w:kern w:val="2"/>
          <w:sz w:val="32"/>
          <w:szCs w:val="48"/>
          <w:highlight w:val="none"/>
          <w:u w:val="none"/>
        </w:rPr>
        <w:t>对协助政府处理群体性</w:t>
      </w:r>
      <w:r>
        <w:rPr>
          <w:rFonts w:hint="eastAsia" w:ascii="仿宋_GB2312" w:eastAsia="仿宋_GB2312"/>
          <w:bCs w:val="0"/>
          <w:snapToGrid/>
          <w:spacing w:val="0"/>
          <w:kern w:val="2"/>
          <w:sz w:val="32"/>
          <w:szCs w:val="48"/>
          <w:highlight w:val="none"/>
          <w:u w:val="none"/>
          <w:lang w:eastAsia="zh-CN"/>
        </w:rPr>
        <w:t>、</w:t>
      </w:r>
      <w:r>
        <w:rPr>
          <w:rFonts w:hint="eastAsia" w:ascii="仿宋_GB2312" w:eastAsia="仿宋_GB2312"/>
          <w:bCs w:val="0"/>
          <w:snapToGrid/>
          <w:spacing w:val="0"/>
          <w:kern w:val="2"/>
          <w:sz w:val="32"/>
          <w:szCs w:val="48"/>
          <w:highlight w:val="none"/>
          <w:u w:val="none"/>
        </w:rPr>
        <w:t>突发</w:t>
      </w:r>
      <w:r>
        <w:rPr>
          <w:rFonts w:hint="eastAsia" w:ascii="仿宋_GB2312" w:eastAsia="仿宋_GB2312"/>
          <w:bCs w:val="0"/>
          <w:snapToGrid/>
          <w:spacing w:val="0"/>
          <w:kern w:val="2"/>
          <w:sz w:val="32"/>
          <w:szCs w:val="48"/>
          <w:highlight w:val="none"/>
          <w:u w:val="none"/>
          <w:lang w:val="en-US" w:eastAsia="zh-CN"/>
        </w:rPr>
        <w:t>性</w:t>
      </w:r>
      <w:r>
        <w:rPr>
          <w:rFonts w:hint="eastAsia" w:ascii="仿宋_GB2312" w:eastAsia="仿宋_GB2312"/>
          <w:bCs w:val="0"/>
          <w:snapToGrid/>
          <w:spacing w:val="0"/>
          <w:kern w:val="2"/>
          <w:sz w:val="32"/>
          <w:szCs w:val="48"/>
          <w:highlight w:val="none"/>
          <w:u w:val="none"/>
        </w:rPr>
        <w:t>事件</w:t>
      </w:r>
      <w:r>
        <w:rPr>
          <w:rFonts w:hint="eastAsia" w:ascii="仿宋_GB2312" w:eastAsia="仿宋_GB2312"/>
          <w:bCs w:val="0"/>
          <w:snapToGrid/>
          <w:spacing w:val="0"/>
          <w:kern w:val="2"/>
          <w:sz w:val="32"/>
          <w:szCs w:val="48"/>
          <w:highlight w:val="none"/>
          <w:u w:val="none"/>
          <w:lang w:val="en-US" w:eastAsia="zh-CN"/>
        </w:rPr>
        <w:t>或</w:t>
      </w:r>
      <w:r>
        <w:rPr>
          <w:rFonts w:hint="eastAsia" w:ascii="仿宋_GB2312" w:eastAsia="仿宋_GB2312"/>
          <w:bCs w:val="0"/>
          <w:snapToGrid/>
          <w:spacing w:val="0"/>
          <w:kern w:val="2"/>
          <w:sz w:val="32"/>
          <w:szCs w:val="48"/>
          <w:highlight w:val="none"/>
          <w:u w:val="none"/>
        </w:rPr>
        <w:t>重大信访案件的，给予</w:t>
      </w:r>
      <w:r>
        <w:rPr>
          <w:rFonts w:hint="default" w:ascii="仿宋_GB2312" w:eastAsia="仿宋_GB2312"/>
          <w:bCs w:val="0"/>
          <w:snapToGrid/>
          <w:spacing w:val="0"/>
          <w:kern w:val="2"/>
          <w:sz w:val="32"/>
          <w:szCs w:val="48"/>
          <w:highlight w:val="none"/>
          <w:u w:val="none"/>
        </w:rPr>
        <w:t>最高</w:t>
      </w:r>
      <w:r>
        <w:rPr>
          <w:rFonts w:hint="eastAsia" w:ascii="仿宋_GB2312" w:eastAsia="仿宋_GB2312"/>
          <w:bCs w:val="0"/>
          <w:snapToGrid/>
          <w:spacing w:val="0"/>
          <w:kern w:val="2"/>
          <w:sz w:val="32"/>
          <w:szCs w:val="48"/>
          <w:highlight w:val="none"/>
          <w:u w:val="none"/>
        </w:rPr>
        <w:t>补助</w:t>
      </w:r>
      <w:r>
        <w:rPr>
          <w:rFonts w:hint="eastAsia" w:ascii="仿宋_GB2312" w:eastAsia="仿宋_GB2312"/>
          <w:bCs w:val="0"/>
          <w:snapToGrid/>
          <w:spacing w:val="0"/>
          <w:kern w:val="2"/>
          <w:sz w:val="32"/>
          <w:szCs w:val="48"/>
          <w:highlight w:val="none"/>
          <w:u w:val="none"/>
          <w:lang w:val="en-US" w:eastAsia="zh-CN"/>
        </w:rPr>
        <w:t>5</w:t>
      </w:r>
      <w:r>
        <w:rPr>
          <w:rFonts w:hint="eastAsia" w:ascii="仿宋_GB2312" w:eastAsia="仿宋_GB2312"/>
          <w:bCs w:val="0"/>
          <w:snapToGrid/>
          <w:spacing w:val="0"/>
          <w:kern w:val="2"/>
          <w:sz w:val="32"/>
          <w:szCs w:val="48"/>
          <w:highlight w:val="none"/>
          <w:u w:val="none"/>
        </w:rPr>
        <w:t>万元；引导律师履行社会责任，对参与</w:t>
      </w:r>
      <w:r>
        <w:rPr>
          <w:rFonts w:hint="default" w:ascii="仿宋_GB2312" w:eastAsia="仿宋_GB2312"/>
          <w:bCs w:val="0"/>
          <w:snapToGrid/>
          <w:spacing w:val="0"/>
          <w:kern w:val="2"/>
          <w:sz w:val="32"/>
          <w:szCs w:val="48"/>
          <w:highlight w:val="none"/>
          <w:u w:val="none"/>
        </w:rPr>
        <w:t>青年律师西部锻炼计划</w:t>
      </w:r>
      <w:r>
        <w:rPr>
          <w:rFonts w:hint="eastAsia" w:ascii="仿宋_GB2312" w:eastAsia="仿宋_GB2312"/>
          <w:bCs w:val="0"/>
          <w:snapToGrid/>
          <w:spacing w:val="0"/>
          <w:kern w:val="2"/>
          <w:sz w:val="32"/>
          <w:szCs w:val="48"/>
          <w:highlight w:val="none"/>
          <w:u w:val="none"/>
        </w:rPr>
        <w:t>、</w:t>
      </w:r>
      <w:r>
        <w:rPr>
          <w:rFonts w:hint="default" w:ascii="仿宋_GB2312" w:eastAsia="仿宋_GB2312"/>
          <w:bCs w:val="0"/>
          <w:snapToGrid/>
          <w:spacing w:val="0"/>
          <w:kern w:val="2"/>
          <w:sz w:val="32"/>
          <w:szCs w:val="48"/>
          <w:highlight w:val="none"/>
          <w:u w:val="none"/>
        </w:rPr>
        <w:t>中国</w:t>
      </w:r>
      <w:r>
        <w:rPr>
          <w:rFonts w:hint="eastAsia" w:ascii="仿宋_GB2312" w:eastAsia="仿宋_GB2312"/>
          <w:bCs w:val="0"/>
          <w:snapToGrid/>
          <w:spacing w:val="0"/>
          <w:kern w:val="2"/>
          <w:sz w:val="32"/>
          <w:szCs w:val="48"/>
          <w:highlight w:val="none"/>
          <w:u w:val="none"/>
          <w:lang w:eastAsia="zh-CN"/>
        </w:rPr>
        <w:t>“</w:t>
      </w:r>
      <w:r>
        <w:rPr>
          <w:rFonts w:hint="default" w:ascii="仿宋_GB2312" w:eastAsia="仿宋_GB2312"/>
          <w:bCs w:val="0"/>
          <w:snapToGrid/>
          <w:spacing w:val="0"/>
          <w:kern w:val="2"/>
          <w:sz w:val="32"/>
          <w:szCs w:val="48"/>
          <w:highlight w:val="none"/>
          <w:u w:val="none"/>
        </w:rPr>
        <w:t>1+1</w:t>
      </w:r>
      <w:r>
        <w:rPr>
          <w:rFonts w:hint="eastAsia" w:ascii="仿宋_GB2312" w:eastAsia="仿宋_GB2312"/>
          <w:bCs w:val="0"/>
          <w:snapToGrid/>
          <w:spacing w:val="0"/>
          <w:kern w:val="2"/>
          <w:sz w:val="32"/>
          <w:szCs w:val="48"/>
          <w:highlight w:val="none"/>
          <w:u w:val="none"/>
          <w:lang w:eastAsia="zh-CN"/>
        </w:rPr>
        <w:t>”</w:t>
      </w:r>
      <w:r>
        <w:rPr>
          <w:rFonts w:hint="default" w:ascii="仿宋_GB2312" w:eastAsia="仿宋_GB2312"/>
          <w:bCs w:val="0"/>
          <w:snapToGrid/>
          <w:spacing w:val="0"/>
          <w:kern w:val="2"/>
          <w:sz w:val="32"/>
          <w:szCs w:val="48"/>
          <w:highlight w:val="none"/>
          <w:u w:val="none"/>
        </w:rPr>
        <w:t>法律援助志愿者行动</w:t>
      </w:r>
      <w:r>
        <w:rPr>
          <w:rFonts w:hint="eastAsia" w:ascii="仿宋_GB2312" w:eastAsia="仿宋_GB2312"/>
          <w:bCs w:val="0"/>
          <w:snapToGrid/>
          <w:spacing w:val="0"/>
          <w:kern w:val="2"/>
          <w:sz w:val="32"/>
          <w:szCs w:val="48"/>
          <w:highlight w:val="none"/>
          <w:u w:val="none"/>
        </w:rPr>
        <w:t>等</w:t>
      </w:r>
      <w:r>
        <w:rPr>
          <w:rFonts w:hint="default" w:ascii="仿宋_GB2312" w:eastAsia="仿宋_GB2312"/>
          <w:bCs w:val="0"/>
          <w:snapToGrid/>
          <w:spacing w:val="0"/>
          <w:kern w:val="2"/>
          <w:sz w:val="32"/>
          <w:szCs w:val="48"/>
          <w:highlight w:val="none"/>
          <w:u w:val="none"/>
        </w:rPr>
        <w:t>法律援助公益活动</w:t>
      </w:r>
      <w:r>
        <w:rPr>
          <w:rFonts w:hint="eastAsia" w:ascii="仿宋_GB2312" w:eastAsia="仿宋_GB2312"/>
          <w:bCs w:val="0"/>
          <w:snapToGrid/>
          <w:spacing w:val="0"/>
          <w:kern w:val="2"/>
          <w:sz w:val="32"/>
          <w:szCs w:val="48"/>
          <w:highlight w:val="none"/>
          <w:u w:val="none"/>
        </w:rPr>
        <w:t>的，给予一次性补助</w:t>
      </w:r>
      <w:r>
        <w:rPr>
          <w:rFonts w:hint="default" w:ascii="仿宋_GB2312" w:eastAsia="仿宋_GB2312"/>
          <w:bCs w:val="0"/>
          <w:snapToGrid/>
          <w:spacing w:val="0"/>
          <w:kern w:val="2"/>
          <w:sz w:val="32"/>
          <w:szCs w:val="48"/>
          <w:highlight w:val="none"/>
          <w:u w:val="none"/>
        </w:rPr>
        <w:t>2</w:t>
      </w:r>
      <w:r>
        <w:rPr>
          <w:rFonts w:hint="eastAsia" w:ascii="仿宋_GB2312" w:eastAsia="仿宋_GB2312"/>
          <w:bCs w:val="0"/>
          <w:snapToGrid/>
          <w:spacing w:val="0"/>
          <w:kern w:val="2"/>
          <w:sz w:val="32"/>
          <w:szCs w:val="48"/>
          <w:highlight w:val="none"/>
          <w:u w:val="none"/>
        </w:rPr>
        <w:t>万元；对响应号召</w:t>
      </w:r>
      <w:r>
        <w:rPr>
          <w:rFonts w:hint="default" w:ascii="仿宋_GB2312" w:eastAsia="仿宋_GB2312"/>
          <w:bCs w:val="0"/>
          <w:snapToGrid/>
          <w:spacing w:val="0"/>
          <w:kern w:val="2"/>
          <w:sz w:val="32"/>
          <w:szCs w:val="48"/>
          <w:highlight w:val="none"/>
          <w:u w:val="none"/>
        </w:rPr>
        <w:t>在</w:t>
      </w:r>
      <w:r>
        <w:rPr>
          <w:rFonts w:hint="eastAsia" w:ascii="仿宋_GB2312" w:eastAsia="仿宋_GB2312"/>
          <w:bCs w:val="0"/>
          <w:snapToGrid/>
          <w:spacing w:val="0"/>
          <w:kern w:val="2"/>
          <w:sz w:val="32"/>
          <w:szCs w:val="48"/>
          <w:highlight w:val="none"/>
          <w:u w:val="none"/>
        </w:rPr>
        <w:t>我国</w:t>
      </w:r>
      <w:r>
        <w:rPr>
          <w:rFonts w:hint="eastAsia" w:ascii="仿宋_GB2312" w:eastAsia="仿宋_GB2312"/>
          <w:bCs w:val="0"/>
          <w:snapToGrid/>
          <w:spacing w:val="0"/>
          <w:kern w:val="2"/>
          <w:sz w:val="32"/>
          <w:szCs w:val="48"/>
          <w:highlight w:val="none"/>
          <w:u w:val="none"/>
          <w:lang w:eastAsia="zh-CN"/>
        </w:rPr>
        <w:t>“</w:t>
      </w:r>
      <w:r>
        <w:rPr>
          <w:rFonts w:hint="default" w:ascii="仿宋_GB2312" w:eastAsia="仿宋_GB2312"/>
          <w:bCs w:val="0"/>
          <w:snapToGrid/>
          <w:spacing w:val="0"/>
          <w:kern w:val="2"/>
          <w:sz w:val="32"/>
          <w:szCs w:val="48"/>
          <w:highlight w:val="none"/>
          <w:u w:val="none"/>
        </w:rPr>
        <w:t>无律师县</w:t>
      </w:r>
      <w:r>
        <w:rPr>
          <w:rFonts w:hint="eastAsia" w:ascii="仿宋_GB2312" w:eastAsia="仿宋_GB2312"/>
          <w:bCs w:val="0"/>
          <w:snapToGrid/>
          <w:spacing w:val="0"/>
          <w:kern w:val="2"/>
          <w:sz w:val="32"/>
          <w:szCs w:val="48"/>
          <w:highlight w:val="none"/>
          <w:u w:val="none"/>
          <w:lang w:eastAsia="zh-CN"/>
        </w:rPr>
        <w:t>”</w:t>
      </w:r>
      <w:r>
        <w:rPr>
          <w:rFonts w:hint="default" w:ascii="仿宋_GB2312" w:eastAsia="仿宋_GB2312"/>
          <w:bCs w:val="0"/>
          <w:snapToGrid/>
          <w:spacing w:val="0"/>
          <w:kern w:val="2"/>
          <w:sz w:val="32"/>
          <w:szCs w:val="48"/>
          <w:highlight w:val="none"/>
          <w:u w:val="none"/>
        </w:rPr>
        <w:t>设立</w:t>
      </w:r>
      <w:r>
        <w:rPr>
          <w:rFonts w:hint="eastAsia" w:ascii="仿宋_GB2312" w:eastAsia="仿宋_GB2312"/>
          <w:bCs w:val="0"/>
          <w:snapToGrid/>
          <w:spacing w:val="0"/>
          <w:kern w:val="2"/>
          <w:sz w:val="32"/>
          <w:szCs w:val="48"/>
          <w:highlight w:val="none"/>
          <w:u w:val="none"/>
        </w:rPr>
        <w:t>分所的律师事务所，给予一次性补助5万元。</w:t>
      </w:r>
      <w:bookmarkEnd w:id="1"/>
      <w:bookmarkEnd w:id="2"/>
    </w:p>
    <w:p>
      <w:pPr>
        <w:keepNext w:val="0"/>
        <w:keepLines w:val="0"/>
        <w:pageBreakBefore w:val="0"/>
        <w:kinsoku/>
        <w:wordWrap/>
        <w:overflowPunct w:val="0"/>
        <w:topLinePunct w:val="0"/>
        <w:autoSpaceDE/>
        <w:autoSpaceDN/>
        <w:bidi w:val="0"/>
        <w:spacing w:line="560" w:lineRule="exact"/>
        <w:ind w:firstLine="640" w:firstLineChars="200"/>
        <w:textAlignment w:val="auto"/>
        <w:rPr>
          <w:rFonts w:hint="default" w:ascii="仿宋_GB2312" w:eastAsia="仿宋_GB2312"/>
          <w:bCs w:val="0"/>
          <w:snapToGrid/>
          <w:spacing w:val="0"/>
          <w:kern w:val="2"/>
          <w:sz w:val="32"/>
          <w:szCs w:val="48"/>
          <w:highlight w:val="none"/>
          <w:u w:val="none"/>
          <w:lang w:val="en-US" w:eastAsia="zh-CN"/>
        </w:rPr>
      </w:pPr>
      <w:r>
        <w:rPr>
          <w:rFonts w:hint="eastAsia" w:ascii="仿宋_GB2312" w:eastAsia="仿宋_GB2312"/>
          <w:bCs w:val="0"/>
          <w:snapToGrid/>
          <w:spacing w:val="0"/>
          <w:kern w:val="2"/>
          <w:sz w:val="32"/>
          <w:szCs w:val="48"/>
          <w:highlight w:val="none"/>
          <w:u w:val="none"/>
          <w:lang w:eastAsia="zh-CN"/>
        </w:rPr>
        <w:t>（</w:t>
      </w:r>
      <w:r>
        <w:rPr>
          <w:rFonts w:hint="eastAsia" w:ascii="仿宋_GB2312" w:eastAsia="仿宋_GB2312"/>
          <w:bCs w:val="0"/>
          <w:snapToGrid/>
          <w:spacing w:val="0"/>
          <w:kern w:val="2"/>
          <w:sz w:val="32"/>
          <w:szCs w:val="48"/>
          <w:highlight w:val="none"/>
          <w:u w:val="none"/>
          <w:lang w:val="en-US" w:eastAsia="zh-CN"/>
        </w:rPr>
        <w:t>8</w:t>
      </w:r>
      <w:r>
        <w:rPr>
          <w:rFonts w:hint="eastAsia" w:ascii="仿宋_GB2312" w:eastAsia="仿宋_GB2312"/>
          <w:bCs w:val="0"/>
          <w:snapToGrid/>
          <w:spacing w:val="0"/>
          <w:kern w:val="2"/>
          <w:sz w:val="32"/>
          <w:szCs w:val="48"/>
          <w:highlight w:val="none"/>
          <w:u w:val="none"/>
          <w:lang w:eastAsia="zh-CN"/>
        </w:rPr>
        <w:t>）</w:t>
      </w:r>
      <w:r>
        <w:rPr>
          <w:rFonts w:hint="eastAsia" w:ascii="仿宋_GB2312" w:eastAsia="仿宋_GB2312"/>
          <w:bCs w:val="0"/>
          <w:snapToGrid/>
          <w:spacing w:val="0"/>
          <w:kern w:val="2"/>
          <w:sz w:val="32"/>
          <w:szCs w:val="48"/>
          <w:highlight w:val="none"/>
          <w:u w:val="none"/>
          <w:lang w:val="en-US" w:eastAsia="zh-CN"/>
        </w:rPr>
        <w:t>鼓励律师入园进企。充分发挥为企服务联盟、上城区法律服务智库作用，</w:t>
      </w:r>
      <w:r>
        <w:rPr>
          <w:rFonts w:hint="default" w:ascii="仿宋_GB2312" w:eastAsia="仿宋_GB2312"/>
          <w:bCs w:val="0"/>
          <w:snapToGrid/>
          <w:spacing w:val="0"/>
          <w:kern w:val="2"/>
          <w:sz w:val="32"/>
          <w:szCs w:val="48"/>
          <w:highlight w:val="none"/>
          <w:u w:val="none"/>
          <w:lang w:eastAsia="zh-CN"/>
        </w:rPr>
        <w:t>为产业园区配备优质、专业法律力量，</w:t>
      </w:r>
      <w:r>
        <w:rPr>
          <w:rFonts w:hint="eastAsia" w:ascii="仿宋_GB2312" w:eastAsia="仿宋_GB2312"/>
          <w:bCs w:val="0"/>
          <w:snapToGrid/>
          <w:spacing w:val="0"/>
          <w:kern w:val="2"/>
          <w:sz w:val="32"/>
          <w:szCs w:val="48"/>
          <w:highlight w:val="none"/>
          <w:u w:val="none"/>
          <w:lang w:val="en-US" w:eastAsia="zh-CN"/>
        </w:rPr>
        <w:t>引导律师</w:t>
      </w:r>
      <w:r>
        <w:rPr>
          <w:rFonts w:hint="default" w:ascii="仿宋_GB2312" w:eastAsia="仿宋_GB2312"/>
          <w:bCs w:val="0"/>
          <w:snapToGrid/>
          <w:spacing w:val="0"/>
          <w:kern w:val="2"/>
          <w:sz w:val="32"/>
          <w:szCs w:val="48"/>
          <w:highlight w:val="none"/>
          <w:u w:val="none"/>
          <w:lang w:eastAsia="zh-CN"/>
        </w:rPr>
        <w:t>进园区为企业提供</w:t>
      </w:r>
      <w:r>
        <w:rPr>
          <w:rFonts w:hint="eastAsia" w:ascii="仿宋_GB2312" w:eastAsia="仿宋_GB2312"/>
          <w:bCs w:val="0"/>
          <w:snapToGrid/>
          <w:spacing w:val="0"/>
          <w:kern w:val="2"/>
          <w:sz w:val="32"/>
          <w:szCs w:val="48"/>
          <w:highlight w:val="none"/>
          <w:u w:val="none"/>
          <w:lang w:val="en-US" w:eastAsia="zh-CN"/>
        </w:rPr>
        <w:t>免费法治体检</w:t>
      </w:r>
      <w:r>
        <w:rPr>
          <w:rFonts w:hint="default" w:ascii="仿宋_GB2312" w:eastAsia="仿宋_GB2312"/>
          <w:bCs w:val="0"/>
          <w:snapToGrid/>
          <w:spacing w:val="0"/>
          <w:kern w:val="2"/>
          <w:sz w:val="32"/>
          <w:szCs w:val="48"/>
          <w:highlight w:val="none"/>
          <w:u w:val="none"/>
          <w:lang w:eastAsia="zh-CN"/>
        </w:rPr>
        <w:t>、企业合规讲座、市场化解纷等服务</w:t>
      </w:r>
      <w:r>
        <w:rPr>
          <w:rFonts w:hint="eastAsia" w:ascii="仿宋_GB2312" w:eastAsia="仿宋_GB2312"/>
          <w:bCs w:val="0"/>
          <w:snapToGrid/>
          <w:spacing w:val="0"/>
          <w:kern w:val="2"/>
          <w:sz w:val="32"/>
          <w:szCs w:val="48"/>
          <w:highlight w:val="none"/>
          <w:u w:val="none"/>
          <w:lang w:val="en-US" w:eastAsia="zh-CN"/>
        </w:rPr>
        <w:t>，</w:t>
      </w:r>
      <w:r>
        <w:rPr>
          <w:rFonts w:hint="default" w:ascii="仿宋_GB2312" w:eastAsia="仿宋_GB2312"/>
          <w:bCs w:val="0"/>
          <w:snapToGrid/>
          <w:spacing w:val="0"/>
          <w:kern w:val="2"/>
          <w:sz w:val="32"/>
          <w:szCs w:val="48"/>
          <w:highlight w:val="none"/>
          <w:u w:val="none"/>
          <w:lang w:eastAsia="zh-CN"/>
        </w:rPr>
        <w:t>帮助产业园区内的企业解决法律问题，不断优化营商环境。</w:t>
      </w:r>
    </w:p>
    <w:p>
      <w:pPr>
        <w:keepNext w:val="0"/>
        <w:keepLines w:val="0"/>
        <w:pageBreakBefore w:val="0"/>
        <w:kinsoku/>
        <w:wordWrap/>
        <w:overflowPunct w:val="0"/>
        <w:topLinePunct w:val="0"/>
        <w:autoSpaceDE/>
        <w:autoSpaceDN/>
        <w:bidi w:val="0"/>
        <w:spacing w:line="560" w:lineRule="exact"/>
        <w:ind w:firstLine="643" w:firstLineChars="200"/>
        <w:textAlignment w:val="auto"/>
        <w:rPr>
          <w:rFonts w:hint="eastAsia" w:ascii="楷体_GB2312" w:hAnsi="楷体_GB2312" w:eastAsia="楷体_GB2312" w:cs="楷体_GB2312"/>
          <w:b/>
          <w:snapToGrid/>
          <w:spacing w:val="0"/>
          <w:kern w:val="2"/>
          <w:sz w:val="32"/>
          <w:szCs w:val="48"/>
          <w:highlight w:val="none"/>
          <w:u w:val="none"/>
        </w:rPr>
      </w:pPr>
      <w:r>
        <w:rPr>
          <w:rFonts w:hint="eastAsia" w:ascii="楷体_GB2312" w:hAnsi="楷体_GB2312" w:eastAsia="楷体_GB2312" w:cs="楷体_GB2312"/>
          <w:b/>
          <w:snapToGrid/>
          <w:spacing w:val="0"/>
          <w:kern w:val="2"/>
          <w:sz w:val="32"/>
          <w:szCs w:val="48"/>
          <w:highlight w:val="none"/>
          <w:u w:val="none"/>
        </w:rPr>
        <w:t>（四）建设高素质队伍，打造法治人才高地</w:t>
      </w:r>
    </w:p>
    <w:p>
      <w:pPr>
        <w:keepNext w:val="0"/>
        <w:keepLines w:val="0"/>
        <w:pageBreakBefore w:val="0"/>
        <w:kinsoku/>
        <w:wordWrap/>
        <w:overflowPunct w:val="0"/>
        <w:topLinePunct w:val="0"/>
        <w:autoSpaceDE/>
        <w:autoSpaceDN/>
        <w:bidi w:val="0"/>
        <w:spacing w:line="560" w:lineRule="exact"/>
        <w:ind w:firstLine="640" w:firstLineChars="200"/>
        <w:textAlignment w:val="auto"/>
        <w:rPr>
          <w:rFonts w:hint="default" w:ascii="仿宋_GB2312" w:eastAsia="仿宋_GB2312"/>
          <w:bCs w:val="0"/>
          <w:snapToGrid/>
          <w:spacing w:val="0"/>
          <w:kern w:val="2"/>
          <w:sz w:val="32"/>
          <w:szCs w:val="48"/>
          <w:highlight w:val="none"/>
          <w:u w:val="none"/>
          <w:lang w:eastAsia="zh-CN"/>
        </w:rPr>
      </w:pPr>
      <w:r>
        <w:rPr>
          <w:rFonts w:hint="eastAsia" w:ascii="仿宋_GB2312" w:eastAsia="仿宋_GB2312"/>
          <w:bCs w:val="0"/>
          <w:snapToGrid/>
          <w:spacing w:val="0"/>
          <w:kern w:val="2"/>
          <w:sz w:val="32"/>
          <w:szCs w:val="48"/>
          <w:highlight w:val="none"/>
          <w:u w:val="none"/>
          <w:lang w:eastAsia="zh-CN"/>
        </w:rPr>
        <w:t>（</w:t>
      </w:r>
      <w:r>
        <w:rPr>
          <w:rFonts w:hint="eastAsia" w:ascii="仿宋_GB2312" w:eastAsia="仿宋_GB2312"/>
          <w:bCs w:val="0"/>
          <w:snapToGrid/>
          <w:spacing w:val="0"/>
          <w:kern w:val="2"/>
          <w:sz w:val="32"/>
          <w:szCs w:val="48"/>
          <w:highlight w:val="none"/>
          <w:u w:val="none"/>
          <w:lang w:val="en-US" w:eastAsia="zh-CN"/>
        </w:rPr>
        <w:t>9</w:t>
      </w:r>
      <w:r>
        <w:rPr>
          <w:rFonts w:hint="eastAsia" w:ascii="仿宋_GB2312" w:eastAsia="仿宋_GB2312"/>
          <w:bCs w:val="0"/>
          <w:snapToGrid/>
          <w:spacing w:val="0"/>
          <w:kern w:val="2"/>
          <w:sz w:val="32"/>
          <w:szCs w:val="48"/>
          <w:highlight w:val="none"/>
          <w:u w:val="none"/>
          <w:lang w:eastAsia="zh-CN"/>
        </w:rPr>
        <w:t>）加强公职律师队伍建设。鼓励党委政府部门招录通过国家统一法律职业资格考试的工作人员，鼓励符合条件的党政机关工作人员参加国家统一法律职业资格考试，参加公职律师岗前培训由单位承担培训费用。对符合参加全国统一法律职业资格考试条件的工作人员，各单位每年可根据实际情况给予脱产学习时间。</w:t>
      </w:r>
    </w:p>
    <w:p>
      <w:pPr>
        <w:keepNext w:val="0"/>
        <w:keepLines w:val="0"/>
        <w:pageBreakBefore w:val="0"/>
        <w:kinsoku/>
        <w:wordWrap/>
        <w:overflowPunct w:val="0"/>
        <w:topLinePunct w:val="0"/>
        <w:autoSpaceDE/>
        <w:autoSpaceDN/>
        <w:bidi w:val="0"/>
        <w:spacing w:line="560" w:lineRule="exact"/>
        <w:ind w:firstLine="640" w:firstLineChars="200"/>
        <w:textAlignment w:val="auto"/>
        <w:rPr>
          <w:rFonts w:hint="default" w:ascii="仿宋_GB2312" w:eastAsia="仿宋_GB2312"/>
          <w:bCs w:val="0"/>
          <w:snapToGrid/>
          <w:spacing w:val="0"/>
          <w:kern w:val="2"/>
          <w:sz w:val="32"/>
          <w:szCs w:val="48"/>
          <w:highlight w:val="none"/>
          <w:u w:val="none"/>
          <w:lang w:eastAsia="zh-CN"/>
        </w:rPr>
      </w:pPr>
      <w:r>
        <w:rPr>
          <w:rFonts w:hint="eastAsia" w:ascii="仿宋_GB2312" w:eastAsia="仿宋_GB2312"/>
          <w:bCs w:val="0"/>
          <w:snapToGrid/>
          <w:spacing w:val="0"/>
          <w:kern w:val="2"/>
          <w:sz w:val="32"/>
          <w:szCs w:val="48"/>
          <w:highlight w:val="none"/>
          <w:u w:val="none"/>
          <w:lang w:eastAsia="zh-CN"/>
        </w:rPr>
        <w:t>（</w:t>
      </w:r>
      <w:r>
        <w:rPr>
          <w:rFonts w:hint="eastAsia" w:ascii="仿宋_GB2312" w:eastAsia="仿宋_GB2312"/>
          <w:bCs w:val="0"/>
          <w:snapToGrid/>
          <w:spacing w:val="0"/>
          <w:kern w:val="2"/>
          <w:sz w:val="32"/>
          <w:szCs w:val="48"/>
          <w:highlight w:val="none"/>
          <w:u w:val="none"/>
          <w:lang w:val="en-US" w:eastAsia="zh-CN"/>
        </w:rPr>
        <w:t>10</w:t>
      </w:r>
      <w:r>
        <w:rPr>
          <w:rFonts w:hint="eastAsia" w:ascii="仿宋_GB2312" w:eastAsia="仿宋_GB2312"/>
          <w:bCs w:val="0"/>
          <w:snapToGrid/>
          <w:spacing w:val="0"/>
          <w:kern w:val="2"/>
          <w:sz w:val="32"/>
          <w:szCs w:val="48"/>
          <w:highlight w:val="none"/>
          <w:u w:val="none"/>
          <w:lang w:eastAsia="zh-CN"/>
        </w:rPr>
        <w:t>）加强重点领域律师人才招引。鼓励律师事务所加大对行业高端紧缺人才引育，特别是加大对知识产权、海事海商、科技创新、企业合规与数据治理等重点领域律师人才培养力度，打造“高精尖”法律人才队伍。构建上城区律师行业人才评定体系，支持律师参与各类人才评定。</w:t>
      </w:r>
    </w:p>
    <w:p>
      <w:pPr>
        <w:keepNext w:val="0"/>
        <w:keepLines w:val="0"/>
        <w:pageBreakBefore w:val="0"/>
        <w:kinsoku/>
        <w:wordWrap/>
        <w:overflowPunct w:val="0"/>
        <w:topLinePunct w:val="0"/>
        <w:autoSpaceDE/>
        <w:autoSpaceDN/>
        <w:bidi w:val="0"/>
        <w:spacing w:line="560" w:lineRule="exact"/>
        <w:ind w:firstLine="640" w:firstLineChars="200"/>
        <w:textAlignment w:val="auto"/>
        <w:rPr>
          <w:rFonts w:hint="default" w:ascii="仿宋_GB2312" w:eastAsia="仿宋_GB2312"/>
          <w:bCs w:val="0"/>
          <w:snapToGrid/>
          <w:spacing w:val="0"/>
          <w:kern w:val="2"/>
          <w:sz w:val="32"/>
          <w:szCs w:val="48"/>
          <w:highlight w:val="none"/>
          <w:u w:val="none"/>
          <w:lang w:eastAsia="zh-CN"/>
        </w:rPr>
      </w:pPr>
      <w:r>
        <w:rPr>
          <w:rFonts w:hint="eastAsia" w:ascii="仿宋_GB2312" w:eastAsia="仿宋_GB2312"/>
          <w:bCs w:val="0"/>
          <w:snapToGrid/>
          <w:spacing w:val="0"/>
          <w:kern w:val="2"/>
          <w:sz w:val="32"/>
          <w:szCs w:val="48"/>
          <w:highlight w:val="none"/>
          <w:u w:val="none"/>
          <w:lang w:eastAsia="zh-CN"/>
        </w:rPr>
        <w:t>（1</w:t>
      </w:r>
      <w:r>
        <w:rPr>
          <w:rFonts w:hint="eastAsia" w:ascii="仿宋_GB2312" w:eastAsia="仿宋_GB2312"/>
          <w:bCs w:val="0"/>
          <w:snapToGrid/>
          <w:spacing w:val="0"/>
          <w:kern w:val="2"/>
          <w:sz w:val="32"/>
          <w:szCs w:val="48"/>
          <w:highlight w:val="none"/>
          <w:u w:val="none"/>
          <w:lang w:val="en-US" w:eastAsia="zh-CN"/>
        </w:rPr>
        <w:t>1</w:t>
      </w:r>
      <w:r>
        <w:rPr>
          <w:rFonts w:hint="eastAsia" w:ascii="仿宋_GB2312" w:eastAsia="仿宋_GB2312"/>
          <w:bCs w:val="0"/>
          <w:snapToGrid/>
          <w:spacing w:val="0"/>
          <w:kern w:val="2"/>
          <w:sz w:val="32"/>
          <w:szCs w:val="48"/>
          <w:highlight w:val="none"/>
          <w:u w:val="none"/>
          <w:lang w:eastAsia="zh-CN"/>
        </w:rPr>
        <w:t>）加强律师权益保护。坚持“严管厚爱”，进一步强化执业教育，推进行风建设，加快律师服务行业数字化诚信体系建设，定期通报律师执业监管情况和惩戒信息。加强和改进律师行业自治管理工作，发挥杭州市律师协会上城分会作用，加强律师行业的服务、交流和青年律师培养等工作，提高行业竞争力。强化律师执业权益保护，严格落实《关于建立民事诉讼监督司法协作机制的意见》（上委法办〔2021〕4号）要求，组织开展公检法部门与律师间的良性互动，切实帮助解决律师执业中的困难和问题，推动改善律师执业环境。</w:t>
      </w:r>
    </w:p>
    <w:p>
      <w:pPr>
        <w:keepNext w:val="0"/>
        <w:keepLines w:val="0"/>
        <w:pageBreakBefore w:val="0"/>
        <w:kinsoku/>
        <w:wordWrap/>
        <w:overflowPunct w:val="0"/>
        <w:topLinePunct w:val="0"/>
        <w:autoSpaceDE/>
        <w:autoSpaceDN/>
        <w:bidi w:val="0"/>
        <w:spacing w:line="560" w:lineRule="exact"/>
        <w:ind w:firstLine="640" w:firstLineChars="200"/>
        <w:textAlignment w:val="auto"/>
        <w:rPr>
          <w:rFonts w:hint="default" w:ascii="黑体" w:hAnsi="黑体" w:eastAsia="黑体"/>
          <w:bCs w:val="0"/>
          <w:snapToGrid/>
          <w:spacing w:val="0"/>
          <w:kern w:val="2"/>
          <w:sz w:val="32"/>
          <w:szCs w:val="48"/>
          <w:highlight w:val="none"/>
          <w:u w:val="none"/>
        </w:rPr>
      </w:pPr>
      <w:r>
        <w:rPr>
          <w:rFonts w:hint="eastAsia" w:ascii="黑体" w:hAnsi="黑体" w:eastAsia="黑体"/>
          <w:bCs w:val="0"/>
          <w:snapToGrid/>
          <w:spacing w:val="0"/>
          <w:kern w:val="2"/>
          <w:sz w:val="32"/>
          <w:szCs w:val="48"/>
          <w:highlight w:val="none"/>
          <w:u w:val="none"/>
        </w:rPr>
        <w:t>四、</w:t>
      </w:r>
      <w:r>
        <w:rPr>
          <w:rFonts w:hint="default" w:ascii="黑体" w:hAnsi="黑体" w:eastAsia="黑体"/>
          <w:bCs w:val="0"/>
          <w:snapToGrid/>
          <w:spacing w:val="0"/>
          <w:kern w:val="2"/>
          <w:sz w:val="32"/>
          <w:szCs w:val="48"/>
          <w:highlight w:val="none"/>
          <w:u w:val="none"/>
        </w:rPr>
        <w:t>附则</w:t>
      </w:r>
    </w:p>
    <w:p>
      <w:pPr>
        <w:pStyle w:val="2"/>
        <w:keepNext w:val="0"/>
        <w:keepLines w:val="0"/>
        <w:pageBreakBefore w:val="0"/>
        <w:widowControl/>
        <w:kinsoku/>
        <w:wordWrap/>
        <w:topLinePunct w:val="0"/>
        <w:autoSpaceDE/>
        <w:autoSpaceDN/>
        <w:bidi w:val="0"/>
        <w:spacing w:beforeAutospacing="0" w:afterAutospacing="0" w:line="560" w:lineRule="exact"/>
        <w:ind w:firstLine="640" w:firstLineChars="200"/>
        <w:textAlignment w:val="auto"/>
        <w:rPr>
          <w:rFonts w:hint="eastAsia" w:ascii="仿宋_GB2312" w:hAnsi="仿宋_GB2312" w:eastAsia="仿宋_GB2312" w:cs="仿宋_GB2312"/>
          <w:bCs w:val="0"/>
          <w:snapToGrid/>
          <w:spacing w:val="0"/>
          <w:kern w:val="2"/>
          <w:sz w:val="32"/>
          <w:szCs w:val="32"/>
          <w:highlight w:val="none"/>
          <w:u w:val="none"/>
        </w:rPr>
      </w:pPr>
      <w:r>
        <w:rPr>
          <w:rFonts w:hint="eastAsia" w:ascii="仿宋_GB2312" w:hAnsi="仿宋_GB2312" w:eastAsia="仿宋_GB2312" w:cs="仿宋_GB2312"/>
          <w:bCs w:val="0"/>
          <w:snapToGrid/>
          <w:spacing w:val="0"/>
          <w:kern w:val="2"/>
          <w:sz w:val="32"/>
          <w:szCs w:val="32"/>
          <w:highlight w:val="none"/>
          <w:u w:val="none"/>
        </w:rPr>
        <w:t>1.扶持资金由区财政局统筹平衡。同一项目按“从优、从高、不重复”和进档差额原则进行补助。上级已有补助的，本政策补助含区级配套资金。如遇上级政策调整的，以调整为准。</w:t>
      </w:r>
    </w:p>
    <w:p>
      <w:pPr>
        <w:pStyle w:val="2"/>
        <w:keepNext w:val="0"/>
        <w:keepLines w:val="0"/>
        <w:pageBreakBefore w:val="0"/>
        <w:widowControl/>
        <w:kinsoku/>
        <w:wordWrap/>
        <w:topLinePunct w:val="0"/>
        <w:autoSpaceDE/>
        <w:autoSpaceDN/>
        <w:bidi w:val="0"/>
        <w:spacing w:beforeAutospacing="0" w:afterAutospacing="0" w:line="560" w:lineRule="exact"/>
        <w:ind w:firstLine="640" w:firstLineChars="200"/>
        <w:textAlignment w:val="auto"/>
        <w:rPr>
          <w:rFonts w:hint="eastAsia" w:ascii="仿宋_GB2312" w:hAnsi="仿宋_GB2312" w:eastAsia="仿宋_GB2312" w:cs="仿宋_GB2312"/>
          <w:bCs w:val="0"/>
          <w:snapToGrid/>
          <w:spacing w:val="0"/>
          <w:kern w:val="2"/>
          <w:sz w:val="32"/>
          <w:szCs w:val="32"/>
          <w:highlight w:val="none"/>
          <w:u w:val="none"/>
        </w:rPr>
      </w:pPr>
      <w:r>
        <w:rPr>
          <w:rFonts w:hint="eastAsia" w:ascii="仿宋_GB2312" w:hAnsi="仿宋_GB2312" w:eastAsia="仿宋_GB2312" w:cs="仿宋_GB2312"/>
          <w:bCs w:val="0"/>
          <w:snapToGrid/>
          <w:spacing w:val="0"/>
          <w:kern w:val="2"/>
          <w:sz w:val="32"/>
          <w:szCs w:val="32"/>
          <w:highlight w:val="none"/>
          <w:u w:val="none"/>
        </w:rPr>
        <w:t>2.当年存在欠薪欠资行为、发生违法犯罪和出现安全生产、环境污染等较大责任事故的</w:t>
      </w:r>
      <w:r>
        <w:rPr>
          <w:rFonts w:hint="eastAsia" w:ascii="仿宋_GB2312" w:hAnsi="仿宋_GB2312" w:eastAsia="仿宋_GB2312" w:cs="仿宋_GB2312"/>
          <w:bCs w:val="0"/>
          <w:snapToGrid/>
          <w:spacing w:val="0"/>
          <w:kern w:val="2"/>
          <w:sz w:val="32"/>
          <w:szCs w:val="32"/>
          <w:highlight w:val="none"/>
          <w:u w:val="none"/>
          <w:lang w:val="en-US" w:eastAsia="zh-CN"/>
        </w:rPr>
        <w:t>律师事务所</w:t>
      </w:r>
      <w:r>
        <w:rPr>
          <w:rFonts w:hint="eastAsia" w:ascii="仿宋_GB2312" w:hAnsi="仿宋_GB2312" w:eastAsia="仿宋_GB2312" w:cs="仿宋_GB2312"/>
          <w:bCs w:val="0"/>
          <w:snapToGrid/>
          <w:spacing w:val="0"/>
          <w:kern w:val="2"/>
          <w:sz w:val="32"/>
          <w:szCs w:val="32"/>
          <w:highlight w:val="none"/>
          <w:u w:val="none"/>
        </w:rPr>
        <w:t>，不能享受扶持政策。扶持对象均须对申请材料的真实性负责，并承担相应法律责任。</w:t>
      </w:r>
    </w:p>
    <w:p>
      <w:pPr>
        <w:pStyle w:val="2"/>
        <w:keepNext w:val="0"/>
        <w:keepLines w:val="0"/>
        <w:pageBreakBefore w:val="0"/>
        <w:widowControl/>
        <w:kinsoku/>
        <w:wordWrap/>
        <w:topLinePunct w:val="0"/>
        <w:autoSpaceDE/>
        <w:autoSpaceDN/>
        <w:bidi w:val="0"/>
        <w:spacing w:beforeAutospacing="0" w:afterAutospacing="0" w:line="560" w:lineRule="exact"/>
        <w:ind w:firstLine="640" w:firstLineChars="200"/>
        <w:textAlignment w:val="auto"/>
        <w:rPr>
          <w:rFonts w:hint="eastAsia" w:ascii="仿宋_GB2312" w:hAnsi="仿宋_GB2312" w:eastAsia="仿宋_GB2312" w:cs="仿宋_GB2312"/>
          <w:bCs w:val="0"/>
          <w:snapToGrid/>
          <w:spacing w:val="0"/>
          <w:kern w:val="2"/>
          <w:sz w:val="32"/>
          <w:szCs w:val="32"/>
          <w:highlight w:val="none"/>
          <w:u w:val="none"/>
        </w:rPr>
      </w:pPr>
      <w:r>
        <w:rPr>
          <w:rFonts w:hint="eastAsia" w:ascii="仿宋_GB2312" w:hAnsi="仿宋_GB2312" w:eastAsia="仿宋_GB2312" w:cs="仿宋_GB2312"/>
          <w:bCs w:val="0"/>
          <w:snapToGrid/>
          <w:spacing w:val="0"/>
          <w:kern w:val="2"/>
          <w:sz w:val="32"/>
          <w:szCs w:val="32"/>
          <w:highlight w:val="none"/>
          <w:u w:val="none"/>
          <w:lang w:val="en-US" w:eastAsia="zh-CN"/>
        </w:rPr>
        <w:t>3.</w:t>
      </w:r>
      <w:r>
        <w:rPr>
          <w:rFonts w:hint="default" w:ascii="仿宋_GB2312" w:hAnsi="仿宋_GB2312" w:eastAsia="仿宋_GB2312" w:cs="仿宋_GB2312"/>
          <w:bCs w:val="0"/>
          <w:snapToGrid/>
          <w:spacing w:val="0"/>
          <w:kern w:val="2"/>
          <w:sz w:val="32"/>
          <w:szCs w:val="32"/>
          <w:highlight w:val="none"/>
          <w:u w:val="none"/>
        </w:rPr>
        <w:t>律师事务所</w:t>
      </w:r>
      <w:r>
        <w:rPr>
          <w:rFonts w:hint="eastAsia" w:ascii="仿宋_GB2312" w:hAnsi="仿宋_GB2312" w:eastAsia="仿宋_GB2312" w:cs="仿宋_GB2312"/>
          <w:bCs w:val="0"/>
          <w:snapToGrid/>
          <w:spacing w:val="0"/>
          <w:kern w:val="2"/>
          <w:sz w:val="32"/>
          <w:szCs w:val="32"/>
          <w:highlight w:val="none"/>
          <w:u w:val="none"/>
        </w:rPr>
        <w:t>当年受到行政处罚、行业处分的，取消该所当年度奖励或补助资格</w:t>
      </w:r>
      <w:r>
        <w:rPr>
          <w:rFonts w:hint="default" w:ascii="仿宋_GB2312" w:hAnsi="仿宋_GB2312" w:eastAsia="仿宋_GB2312" w:cs="仿宋_GB2312"/>
          <w:bCs w:val="0"/>
          <w:snapToGrid/>
          <w:spacing w:val="0"/>
          <w:kern w:val="2"/>
          <w:sz w:val="32"/>
          <w:szCs w:val="32"/>
          <w:highlight w:val="none"/>
          <w:u w:val="none"/>
        </w:rPr>
        <w:t>；律师事务所</w:t>
      </w:r>
      <w:r>
        <w:rPr>
          <w:rFonts w:hint="eastAsia" w:ascii="仿宋_GB2312" w:hAnsi="仿宋_GB2312" w:eastAsia="仿宋_GB2312" w:cs="仿宋_GB2312"/>
          <w:bCs w:val="0"/>
          <w:snapToGrid/>
          <w:spacing w:val="0"/>
          <w:kern w:val="2"/>
          <w:sz w:val="32"/>
          <w:szCs w:val="32"/>
          <w:highlight w:val="none"/>
          <w:u w:val="none"/>
        </w:rPr>
        <w:t>当年内有2名以上执业律师受到行政处罚、行业处分或党纪处分的，取消该所当年度奖励或补助资格。</w:t>
      </w:r>
      <w:bookmarkStart w:id="3" w:name="OLE_LINK1"/>
      <w:r>
        <w:rPr>
          <w:rFonts w:hint="eastAsia" w:ascii="仿宋_GB2312" w:hAnsi="仿宋_GB2312" w:eastAsia="仿宋_GB2312" w:cs="仿宋_GB2312"/>
          <w:bCs w:val="0"/>
          <w:snapToGrid/>
          <w:spacing w:val="0"/>
          <w:kern w:val="2"/>
          <w:sz w:val="32"/>
          <w:szCs w:val="32"/>
          <w:highlight w:val="none"/>
          <w:u w:val="none"/>
        </w:rPr>
        <w:t>律师因违法违规执业行为受到行政处罚、行业处分</w:t>
      </w:r>
      <w:bookmarkEnd w:id="3"/>
      <w:r>
        <w:rPr>
          <w:rFonts w:hint="eastAsia" w:ascii="仿宋_GB2312" w:hAnsi="仿宋_GB2312" w:eastAsia="仿宋_GB2312" w:cs="仿宋_GB2312"/>
          <w:bCs w:val="0"/>
          <w:snapToGrid/>
          <w:spacing w:val="0"/>
          <w:kern w:val="2"/>
          <w:sz w:val="32"/>
          <w:szCs w:val="32"/>
          <w:highlight w:val="none"/>
          <w:u w:val="none"/>
        </w:rPr>
        <w:t>、党纪处分的，取消该律师当年及之后的奖励或补助资格。</w:t>
      </w:r>
    </w:p>
    <w:p>
      <w:pPr>
        <w:pStyle w:val="2"/>
        <w:keepNext w:val="0"/>
        <w:keepLines w:val="0"/>
        <w:pageBreakBefore w:val="0"/>
        <w:widowControl/>
        <w:kinsoku/>
        <w:wordWrap/>
        <w:topLinePunct w:val="0"/>
        <w:autoSpaceDE/>
        <w:autoSpaceDN/>
        <w:bidi w:val="0"/>
        <w:spacing w:beforeAutospacing="0" w:afterAutospacing="0" w:line="560" w:lineRule="exact"/>
        <w:ind w:firstLine="640" w:firstLineChars="200"/>
        <w:textAlignment w:val="auto"/>
        <w:rPr>
          <w:rFonts w:hint="eastAsia" w:ascii="仿宋_GB2312" w:hAnsi="仿宋_GB2312" w:eastAsia="仿宋_GB2312" w:cs="仿宋_GB2312"/>
          <w:bCs w:val="0"/>
          <w:snapToGrid/>
          <w:spacing w:val="0"/>
          <w:kern w:val="2"/>
          <w:sz w:val="32"/>
          <w:szCs w:val="32"/>
          <w:highlight w:val="none"/>
          <w:u w:val="none"/>
        </w:rPr>
      </w:pPr>
      <w:r>
        <w:rPr>
          <w:rFonts w:hint="eastAsia" w:ascii="仿宋_GB2312" w:hAnsi="仿宋_GB2312" w:eastAsia="仿宋_GB2312" w:cs="仿宋_GB2312"/>
          <w:bCs w:val="0"/>
          <w:snapToGrid/>
          <w:spacing w:val="0"/>
          <w:kern w:val="2"/>
          <w:sz w:val="32"/>
          <w:szCs w:val="32"/>
          <w:highlight w:val="none"/>
          <w:u w:val="none"/>
          <w:lang w:val="en-US" w:eastAsia="zh-CN"/>
        </w:rPr>
        <w:t>4</w:t>
      </w:r>
      <w:r>
        <w:rPr>
          <w:rFonts w:hint="eastAsia" w:ascii="仿宋_GB2312" w:hAnsi="仿宋_GB2312" w:eastAsia="仿宋_GB2312" w:cs="仿宋_GB2312"/>
          <w:bCs w:val="0"/>
          <w:snapToGrid/>
          <w:spacing w:val="0"/>
          <w:kern w:val="2"/>
          <w:sz w:val="32"/>
          <w:szCs w:val="32"/>
          <w:highlight w:val="none"/>
          <w:u w:val="none"/>
        </w:rPr>
        <w:t>.本意见</w:t>
      </w:r>
      <w:r>
        <w:rPr>
          <w:rFonts w:hint="eastAsia" w:ascii="仿宋_GB2312" w:eastAsia="仿宋_GB2312"/>
          <w:bCs w:val="0"/>
          <w:snapToGrid/>
          <w:spacing w:val="0"/>
          <w:kern w:val="2"/>
          <w:sz w:val="32"/>
          <w:szCs w:val="32"/>
          <w:highlight w:val="none"/>
          <w:u w:val="none"/>
        </w:rPr>
        <w:t>由上城区司法局和上城区财政局共同负责解释，</w:t>
      </w:r>
      <w:r>
        <w:rPr>
          <w:rFonts w:hint="eastAsia" w:ascii="仿宋_GB2312" w:hAnsi="仿宋_GB2312" w:eastAsia="仿宋_GB2312" w:cs="仿宋_GB2312"/>
          <w:bCs w:val="0"/>
          <w:snapToGrid/>
          <w:spacing w:val="0"/>
          <w:kern w:val="2"/>
          <w:sz w:val="32"/>
          <w:szCs w:val="32"/>
          <w:highlight w:val="none"/>
          <w:u w:val="none"/>
        </w:rPr>
        <w:t>自2025年XX月XX日起施行，有效期</w:t>
      </w:r>
      <w:r>
        <w:rPr>
          <w:rFonts w:hint="default" w:ascii="仿宋_GB2312" w:hAnsi="仿宋_GB2312" w:eastAsia="仿宋_GB2312" w:cs="仿宋_GB2312"/>
          <w:bCs w:val="0"/>
          <w:snapToGrid/>
          <w:spacing w:val="0"/>
          <w:kern w:val="2"/>
          <w:sz w:val="32"/>
          <w:szCs w:val="32"/>
          <w:highlight w:val="none"/>
          <w:u w:val="none"/>
        </w:rPr>
        <w:t>一</w:t>
      </w:r>
      <w:r>
        <w:rPr>
          <w:rFonts w:hint="eastAsia" w:ascii="仿宋_GB2312" w:hAnsi="仿宋_GB2312" w:eastAsia="仿宋_GB2312" w:cs="仿宋_GB2312"/>
          <w:bCs w:val="0"/>
          <w:snapToGrid/>
          <w:spacing w:val="0"/>
          <w:kern w:val="2"/>
          <w:sz w:val="32"/>
          <w:szCs w:val="32"/>
          <w:highlight w:val="none"/>
          <w:u w:val="none"/>
        </w:rPr>
        <w:t>年。自202</w:t>
      </w:r>
      <w:r>
        <w:rPr>
          <w:rFonts w:hint="eastAsia" w:ascii="仿宋_GB2312" w:hAnsi="仿宋_GB2312" w:eastAsia="仿宋_GB2312" w:cs="仿宋_GB2312"/>
          <w:bCs w:val="0"/>
          <w:snapToGrid/>
          <w:spacing w:val="0"/>
          <w:kern w:val="2"/>
          <w:sz w:val="32"/>
          <w:szCs w:val="32"/>
          <w:highlight w:val="none"/>
          <w:u w:val="none"/>
          <w:lang w:val="en-US" w:eastAsia="zh-CN"/>
        </w:rPr>
        <w:t>5</w:t>
      </w:r>
      <w:r>
        <w:rPr>
          <w:rFonts w:hint="eastAsia" w:ascii="仿宋_GB2312" w:hAnsi="仿宋_GB2312" w:eastAsia="仿宋_GB2312" w:cs="仿宋_GB2312"/>
          <w:bCs w:val="0"/>
          <w:snapToGrid/>
          <w:spacing w:val="0"/>
          <w:kern w:val="2"/>
          <w:sz w:val="32"/>
          <w:szCs w:val="32"/>
          <w:highlight w:val="none"/>
          <w:u w:val="none"/>
        </w:rPr>
        <w:t>年1月1日起，符合本文件要求的，可参照执行。</w:t>
      </w:r>
    </w:p>
    <w:p>
      <w:pPr>
        <w:pStyle w:val="2"/>
        <w:keepNext w:val="0"/>
        <w:keepLines w:val="0"/>
        <w:pageBreakBefore w:val="0"/>
        <w:widowControl/>
        <w:kinsoku/>
        <w:wordWrap/>
        <w:topLinePunct w:val="0"/>
        <w:autoSpaceDE/>
        <w:autoSpaceDN/>
        <w:bidi w:val="0"/>
        <w:spacing w:beforeAutospacing="0" w:afterAutospacing="0" w:line="560" w:lineRule="exact"/>
        <w:ind w:firstLine="640" w:firstLineChars="200"/>
        <w:textAlignment w:val="auto"/>
      </w:pPr>
      <w:r>
        <w:rPr>
          <w:rFonts w:hint="eastAsia" w:ascii="仿宋_GB2312" w:hAnsi="仿宋_GB2312" w:eastAsia="仿宋_GB2312" w:cs="仿宋_GB2312"/>
          <w:bCs w:val="0"/>
          <w:snapToGrid/>
          <w:spacing w:val="0"/>
          <w:kern w:val="2"/>
          <w:sz w:val="32"/>
          <w:szCs w:val="32"/>
          <w:highlight w:val="none"/>
          <w:u w:val="none"/>
          <w:lang w:val="en-US" w:eastAsia="zh-CN"/>
        </w:rPr>
        <w:t>5</w:t>
      </w:r>
      <w:r>
        <w:rPr>
          <w:rFonts w:hint="eastAsia" w:ascii="仿宋_GB2312" w:hAnsi="仿宋_GB2312" w:eastAsia="仿宋_GB2312" w:cs="仿宋_GB2312"/>
          <w:bCs w:val="0"/>
          <w:snapToGrid/>
          <w:spacing w:val="0"/>
          <w:kern w:val="2"/>
          <w:sz w:val="32"/>
          <w:szCs w:val="32"/>
          <w:highlight w:val="none"/>
          <w:u w:val="none"/>
        </w:rPr>
        <w:t>.此前发布的有关政策，凡与本意见不一致的，按照本意见执行。</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62E62C7"/>
    <w:rsid w:val="062E62C7"/>
    <w:rsid w:val="06B04B4F"/>
    <w:rsid w:val="0D410341"/>
    <w:rsid w:val="190B41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20</TotalTime>
  <ScaleCrop>false</ScaleCrop>
  <LinksUpToDate>false</LinksUpToDate>
  <CharactersWithSpaces>0</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2025-01-03T06:27:00Z</dcterms:created>
  <dc:creator>徐佳</dc:creator>
  <cp:lastModifiedBy>徐佳</cp:lastModifiedBy>
  <cp:lastPrinted>2025-01-06T07:12:39Z</cp:lastPrinted>
  <dcterms:modified xsi:type="dcterms:W3CDTF">2025-01-06T07:13:44Z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B0553E4514E1439CA2E47D3FD4DE566C</vt:lpwstr>
  </property>
</Properties>
</file>