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0" w:lineRule="exact"/>
        <w:ind w:left="0" w:leftChars="0" w:right="0" w:firstLine="0" w:firstLineChars="0"/>
        <w:jc w:val="center"/>
        <w:textAlignment w:val="auto"/>
        <w:outlineLvl w:val="9"/>
        <w:rPr>
          <w:rFonts w:hint="default" w:ascii="Times New Roman" w:hAnsi="Times New Roman" w:eastAsia="方正小标宋_GBK" w:cs="Times New Roman"/>
          <w:b w:val="0"/>
          <w:bCs w:val="0"/>
          <w:spacing w:val="0"/>
          <w:sz w:val="44"/>
          <w:szCs w:val="44"/>
          <w:highlight w:val="none"/>
          <w:lang w:val="en-US" w:eastAsia="zh-CN"/>
        </w:rPr>
      </w:pPr>
      <w:r>
        <w:rPr>
          <w:rFonts w:hint="default" w:ascii="Times New Roman" w:hAnsi="Times New Roman" w:eastAsia="方正小标宋_GBK" w:cs="Times New Roman"/>
          <w:b w:val="0"/>
          <w:bCs w:val="0"/>
          <w:spacing w:val="0"/>
          <w:sz w:val="44"/>
          <w:szCs w:val="44"/>
          <w:highlight w:val="none"/>
          <w:lang w:val="en-US" w:eastAsia="zh-CN"/>
        </w:rPr>
        <w:t>杭州市临平区村</w:t>
      </w:r>
      <w:r>
        <w:rPr>
          <w:rFonts w:hint="eastAsia" w:eastAsia="方正小标宋_GBK" w:cs="Times New Roman"/>
          <w:b w:val="0"/>
          <w:bCs w:val="0"/>
          <w:spacing w:val="0"/>
          <w:sz w:val="44"/>
          <w:szCs w:val="44"/>
          <w:highlight w:val="none"/>
          <w:lang w:val="en-US" w:eastAsia="zh-CN"/>
        </w:rPr>
        <w:t>（</w:t>
      </w:r>
      <w:r>
        <w:rPr>
          <w:rFonts w:hint="default" w:ascii="Times New Roman" w:hAnsi="Times New Roman" w:eastAsia="方正小标宋_GBK" w:cs="Times New Roman"/>
          <w:b w:val="0"/>
          <w:bCs w:val="0"/>
          <w:spacing w:val="0"/>
          <w:sz w:val="44"/>
          <w:szCs w:val="44"/>
          <w:highlight w:val="none"/>
          <w:lang w:val="en-US" w:eastAsia="zh-CN"/>
        </w:rPr>
        <w:t>社</w:t>
      </w:r>
      <w:r>
        <w:rPr>
          <w:rFonts w:hint="eastAsia" w:eastAsia="方正小标宋_GBK" w:cs="Times New Roman"/>
          <w:b w:val="0"/>
          <w:bCs w:val="0"/>
          <w:spacing w:val="0"/>
          <w:sz w:val="44"/>
          <w:szCs w:val="44"/>
          <w:highlight w:val="none"/>
          <w:lang w:val="en-US" w:eastAsia="zh-CN"/>
        </w:rPr>
        <w:t>区）</w:t>
      </w:r>
      <w:r>
        <w:rPr>
          <w:rFonts w:hint="default" w:ascii="Times New Roman" w:hAnsi="Times New Roman" w:eastAsia="方正小标宋_GBK" w:cs="Times New Roman"/>
          <w:b w:val="0"/>
          <w:bCs w:val="0"/>
          <w:spacing w:val="0"/>
          <w:sz w:val="44"/>
          <w:szCs w:val="44"/>
          <w:highlight w:val="none"/>
          <w:lang w:val="en-US" w:eastAsia="zh-CN"/>
        </w:rPr>
        <w:t>法律顾问工作</w:t>
      </w:r>
    </w:p>
    <w:p>
      <w:pPr>
        <w:widowControl w:val="0"/>
        <w:wordWrap/>
        <w:adjustRightInd/>
        <w:snapToGrid/>
        <w:spacing w:line="570" w:lineRule="exact"/>
        <w:ind w:left="0" w:leftChars="0" w:right="0" w:firstLine="0" w:firstLineChars="0"/>
        <w:jc w:val="center"/>
        <w:textAlignment w:val="auto"/>
        <w:outlineLvl w:val="9"/>
        <w:rPr>
          <w:rFonts w:hint="default" w:ascii="Times New Roman" w:hAnsi="Times New Roman" w:eastAsia="方正小标宋_GBK" w:cs="Times New Roman"/>
          <w:b w:val="0"/>
          <w:bCs w:val="0"/>
          <w:spacing w:val="0"/>
          <w:sz w:val="44"/>
          <w:szCs w:val="44"/>
          <w:highlight w:val="none"/>
          <w:lang w:val="en-US" w:eastAsia="zh-CN"/>
        </w:rPr>
      </w:pPr>
      <w:r>
        <w:rPr>
          <w:rFonts w:hint="default" w:ascii="Times New Roman" w:hAnsi="Times New Roman" w:eastAsia="方正小标宋_GBK" w:cs="Times New Roman"/>
          <w:b w:val="0"/>
          <w:bCs w:val="0"/>
          <w:spacing w:val="0"/>
          <w:sz w:val="44"/>
          <w:szCs w:val="44"/>
          <w:highlight w:val="none"/>
          <w:lang w:val="en-US" w:eastAsia="zh-CN"/>
        </w:rPr>
        <w:t>绩效评估办法</w:t>
      </w:r>
      <w:r>
        <w:rPr>
          <w:rFonts w:hint="eastAsia" w:eastAsia="方正小标宋_GBK" w:cs="Times New Roman"/>
          <w:b w:val="0"/>
          <w:bCs w:val="0"/>
          <w:spacing w:val="0"/>
          <w:sz w:val="44"/>
          <w:szCs w:val="44"/>
          <w:highlight w:val="none"/>
          <w:lang w:val="en-US" w:eastAsia="zh-CN"/>
        </w:rPr>
        <w:t>（征求意见稿）</w:t>
      </w:r>
    </w:p>
    <w:p>
      <w:pPr>
        <w:widowControl w:val="0"/>
        <w:wordWrap/>
        <w:adjustRightInd/>
        <w:snapToGrid/>
        <w:spacing w:line="570" w:lineRule="exact"/>
        <w:ind w:left="0" w:leftChars="0" w:right="0" w:firstLine="0" w:firstLineChars="0"/>
        <w:jc w:val="center"/>
        <w:textAlignment w:val="auto"/>
        <w:outlineLvl w:val="9"/>
        <w:rPr>
          <w:rFonts w:hint="default" w:ascii="Times New Roman" w:hAnsi="Times New Roman" w:eastAsia="楷体_GB2312" w:cs="Times New Roman"/>
          <w:b w:val="0"/>
          <w:bCs w:val="0"/>
          <w:spacing w:val="0"/>
          <w:sz w:val="32"/>
          <w:szCs w:val="32"/>
          <w:highlight w:val="none"/>
          <w:lang w:val="en-US" w:eastAsia="zh-CN"/>
        </w:rPr>
      </w:pPr>
      <w:r>
        <w:rPr>
          <w:rFonts w:hint="default" w:ascii="Times New Roman" w:hAnsi="Times New Roman" w:eastAsia="楷体_GB2312" w:cs="Times New Roman"/>
          <w:b w:val="0"/>
          <w:bCs w:val="0"/>
          <w:spacing w:val="0"/>
          <w:sz w:val="32"/>
          <w:szCs w:val="32"/>
          <w:highlight w:val="none"/>
          <w:lang w:val="en-US" w:eastAsia="zh-CN"/>
        </w:rPr>
        <w:t>（试行）</w:t>
      </w:r>
    </w:p>
    <w:p>
      <w:pPr>
        <w:widowControl w:val="0"/>
        <w:wordWrap/>
        <w:adjustRightInd/>
        <w:snapToGrid/>
        <w:spacing w:line="570" w:lineRule="exact"/>
        <w:ind w:left="0" w:leftChars="0" w:right="0" w:firstLine="640" w:firstLineChars="200"/>
        <w:jc w:val="both"/>
        <w:textAlignment w:val="auto"/>
        <w:outlineLvl w:val="9"/>
        <w:rPr>
          <w:rFonts w:hint="default" w:ascii="Times New Roman" w:hAnsi="Times New Roman" w:eastAsia="仿宋_GB2312" w:cs="Times New Roman"/>
          <w:b w:val="0"/>
          <w:bCs w:val="0"/>
          <w:spacing w:val="0"/>
          <w:sz w:val="32"/>
          <w:szCs w:val="32"/>
          <w:highlight w:val="none"/>
          <w:lang w:val="en-US" w:eastAsia="zh-CN"/>
        </w:rPr>
      </w:pPr>
    </w:p>
    <w:p>
      <w:pPr>
        <w:widowControl w:val="0"/>
        <w:numPr>
          <w:ilvl w:val="0"/>
          <w:numId w:val="0"/>
        </w:numPr>
        <w:wordWrap/>
        <w:adjustRightInd/>
        <w:snapToGrid/>
        <w:spacing w:line="570" w:lineRule="exact"/>
        <w:ind w:left="0" w:leftChars="0" w:right="0" w:firstLine="640" w:firstLineChars="200"/>
        <w:jc w:val="both"/>
        <w:textAlignment w:val="auto"/>
        <w:outlineLvl w:val="9"/>
        <w:rPr>
          <w:rFonts w:hint="default" w:ascii="Times New Roman" w:hAnsi="Times New Roman" w:eastAsia="仿宋_GB2312" w:cs="Times New Roman"/>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为进一步发挥村社法律顾问在基层治理与公共法律服务体系中服务基层作用，有效落实杭司〔2024〕75号《杭州市司法局关于深化“律师进社区（村）”工作进一步加强公共法律服务体系建设的实施意见》要求，推动村（社区）法律顾问工作提质增效，进一步提升资金使用绩效，特制定本办法。</w:t>
      </w:r>
    </w:p>
    <w:p>
      <w:pPr>
        <w:widowControl w:val="0"/>
        <w:numPr>
          <w:ilvl w:val="0"/>
          <w:numId w:val="0"/>
        </w:numPr>
        <w:wordWrap/>
        <w:adjustRightInd/>
        <w:snapToGrid/>
        <w:spacing w:line="570" w:lineRule="exact"/>
        <w:ind w:left="0" w:leftChars="0" w:right="0" w:firstLine="640" w:firstLineChars="200"/>
        <w:jc w:val="both"/>
        <w:textAlignment w:val="auto"/>
        <w:outlineLvl w:val="9"/>
        <w:rPr>
          <w:rFonts w:hint="default" w:ascii="Times New Roman" w:hAnsi="Times New Roman" w:eastAsia="国标黑体" w:cs="Times New Roman"/>
          <w:b w:val="0"/>
          <w:bCs w:val="0"/>
          <w:spacing w:val="0"/>
          <w:sz w:val="32"/>
          <w:szCs w:val="32"/>
          <w:highlight w:val="none"/>
          <w:lang w:val="en-US" w:eastAsia="zh-CN"/>
        </w:rPr>
      </w:pPr>
      <w:r>
        <w:rPr>
          <w:rFonts w:hint="default" w:ascii="Times New Roman" w:hAnsi="Times New Roman" w:eastAsia="国标黑体" w:cs="Times New Roman"/>
          <w:b w:val="0"/>
          <w:bCs w:val="0"/>
          <w:spacing w:val="0"/>
          <w:sz w:val="32"/>
          <w:szCs w:val="32"/>
          <w:highlight w:val="none"/>
          <w:lang w:val="en-US" w:eastAsia="zh-CN"/>
        </w:rPr>
        <w:t>一、评估主体和对象</w:t>
      </w:r>
    </w:p>
    <w:p>
      <w:pPr>
        <w:widowControl w:val="0"/>
        <w:numPr>
          <w:ilvl w:val="0"/>
          <w:numId w:val="0"/>
        </w:numPr>
        <w:wordWrap/>
        <w:adjustRightInd/>
        <w:snapToGrid/>
        <w:spacing w:line="570" w:lineRule="exact"/>
        <w:ind w:left="0" w:leftChars="0" w:right="0" w:firstLine="640" w:firstLineChars="200"/>
        <w:jc w:val="both"/>
        <w:textAlignment w:val="auto"/>
        <w:outlineLvl w:val="9"/>
        <w:rPr>
          <w:rFonts w:hint="default" w:ascii="Times New Roman" w:hAnsi="Times New Roman" w:eastAsia="仿宋_GB2312" w:cs="Times New Roman"/>
          <w:b w:val="0"/>
          <w:bCs w:val="0"/>
          <w:spacing w:val="0"/>
          <w:sz w:val="32"/>
          <w:szCs w:val="32"/>
          <w:highlight w:val="none"/>
          <w:lang w:val="en-US" w:eastAsia="zh-CN"/>
        </w:rPr>
      </w:pPr>
      <w:r>
        <w:rPr>
          <w:rFonts w:hint="default" w:ascii="Times New Roman" w:hAnsi="Times New Roman" w:eastAsia="仿宋_GB2312" w:cs="Times New Roman"/>
          <w:b w:val="0"/>
          <w:bCs w:val="0"/>
          <w:spacing w:val="0"/>
          <w:sz w:val="32"/>
          <w:szCs w:val="32"/>
          <w:highlight w:val="none"/>
          <w:lang w:val="en-US" w:eastAsia="zh-CN"/>
        </w:rPr>
        <w:t>村（社区）法律顾问绩效评估工作由区司法局、镇街、</w:t>
      </w:r>
      <w:r>
        <w:rPr>
          <w:rFonts w:hint="eastAsia" w:ascii="仿宋_GB2312" w:hAnsi="仿宋_GB2312" w:eastAsia="仿宋_GB2312" w:cs="仿宋_GB2312"/>
          <w:b w:val="0"/>
          <w:bCs w:val="0"/>
          <w:spacing w:val="0"/>
          <w:sz w:val="32"/>
          <w:szCs w:val="32"/>
          <w:highlight w:val="none"/>
          <w:lang w:val="en-US" w:eastAsia="zh-CN"/>
        </w:rPr>
        <w:t>村（社区）</w:t>
      </w:r>
      <w:r>
        <w:rPr>
          <w:rFonts w:hint="default" w:ascii="Times New Roman" w:hAnsi="Times New Roman" w:eastAsia="仿宋_GB2312" w:cs="Times New Roman"/>
          <w:b w:val="0"/>
          <w:bCs w:val="0"/>
          <w:spacing w:val="0"/>
          <w:sz w:val="32"/>
          <w:szCs w:val="32"/>
          <w:highlight w:val="none"/>
          <w:lang w:val="en-US" w:eastAsia="zh-CN"/>
        </w:rPr>
        <w:t>三方协同联动进行；评估对象为全区各村（社区）法律顾问。</w:t>
      </w:r>
    </w:p>
    <w:p>
      <w:pPr>
        <w:widowControl w:val="0"/>
        <w:numPr>
          <w:ilvl w:val="0"/>
          <w:numId w:val="0"/>
        </w:numPr>
        <w:wordWrap/>
        <w:adjustRightInd/>
        <w:snapToGrid/>
        <w:spacing w:line="570" w:lineRule="exact"/>
        <w:ind w:left="0" w:leftChars="0" w:right="0" w:firstLine="640" w:firstLineChars="200"/>
        <w:jc w:val="both"/>
        <w:textAlignment w:val="auto"/>
        <w:outlineLvl w:val="9"/>
        <w:rPr>
          <w:rFonts w:hint="default" w:ascii="Times New Roman" w:hAnsi="Times New Roman" w:eastAsia="国标黑体" w:cs="Times New Roman"/>
          <w:b w:val="0"/>
          <w:bCs w:val="0"/>
          <w:spacing w:val="0"/>
          <w:sz w:val="32"/>
          <w:szCs w:val="32"/>
          <w:highlight w:val="none"/>
          <w:lang w:val="en-US" w:eastAsia="zh-CN"/>
        </w:rPr>
      </w:pPr>
      <w:r>
        <w:rPr>
          <w:rFonts w:hint="default" w:ascii="Times New Roman" w:hAnsi="Times New Roman" w:eastAsia="国标黑体" w:cs="Times New Roman"/>
          <w:b w:val="0"/>
          <w:bCs w:val="0"/>
          <w:spacing w:val="0"/>
          <w:sz w:val="32"/>
          <w:szCs w:val="32"/>
          <w:highlight w:val="none"/>
          <w:lang w:val="en-US" w:eastAsia="zh-CN"/>
        </w:rPr>
        <w:t>二、评估时间与原则</w:t>
      </w:r>
    </w:p>
    <w:p>
      <w:pPr>
        <w:widowControl w:val="0"/>
        <w:numPr>
          <w:ilvl w:val="0"/>
          <w:numId w:val="0"/>
        </w:numPr>
        <w:wordWrap/>
        <w:adjustRightInd/>
        <w:snapToGrid/>
        <w:spacing w:line="570" w:lineRule="exact"/>
        <w:ind w:left="0" w:leftChars="0" w:right="0" w:firstLine="640" w:firstLineChars="200"/>
        <w:jc w:val="both"/>
        <w:textAlignment w:val="auto"/>
        <w:outlineLvl w:val="9"/>
        <w:rPr>
          <w:rFonts w:hint="default" w:ascii="Times New Roman" w:hAnsi="Times New Roman" w:eastAsia="仿宋_GB2312" w:cs="Times New Roman"/>
          <w:b w:val="0"/>
          <w:bCs w:val="0"/>
          <w:spacing w:val="0"/>
          <w:sz w:val="32"/>
          <w:szCs w:val="32"/>
          <w:highlight w:val="none"/>
          <w:lang w:val="en-US" w:eastAsia="zh-CN"/>
        </w:rPr>
      </w:pPr>
      <w:r>
        <w:rPr>
          <w:rFonts w:hint="default" w:ascii="Times New Roman" w:hAnsi="Times New Roman" w:eastAsia="仿宋_GB2312" w:cs="Times New Roman"/>
          <w:b w:val="0"/>
          <w:bCs w:val="0"/>
          <w:spacing w:val="0"/>
          <w:sz w:val="32"/>
          <w:szCs w:val="32"/>
          <w:highlight w:val="none"/>
          <w:lang w:val="en-US" w:eastAsia="zh-CN"/>
        </w:rPr>
        <w:t>原则上以年度为单位，通过日常记录督促、季度走访评估、年度述职考核等进行过程性管理，年末集中出具年度评估</w:t>
      </w:r>
      <w:r>
        <w:rPr>
          <w:rFonts w:hint="eastAsia" w:eastAsia="仿宋_GB2312" w:cs="Times New Roman"/>
          <w:b w:val="0"/>
          <w:bCs w:val="0"/>
          <w:spacing w:val="0"/>
          <w:sz w:val="32"/>
          <w:szCs w:val="32"/>
          <w:highlight w:val="none"/>
          <w:lang w:val="en-US" w:eastAsia="zh-CN"/>
        </w:rPr>
        <w:t>结果</w:t>
      </w:r>
      <w:r>
        <w:rPr>
          <w:rFonts w:hint="default" w:ascii="Times New Roman" w:hAnsi="Times New Roman" w:eastAsia="仿宋_GB2312" w:cs="Times New Roman"/>
          <w:b w:val="0"/>
          <w:bCs w:val="0"/>
          <w:spacing w:val="0"/>
          <w:sz w:val="32"/>
          <w:szCs w:val="32"/>
          <w:highlight w:val="none"/>
          <w:lang w:val="en-US" w:eastAsia="zh-CN"/>
        </w:rPr>
        <w:t>。绩效评估应遵循多方参与、过程管控、实绩导向、集体评议等原则。</w:t>
      </w:r>
    </w:p>
    <w:p>
      <w:pPr>
        <w:widowControl w:val="0"/>
        <w:numPr>
          <w:ilvl w:val="0"/>
          <w:numId w:val="0"/>
        </w:numPr>
        <w:wordWrap/>
        <w:adjustRightInd/>
        <w:snapToGrid/>
        <w:spacing w:line="570" w:lineRule="exact"/>
        <w:ind w:left="0" w:leftChars="0" w:right="0" w:firstLine="640" w:firstLineChars="200"/>
        <w:jc w:val="both"/>
        <w:textAlignment w:val="auto"/>
        <w:outlineLvl w:val="9"/>
        <w:rPr>
          <w:rFonts w:hint="default" w:ascii="Times New Roman" w:hAnsi="Times New Roman" w:eastAsia="国标黑体" w:cs="Times New Roman"/>
          <w:b w:val="0"/>
          <w:bCs w:val="0"/>
          <w:spacing w:val="0"/>
          <w:sz w:val="32"/>
          <w:szCs w:val="32"/>
          <w:highlight w:val="none"/>
          <w:lang w:val="en-US" w:eastAsia="zh-CN"/>
        </w:rPr>
      </w:pPr>
      <w:r>
        <w:rPr>
          <w:rFonts w:hint="default" w:ascii="Times New Roman" w:hAnsi="Times New Roman" w:eastAsia="国标黑体" w:cs="Times New Roman"/>
          <w:b w:val="0"/>
          <w:bCs w:val="0"/>
          <w:spacing w:val="0"/>
          <w:sz w:val="32"/>
          <w:szCs w:val="32"/>
          <w:highlight w:val="none"/>
          <w:lang w:val="en-US" w:eastAsia="zh-CN"/>
        </w:rPr>
        <w:t>三、评估内容与标准</w:t>
      </w:r>
    </w:p>
    <w:p>
      <w:pPr>
        <w:widowControl w:val="0"/>
        <w:wordWrap/>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村</w:t>
      </w:r>
      <w:r>
        <w:rPr>
          <w:rFonts w:hint="default" w:ascii="Times New Roman" w:hAnsi="Times New Roman" w:eastAsia="仿宋_GB2312" w:cs="Times New Roman"/>
          <w:b w:val="0"/>
          <w:bCs w:val="0"/>
          <w:spacing w:val="0"/>
          <w:sz w:val="32"/>
          <w:szCs w:val="32"/>
          <w:highlight w:val="none"/>
          <w:lang w:val="en-US" w:eastAsia="zh-CN"/>
        </w:rPr>
        <w:t>（社区）</w:t>
      </w:r>
      <w:r>
        <w:rPr>
          <w:rFonts w:hint="eastAsia" w:ascii="仿宋_GB2312" w:hAnsi="仿宋_GB2312" w:eastAsia="仿宋_GB2312" w:cs="仿宋_GB2312"/>
          <w:b w:val="0"/>
          <w:bCs w:val="0"/>
          <w:spacing w:val="0"/>
          <w:sz w:val="32"/>
          <w:szCs w:val="32"/>
          <w:highlight w:val="none"/>
          <w:lang w:val="en-US" w:eastAsia="zh-CN"/>
        </w:rPr>
        <w:t>法律顾问绩效评估的主要内容为法律顾问具体履职行为，包括基础履职（95分）、受众评价（5分）、提质增效（10分）三个方面。其中基础履职和受众评价共计100分为基础分，提质增效10分为加分。</w:t>
      </w:r>
    </w:p>
    <w:p>
      <w:pPr>
        <w:widowControl w:val="0"/>
        <w:numPr>
          <w:ilvl w:val="0"/>
          <w:numId w:val="0"/>
        </w:numPr>
        <w:wordWrap/>
        <w:adjustRightInd/>
        <w:snapToGrid/>
        <w:spacing w:line="570" w:lineRule="exact"/>
        <w:ind w:firstLine="643" w:firstLineChars="200"/>
        <w:jc w:val="both"/>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bCs/>
          <w:spacing w:val="0"/>
          <w:sz w:val="32"/>
          <w:szCs w:val="32"/>
          <w:highlight w:val="none"/>
          <w:lang w:val="en-US" w:eastAsia="zh-CN"/>
        </w:rPr>
        <w:t>1.基础履职</w:t>
      </w:r>
      <w:r>
        <w:rPr>
          <w:rFonts w:hint="eastAsia" w:ascii="仿宋_GB2312" w:hAnsi="仿宋_GB2312" w:eastAsia="仿宋_GB2312" w:cs="仿宋_GB2312"/>
          <w:b w:val="0"/>
          <w:bCs w:val="0"/>
          <w:spacing w:val="0"/>
          <w:sz w:val="32"/>
          <w:szCs w:val="32"/>
          <w:highlight w:val="none"/>
          <w:lang w:val="en-US" w:eastAsia="zh-CN"/>
        </w:rPr>
        <w:t>指标按照季评估年考评的方式进行。法律顾问每季度履职情况由所在镇街通过走访督查、顾问律师日常报备等方式了解掌握并进行评估，对履职不到位的倾向性问题及时提醒当事律师，年终由镇街会同村（社区），通过查看或听取法律顾问个人年度履职报告，结合季度履职情况，参照基础履职清单（附件1），按照总分95分进行打分（附件2）。</w:t>
      </w:r>
    </w:p>
    <w:p>
      <w:pPr>
        <w:widowControl w:val="0"/>
        <w:numPr>
          <w:ilvl w:val="0"/>
          <w:numId w:val="0"/>
        </w:numPr>
        <w:wordWrap/>
        <w:adjustRightInd/>
        <w:snapToGrid/>
        <w:spacing w:line="570" w:lineRule="exact"/>
        <w:ind w:firstLine="643" w:firstLineChars="200"/>
        <w:jc w:val="both"/>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bCs/>
          <w:spacing w:val="0"/>
          <w:sz w:val="32"/>
          <w:szCs w:val="32"/>
          <w:highlight w:val="none"/>
          <w:lang w:val="en-US" w:eastAsia="zh-CN"/>
        </w:rPr>
        <w:t>2.受众评价</w:t>
      </w:r>
      <w:r>
        <w:rPr>
          <w:rFonts w:hint="eastAsia" w:ascii="仿宋_GB2312" w:hAnsi="仿宋_GB2312" w:eastAsia="仿宋_GB2312" w:cs="仿宋_GB2312"/>
          <w:b w:val="0"/>
          <w:bCs w:val="0"/>
          <w:spacing w:val="0"/>
          <w:sz w:val="32"/>
          <w:szCs w:val="32"/>
          <w:highlight w:val="none"/>
          <w:lang w:val="en-US" w:eastAsia="zh-CN"/>
        </w:rPr>
        <w:t>由镇街会同村（社区）</w:t>
      </w:r>
      <w:r>
        <w:rPr>
          <w:rFonts w:hint="eastAsia" w:ascii="仿宋_GB2312" w:hAnsi="仿宋_GB2312" w:eastAsia="仿宋_GB2312" w:cs="仿宋_GB2312"/>
          <w:b w:val="0"/>
          <w:bCs w:val="0"/>
          <w:color w:val="auto"/>
          <w:spacing w:val="0"/>
          <w:sz w:val="32"/>
          <w:szCs w:val="32"/>
          <w:highlight w:val="none"/>
          <w:lang w:val="en-US" w:eastAsia="zh-CN"/>
        </w:rPr>
        <w:t xml:space="preserve">从服务态度（25分）、响应速度（25分）、专业素质（25分）、服务效果（25分）四个方面进行评价打分。最终评价得分满分100分，分值在95分（包括，下同）以上得5分，90分以上得4.5分，以此类推。 </w:t>
      </w:r>
    </w:p>
    <w:p>
      <w:pPr>
        <w:widowControl w:val="0"/>
        <w:wordWrap/>
        <w:adjustRightInd/>
        <w:snapToGrid/>
        <w:spacing w:line="570" w:lineRule="exact"/>
        <w:ind w:firstLine="643" w:firstLineChars="200"/>
        <w:jc w:val="both"/>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bCs/>
          <w:spacing w:val="0"/>
          <w:sz w:val="32"/>
          <w:szCs w:val="32"/>
          <w:highlight w:val="none"/>
          <w:lang w:val="en-US" w:eastAsia="zh-CN"/>
        </w:rPr>
        <w:t>3.提质增效</w:t>
      </w:r>
      <w:r>
        <w:rPr>
          <w:rFonts w:hint="eastAsia" w:ascii="仿宋_GB2312" w:hAnsi="仿宋_GB2312" w:eastAsia="仿宋_GB2312" w:cs="仿宋_GB2312"/>
          <w:b w:val="0"/>
          <w:bCs w:val="0"/>
          <w:spacing w:val="0"/>
          <w:sz w:val="32"/>
          <w:szCs w:val="32"/>
          <w:highlight w:val="none"/>
          <w:lang w:val="en-US" w:eastAsia="zh-CN"/>
        </w:rPr>
        <w:t>由镇街通知法律顾问参照列举的加分条款（附件2）自行申报，并附相关佐证材料，由所在镇街统筹对加分情况进行确认，加分不超过10分。</w:t>
      </w:r>
    </w:p>
    <w:p>
      <w:pPr>
        <w:widowControl w:val="0"/>
        <w:numPr>
          <w:ilvl w:val="0"/>
          <w:numId w:val="0"/>
        </w:numPr>
        <w:wordWrap/>
        <w:adjustRightInd/>
        <w:snapToGrid/>
        <w:spacing w:line="570" w:lineRule="exact"/>
        <w:ind w:left="0" w:leftChars="0" w:right="0" w:firstLine="640" w:firstLineChars="200"/>
        <w:jc w:val="both"/>
        <w:textAlignment w:val="auto"/>
        <w:outlineLvl w:val="9"/>
        <w:rPr>
          <w:rFonts w:hint="default" w:ascii="Times New Roman" w:hAnsi="Times New Roman" w:eastAsia="国标黑体" w:cs="Times New Roman"/>
          <w:b w:val="0"/>
          <w:bCs w:val="0"/>
          <w:spacing w:val="0"/>
          <w:sz w:val="32"/>
          <w:szCs w:val="32"/>
          <w:highlight w:val="none"/>
          <w:lang w:val="en-US" w:eastAsia="zh-CN"/>
        </w:rPr>
      </w:pPr>
      <w:r>
        <w:rPr>
          <w:rFonts w:hint="default" w:ascii="Times New Roman" w:hAnsi="Times New Roman" w:eastAsia="国标黑体" w:cs="Times New Roman"/>
          <w:b w:val="0"/>
          <w:bCs w:val="0"/>
          <w:spacing w:val="0"/>
          <w:sz w:val="32"/>
          <w:szCs w:val="32"/>
          <w:highlight w:val="none"/>
          <w:lang w:val="en-US" w:eastAsia="zh-CN"/>
        </w:rPr>
        <w:t>四、结果运用</w:t>
      </w:r>
    </w:p>
    <w:p>
      <w:pPr>
        <w:widowControl w:val="0"/>
        <w:numPr>
          <w:ilvl w:val="0"/>
          <w:numId w:val="0"/>
        </w:numPr>
        <w:wordWrap/>
        <w:adjustRightInd/>
        <w:snapToGrid/>
        <w:spacing w:line="570" w:lineRule="exact"/>
        <w:ind w:right="0" w:firstLine="643" w:firstLineChars="200"/>
        <w:jc w:val="both"/>
        <w:textAlignment w:val="auto"/>
        <w:outlineLvl w:val="9"/>
        <w:rPr>
          <w:rFonts w:hint="default" w:ascii="Times New Roman" w:hAnsi="Times New Roman" w:eastAsia="仿宋_GB2312" w:cs="Times New Roman"/>
          <w:b w:val="0"/>
          <w:bCs w:val="0"/>
          <w:spacing w:val="0"/>
          <w:sz w:val="32"/>
          <w:szCs w:val="32"/>
          <w:highlight w:val="none"/>
          <w:lang w:val="en-US" w:eastAsia="zh-CN"/>
        </w:rPr>
      </w:pPr>
      <w:r>
        <w:rPr>
          <w:rFonts w:hint="default" w:ascii="Times New Roman" w:hAnsi="Times New Roman" w:eastAsia="仿宋_GB2312" w:cs="Times New Roman"/>
          <w:b/>
          <w:bCs/>
          <w:spacing w:val="0"/>
          <w:sz w:val="32"/>
          <w:szCs w:val="32"/>
          <w:highlight w:val="none"/>
          <w:lang w:val="en-US" w:eastAsia="zh-CN"/>
        </w:rPr>
        <w:t>1.补贴</w:t>
      </w:r>
      <w:r>
        <w:rPr>
          <w:rFonts w:hint="eastAsia" w:eastAsia="仿宋_GB2312" w:cs="Times New Roman"/>
          <w:b/>
          <w:bCs/>
          <w:spacing w:val="0"/>
          <w:sz w:val="32"/>
          <w:szCs w:val="32"/>
          <w:highlight w:val="none"/>
          <w:lang w:val="en-US" w:eastAsia="zh-CN"/>
        </w:rPr>
        <w:t>兑现</w:t>
      </w:r>
      <w:r>
        <w:rPr>
          <w:rFonts w:hint="default" w:ascii="Times New Roman" w:hAnsi="Times New Roman" w:eastAsia="仿宋_GB2312" w:cs="Times New Roman"/>
          <w:b/>
          <w:bCs/>
          <w:spacing w:val="0"/>
          <w:sz w:val="32"/>
          <w:szCs w:val="32"/>
          <w:highlight w:val="none"/>
          <w:lang w:val="en-US" w:eastAsia="zh-CN"/>
        </w:rPr>
        <w:t>。</w:t>
      </w:r>
      <w:r>
        <w:rPr>
          <w:rFonts w:hint="eastAsia" w:eastAsia="仿宋_GB2312" w:cs="Times New Roman"/>
          <w:b w:val="0"/>
          <w:bCs w:val="0"/>
          <w:spacing w:val="0"/>
          <w:sz w:val="32"/>
          <w:szCs w:val="32"/>
          <w:highlight w:val="none"/>
          <w:lang w:val="en-US" w:eastAsia="zh-CN"/>
        </w:rPr>
        <w:t>基础履职和受众评价共计100分作为基础分，对应年度补贴标准，如有扣分，按照比例扣减相应补贴。</w:t>
      </w:r>
    </w:p>
    <w:p>
      <w:pPr>
        <w:widowControl w:val="0"/>
        <w:numPr>
          <w:ilvl w:val="0"/>
          <w:numId w:val="0"/>
        </w:numPr>
        <w:wordWrap/>
        <w:adjustRightInd/>
        <w:snapToGrid/>
        <w:spacing w:line="570" w:lineRule="exact"/>
        <w:ind w:right="0" w:firstLine="643" w:firstLineChars="200"/>
        <w:jc w:val="both"/>
        <w:textAlignment w:val="auto"/>
        <w:outlineLvl w:val="9"/>
        <w:rPr>
          <w:rFonts w:hint="default" w:ascii="Times New Roman" w:hAnsi="Times New Roman" w:eastAsia="仿宋_GB2312" w:cs="Times New Roman"/>
          <w:b w:val="0"/>
          <w:bCs w:val="0"/>
          <w:spacing w:val="0"/>
          <w:sz w:val="32"/>
          <w:szCs w:val="32"/>
          <w:highlight w:val="none"/>
          <w:lang w:val="en-US" w:eastAsia="zh-CN"/>
        </w:rPr>
      </w:pPr>
      <w:r>
        <w:rPr>
          <w:rFonts w:hint="default" w:ascii="Times New Roman" w:hAnsi="Times New Roman" w:eastAsia="仿宋_GB2312" w:cs="Times New Roman"/>
          <w:b/>
          <w:bCs/>
          <w:spacing w:val="0"/>
          <w:sz w:val="32"/>
          <w:szCs w:val="32"/>
          <w:highlight w:val="none"/>
          <w:lang w:val="en-US" w:eastAsia="zh-CN"/>
        </w:rPr>
        <w:t>2.奖优罚劣。</w:t>
      </w:r>
      <w:r>
        <w:rPr>
          <w:rFonts w:hint="eastAsia" w:eastAsia="仿宋_GB2312" w:cs="Times New Roman"/>
          <w:b w:val="0"/>
          <w:bCs w:val="0"/>
          <w:spacing w:val="0"/>
          <w:sz w:val="32"/>
          <w:szCs w:val="32"/>
          <w:highlight w:val="none"/>
          <w:lang w:val="en-US" w:eastAsia="zh-CN"/>
        </w:rPr>
        <w:t>基础履职、受众评价、提质增效三项相加得出绩效评估总分</w:t>
      </w:r>
      <w:r>
        <w:rPr>
          <w:rFonts w:hint="eastAsia" w:ascii="仿宋_GB2312" w:hAnsi="仿宋_GB2312" w:eastAsia="仿宋_GB2312" w:cs="仿宋_GB2312"/>
          <w:b w:val="0"/>
          <w:bCs w:val="0"/>
          <w:spacing w:val="0"/>
          <w:sz w:val="32"/>
          <w:szCs w:val="32"/>
          <w:highlight w:val="none"/>
          <w:lang w:val="en-US" w:eastAsia="zh-CN"/>
        </w:rPr>
        <w:t>，由各镇街对本辖区法律顾问得分排序，按照1:8:1（优秀与基本称职向下取整）的比例提出优秀、良好和基本称职人员名单，报送附件3。</w:t>
      </w:r>
      <w:r>
        <w:rPr>
          <w:rFonts w:hint="eastAsia" w:eastAsia="仿宋_GB2312" w:cs="Times New Roman"/>
          <w:b w:val="0"/>
          <w:bCs w:val="0"/>
          <w:spacing w:val="0"/>
          <w:sz w:val="32"/>
          <w:szCs w:val="32"/>
          <w:highlight w:val="none"/>
          <w:lang w:val="en-US" w:eastAsia="zh-CN"/>
        </w:rPr>
        <w:t>评估</w:t>
      </w:r>
      <w:r>
        <w:rPr>
          <w:rFonts w:hint="default" w:ascii="Times New Roman" w:hAnsi="Times New Roman" w:eastAsia="仿宋_GB2312" w:cs="Times New Roman"/>
          <w:b w:val="0"/>
          <w:bCs w:val="0"/>
          <w:spacing w:val="0"/>
          <w:sz w:val="32"/>
          <w:szCs w:val="32"/>
          <w:highlight w:val="none"/>
          <w:lang w:val="en-US" w:eastAsia="zh-CN"/>
        </w:rPr>
        <w:t>为</w:t>
      </w:r>
      <w:r>
        <w:rPr>
          <w:rFonts w:hint="eastAsia" w:eastAsia="仿宋_GB2312" w:cs="Times New Roman"/>
          <w:b w:val="0"/>
          <w:bCs w:val="0"/>
          <w:spacing w:val="0"/>
          <w:sz w:val="32"/>
          <w:szCs w:val="32"/>
          <w:highlight w:val="none"/>
          <w:lang w:val="en-US" w:eastAsia="zh-CN"/>
        </w:rPr>
        <w:t>基本</w:t>
      </w:r>
      <w:r>
        <w:rPr>
          <w:rFonts w:hint="default" w:ascii="Times New Roman" w:hAnsi="Times New Roman" w:eastAsia="仿宋_GB2312" w:cs="Times New Roman"/>
          <w:b w:val="0"/>
          <w:bCs w:val="0"/>
          <w:spacing w:val="0"/>
          <w:sz w:val="32"/>
          <w:szCs w:val="32"/>
          <w:highlight w:val="none"/>
          <w:lang w:val="en-US" w:eastAsia="zh-CN"/>
        </w:rPr>
        <w:t>称职人员</w:t>
      </w:r>
      <w:r>
        <w:rPr>
          <w:rFonts w:hint="eastAsia" w:eastAsia="仿宋_GB2312" w:cs="Times New Roman"/>
          <w:b w:val="0"/>
          <w:bCs w:val="0"/>
          <w:spacing w:val="0"/>
          <w:sz w:val="32"/>
          <w:szCs w:val="32"/>
          <w:highlight w:val="none"/>
          <w:lang w:val="en-US" w:eastAsia="zh-CN"/>
        </w:rPr>
        <w:t>按照年度补贴标准再扣除</w:t>
      </w:r>
      <w:r>
        <w:rPr>
          <w:rFonts w:hint="default" w:ascii="Times New Roman" w:hAnsi="Times New Roman" w:eastAsia="仿宋_GB2312" w:cs="Times New Roman"/>
          <w:b w:val="0"/>
          <w:bCs w:val="0"/>
          <w:spacing w:val="0"/>
          <w:sz w:val="32"/>
          <w:szCs w:val="32"/>
          <w:highlight w:val="none"/>
          <w:lang w:val="en-US" w:eastAsia="zh-CN"/>
        </w:rPr>
        <w:t>10%，</w:t>
      </w:r>
      <w:r>
        <w:rPr>
          <w:rFonts w:hint="eastAsia" w:eastAsia="仿宋_GB2312" w:cs="Times New Roman"/>
          <w:b w:val="0"/>
          <w:bCs w:val="0"/>
          <w:spacing w:val="0"/>
          <w:sz w:val="32"/>
          <w:szCs w:val="32"/>
          <w:highlight w:val="none"/>
          <w:lang w:val="en-US" w:eastAsia="zh-CN"/>
        </w:rPr>
        <w:t>优秀人员上浮10%。</w:t>
      </w:r>
      <w:r>
        <w:rPr>
          <w:rFonts w:hint="default" w:ascii="Times New Roman" w:hAnsi="Times New Roman" w:eastAsia="仿宋_GB2312" w:cs="Times New Roman"/>
          <w:b w:val="0"/>
          <w:bCs w:val="0"/>
          <w:spacing w:val="0"/>
          <w:sz w:val="32"/>
          <w:szCs w:val="32"/>
          <w:highlight w:val="none"/>
          <w:lang w:val="en-US" w:eastAsia="zh-CN"/>
        </w:rPr>
        <w:t>年度期间，如有人员交替，按照具体月份结算。</w:t>
      </w:r>
    </w:p>
    <w:p>
      <w:pPr>
        <w:widowControl w:val="0"/>
        <w:wordWrap/>
        <w:adjustRightInd/>
        <w:snapToGrid/>
        <w:spacing w:line="570" w:lineRule="exact"/>
        <w:ind w:firstLine="643" w:firstLineChars="200"/>
        <w:jc w:val="both"/>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bCs/>
          <w:spacing w:val="0"/>
          <w:sz w:val="32"/>
          <w:szCs w:val="32"/>
          <w:highlight w:val="none"/>
          <w:lang w:val="en-US" w:eastAsia="zh-CN"/>
        </w:rPr>
        <w:t>3.一票否决。</w:t>
      </w:r>
      <w:r>
        <w:rPr>
          <w:rFonts w:hint="eastAsia" w:ascii="仿宋_GB2312" w:hAnsi="仿宋_GB2312" w:eastAsia="仿宋_GB2312" w:cs="仿宋_GB2312"/>
          <w:b w:val="0"/>
          <w:bCs w:val="0"/>
          <w:spacing w:val="0"/>
          <w:sz w:val="32"/>
          <w:szCs w:val="32"/>
          <w:highlight w:val="none"/>
          <w:lang w:val="en-US" w:eastAsia="zh-CN"/>
        </w:rPr>
        <w:t>如有以下几种情况的，直接评定为不称职，不予发放年度补贴，原则上五年内不得再担任村（社区）法律顾问。</w:t>
      </w:r>
      <w:r>
        <w:rPr>
          <w:rFonts w:hint="eastAsia" w:ascii="仿宋_GB2312" w:hAnsi="仿宋_GB2312" w:eastAsia="仿宋_GB2312" w:cs="仿宋_GB2312"/>
          <w:b w:val="0"/>
          <w:bCs w:val="0"/>
          <w:spacing w:val="0"/>
          <w:sz w:val="32"/>
          <w:szCs w:val="32"/>
          <w:highlight w:val="none"/>
          <w:lang w:val="en-US" w:eastAsia="zh-CN"/>
        </w:rPr>
        <w:fldChar w:fldCharType="begin"/>
      </w:r>
      <w:r>
        <w:rPr>
          <w:rFonts w:hint="eastAsia" w:ascii="仿宋_GB2312" w:hAnsi="仿宋_GB2312" w:eastAsia="仿宋_GB2312" w:cs="仿宋_GB2312"/>
          <w:b w:val="0"/>
          <w:bCs w:val="0"/>
          <w:spacing w:val="0"/>
          <w:sz w:val="32"/>
          <w:szCs w:val="32"/>
          <w:highlight w:val="none"/>
          <w:lang w:val="en-US" w:eastAsia="zh-CN"/>
        </w:rPr>
        <w:instrText xml:space="preserve"> = 1 \* GB3 \* MERGEFORMAT </w:instrText>
      </w:r>
      <w:r>
        <w:rPr>
          <w:rFonts w:hint="eastAsia" w:ascii="仿宋_GB2312" w:hAnsi="仿宋_GB2312" w:eastAsia="仿宋_GB2312" w:cs="仿宋_GB2312"/>
          <w:b w:val="0"/>
          <w:bCs w:val="0"/>
          <w:spacing w:val="0"/>
          <w:sz w:val="32"/>
          <w:szCs w:val="32"/>
          <w:highlight w:val="none"/>
          <w:lang w:val="en-US" w:eastAsia="zh-CN"/>
        </w:rPr>
        <w:fldChar w:fldCharType="separate"/>
      </w:r>
      <w:r>
        <w:rPr>
          <w:rFonts w:hint="eastAsia" w:ascii="仿宋_GB2312" w:hAnsi="仿宋_GB2312" w:eastAsia="仿宋_GB2312" w:cs="仿宋_GB2312"/>
          <w:b w:val="0"/>
          <w:bCs w:val="0"/>
          <w:spacing w:val="0"/>
          <w:sz w:val="32"/>
          <w:szCs w:val="32"/>
          <w:highlight w:val="none"/>
          <w:lang w:val="en-US" w:eastAsia="zh-CN"/>
        </w:rPr>
        <w:t>①</w:t>
      </w:r>
      <w:r>
        <w:rPr>
          <w:rFonts w:hint="eastAsia" w:ascii="仿宋_GB2312" w:hAnsi="仿宋_GB2312" w:eastAsia="仿宋_GB2312" w:cs="仿宋_GB2312"/>
          <w:b w:val="0"/>
          <w:bCs w:val="0"/>
          <w:spacing w:val="0"/>
          <w:sz w:val="32"/>
          <w:szCs w:val="32"/>
          <w:highlight w:val="none"/>
          <w:lang w:val="en-US" w:eastAsia="zh-CN"/>
        </w:rPr>
        <w:fldChar w:fldCharType="end"/>
      </w:r>
      <w:r>
        <w:rPr>
          <w:rFonts w:hint="eastAsia" w:ascii="仿宋_GB2312" w:hAnsi="仿宋_GB2312" w:eastAsia="仿宋_GB2312" w:cs="仿宋_GB2312"/>
          <w:b w:val="0"/>
          <w:bCs w:val="0"/>
          <w:spacing w:val="0"/>
          <w:sz w:val="32"/>
          <w:szCs w:val="32"/>
          <w:highlight w:val="none"/>
          <w:lang w:val="en-US" w:eastAsia="zh-CN"/>
        </w:rPr>
        <w:t>基础分在60分以下的；</w:t>
      </w:r>
      <w:r>
        <w:rPr>
          <w:rFonts w:hint="eastAsia" w:ascii="仿宋_GB2312" w:hAnsi="仿宋_GB2312" w:eastAsia="仿宋_GB2312" w:cs="仿宋_GB2312"/>
          <w:b w:val="0"/>
          <w:bCs w:val="0"/>
          <w:spacing w:val="0"/>
          <w:sz w:val="32"/>
          <w:szCs w:val="32"/>
          <w:highlight w:val="none"/>
          <w:lang w:val="en-US" w:eastAsia="zh-CN"/>
        </w:rPr>
        <w:fldChar w:fldCharType="begin"/>
      </w:r>
      <w:r>
        <w:rPr>
          <w:rFonts w:hint="eastAsia" w:ascii="仿宋_GB2312" w:hAnsi="仿宋_GB2312" w:eastAsia="仿宋_GB2312" w:cs="仿宋_GB2312"/>
          <w:b w:val="0"/>
          <w:bCs w:val="0"/>
          <w:spacing w:val="0"/>
          <w:sz w:val="32"/>
          <w:szCs w:val="32"/>
          <w:highlight w:val="none"/>
          <w:lang w:val="en-US" w:eastAsia="zh-CN"/>
        </w:rPr>
        <w:instrText xml:space="preserve"> = 2 \* GB3 \* MERGEFORMAT </w:instrText>
      </w:r>
      <w:r>
        <w:rPr>
          <w:rFonts w:hint="eastAsia" w:ascii="仿宋_GB2312" w:hAnsi="仿宋_GB2312" w:eastAsia="仿宋_GB2312" w:cs="仿宋_GB2312"/>
          <w:b w:val="0"/>
          <w:bCs w:val="0"/>
          <w:spacing w:val="0"/>
          <w:sz w:val="32"/>
          <w:szCs w:val="32"/>
          <w:highlight w:val="none"/>
          <w:lang w:val="en-US" w:eastAsia="zh-CN"/>
        </w:rPr>
        <w:fldChar w:fldCharType="separate"/>
      </w:r>
      <w:r>
        <w:rPr>
          <w:rFonts w:hint="eastAsia" w:ascii="仿宋_GB2312" w:hAnsi="仿宋_GB2312" w:eastAsia="仿宋_GB2312" w:cs="仿宋_GB2312"/>
          <w:b w:val="0"/>
          <w:bCs w:val="0"/>
          <w:spacing w:val="0"/>
          <w:sz w:val="32"/>
          <w:szCs w:val="32"/>
          <w:highlight w:val="none"/>
          <w:lang w:val="en-US" w:eastAsia="zh-CN"/>
        </w:rPr>
        <w:t>②</w:t>
      </w:r>
      <w:r>
        <w:rPr>
          <w:rFonts w:hint="eastAsia" w:ascii="仿宋_GB2312" w:hAnsi="仿宋_GB2312" w:eastAsia="仿宋_GB2312" w:cs="仿宋_GB2312"/>
          <w:b w:val="0"/>
          <w:bCs w:val="0"/>
          <w:spacing w:val="0"/>
          <w:sz w:val="32"/>
          <w:szCs w:val="32"/>
          <w:highlight w:val="none"/>
          <w:lang w:val="en-US" w:eastAsia="zh-CN"/>
        </w:rPr>
        <w:fldChar w:fldCharType="end"/>
      </w:r>
      <w:r>
        <w:rPr>
          <w:rFonts w:hint="eastAsia" w:ascii="仿宋_GB2312" w:hAnsi="仿宋_GB2312" w:eastAsia="仿宋_GB2312" w:cs="仿宋_GB2312"/>
          <w:b w:val="0"/>
          <w:bCs w:val="0"/>
          <w:spacing w:val="0"/>
          <w:sz w:val="32"/>
          <w:szCs w:val="32"/>
          <w:highlight w:val="none"/>
          <w:lang w:val="en-US" w:eastAsia="zh-CN"/>
        </w:rPr>
        <w:t>在此项工作中，被有效投诉两次以上，或有违法违规行为受到行业处分、行政处罚的；</w:t>
      </w:r>
      <w:r>
        <w:rPr>
          <w:rFonts w:hint="eastAsia" w:ascii="仿宋_GB2312" w:hAnsi="仿宋_GB2312" w:eastAsia="仿宋_GB2312" w:cs="仿宋_GB2312"/>
          <w:b w:val="0"/>
          <w:bCs w:val="0"/>
          <w:spacing w:val="0"/>
          <w:sz w:val="32"/>
          <w:szCs w:val="32"/>
          <w:highlight w:val="none"/>
          <w:lang w:val="en-US" w:eastAsia="zh-CN"/>
        </w:rPr>
        <w:fldChar w:fldCharType="begin"/>
      </w:r>
      <w:r>
        <w:rPr>
          <w:rFonts w:hint="eastAsia" w:ascii="仿宋_GB2312" w:hAnsi="仿宋_GB2312" w:eastAsia="仿宋_GB2312" w:cs="仿宋_GB2312"/>
          <w:b w:val="0"/>
          <w:bCs w:val="0"/>
          <w:spacing w:val="0"/>
          <w:sz w:val="32"/>
          <w:szCs w:val="32"/>
          <w:highlight w:val="none"/>
          <w:lang w:val="en-US" w:eastAsia="zh-CN"/>
        </w:rPr>
        <w:instrText xml:space="preserve"> = 3 \* GB3 \* MERGEFORMAT </w:instrText>
      </w:r>
      <w:r>
        <w:rPr>
          <w:rFonts w:hint="eastAsia" w:ascii="仿宋_GB2312" w:hAnsi="仿宋_GB2312" w:eastAsia="仿宋_GB2312" w:cs="仿宋_GB2312"/>
          <w:b w:val="0"/>
          <w:bCs w:val="0"/>
          <w:spacing w:val="0"/>
          <w:sz w:val="32"/>
          <w:szCs w:val="32"/>
          <w:highlight w:val="none"/>
          <w:lang w:val="en-US" w:eastAsia="zh-CN"/>
        </w:rPr>
        <w:fldChar w:fldCharType="separate"/>
      </w:r>
      <w:r>
        <w:rPr>
          <w:rFonts w:hint="eastAsia" w:ascii="仿宋_GB2312" w:hAnsi="仿宋_GB2312" w:eastAsia="仿宋_GB2312" w:cs="仿宋_GB2312"/>
          <w:b w:val="0"/>
          <w:bCs w:val="0"/>
          <w:spacing w:val="0"/>
          <w:sz w:val="32"/>
          <w:szCs w:val="32"/>
          <w:highlight w:val="none"/>
          <w:lang w:val="en-US" w:eastAsia="zh-CN"/>
        </w:rPr>
        <w:t>③</w:t>
      </w:r>
      <w:r>
        <w:rPr>
          <w:rFonts w:hint="eastAsia" w:ascii="仿宋_GB2312" w:hAnsi="仿宋_GB2312" w:eastAsia="仿宋_GB2312" w:cs="仿宋_GB2312"/>
          <w:b w:val="0"/>
          <w:bCs w:val="0"/>
          <w:spacing w:val="0"/>
          <w:sz w:val="32"/>
          <w:szCs w:val="32"/>
          <w:highlight w:val="none"/>
          <w:lang w:val="en-US" w:eastAsia="zh-CN"/>
        </w:rPr>
        <w:fldChar w:fldCharType="end"/>
      </w:r>
      <w:r>
        <w:rPr>
          <w:rFonts w:hint="eastAsia" w:ascii="仿宋_GB2312" w:hAnsi="仿宋_GB2312" w:eastAsia="仿宋_GB2312" w:cs="仿宋_GB2312"/>
          <w:b w:val="0"/>
          <w:bCs w:val="0"/>
          <w:spacing w:val="0"/>
          <w:sz w:val="32"/>
          <w:szCs w:val="32"/>
          <w:highlight w:val="none"/>
          <w:lang w:val="en-US" w:eastAsia="zh-CN"/>
        </w:rPr>
        <w:t>村（社区）发生涉法负面情况造成重大影响，法律顾问负有重要责任的。</w:t>
      </w:r>
    </w:p>
    <w:p>
      <w:pPr>
        <w:widowControl w:val="0"/>
        <w:numPr>
          <w:ilvl w:val="0"/>
          <w:numId w:val="0"/>
        </w:numPr>
        <w:wordWrap/>
        <w:adjustRightInd/>
        <w:snapToGrid/>
        <w:spacing w:beforeLines="0" w:afterLines="0" w:line="570" w:lineRule="exact"/>
        <w:ind w:right="0" w:firstLine="643" w:firstLineChars="200"/>
        <w:jc w:val="both"/>
        <w:textAlignment w:val="auto"/>
        <w:outlineLvl w:val="9"/>
        <w:rPr>
          <w:rFonts w:hint="default" w:ascii="Times New Roman" w:hAnsi="Times New Roman" w:eastAsia="仿宋_GB2312" w:cs="Times New Roman"/>
          <w:b w:val="0"/>
          <w:bCs w:val="0"/>
          <w:color w:val="auto"/>
          <w:spacing w:val="0"/>
          <w:sz w:val="32"/>
          <w:szCs w:val="32"/>
          <w:highlight w:val="none"/>
          <w:lang w:val="en-US" w:eastAsia="zh-CN"/>
        </w:rPr>
      </w:pPr>
      <w:r>
        <w:rPr>
          <w:rFonts w:hint="eastAsia" w:ascii="仿宋_GB2312" w:hAnsi="仿宋_GB2312" w:eastAsia="仿宋_GB2312" w:cs="仿宋_GB2312"/>
          <w:b/>
          <w:bCs/>
          <w:spacing w:val="0"/>
          <w:sz w:val="32"/>
          <w:szCs w:val="32"/>
          <w:highlight w:val="none"/>
          <w:lang w:val="en-US" w:eastAsia="zh-CN"/>
        </w:rPr>
        <w:t>4.</w:t>
      </w:r>
      <w:r>
        <w:rPr>
          <w:rFonts w:hint="eastAsia" w:eastAsia="仿宋_GB2312" w:cs="Times New Roman"/>
          <w:b/>
          <w:bCs/>
          <w:spacing w:val="0"/>
          <w:sz w:val="32"/>
          <w:szCs w:val="32"/>
          <w:highlight w:val="none"/>
          <w:lang w:val="en-US" w:eastAsia="zh-CN"/>
        </w:rPr>
        <w:t>关联运用。</w:t>
      </w:r>
      <w:r>
        <w:rPr>
          <w:rFonts w:hint="default" w:ascii="Times New Roman" w:hAnsi="Times New Roman" w:eastAsia="仿宋_GB2312" w:cs="Times New Roman"/>
          <w:b w:val="0"/>
          <w:bCs w:val="0"/>
          <w:color w:val="auto"/>
          <w:spacing w:val="0"/>
          <w:sz w:val="32"/>
          <w:szCs w:val="32"/>
          <w:highlight w:val="none"/>
          <w:lang w:val="en-US" w:eastAsia="zh-CN"/>
        </w:rPr>
        <w:t>绩效评估</w:t>
      </w:r>
      <w:r>
        <w:rPr>
          <w:rFonts w:hint="eastAsia" w:eastAsia="仿宋_GB2312" w:cs="Times New Roman"/>
          <w:b w:val="0"/>
          <w:bCs w:val="0"/>
          <w:color w:val="auto"/>
          <w:spacing w:val="0"/>
          <w:sz w:val="32"/>
          <w:szCs w:val="32"/>
          <w:highlight w:val="none"/>
          <w:lang w:val="en-US" w:eastAsia="zh-CN"/>
        </w:rPr>
        <w:t>成绩同时作为系统内其他推优的重要参考。</w:t>
      </w: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p>
    <w:p>
      <w:pPr>
        <w:widowControl w:val="0"/>
        <w:numPr>
          <w:ilvl w:val="0"/>
          <w:numId w:val="0"/>
        </w:numPr>
        <w:wordWrap/>
        <w:adjustRightInd/>
        <w:snapToGrid/>
        <w:spacing w:line="520" w:lineRule="exact"/>
        <w:ind w:right="0"/>
        <w:jc w:val="left"/>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p>
      <w:pPr>
        <w:widowControl w:val="0"/>
        <w:numPr>
          <w:ilvl w:val="0"/>
          <w:numId w:val="0"/>
        </w:numPr>
        <w:wordWrap/>
        <w:adjustRightInd/>
        <w:snapToGrid/>
        <w:spacing w:line="520" w:lineRule="exact"/>
        <w:ind w:right="0"/>
        <w:jc w:val="center"/>
        <w:textAlignment w:val="auto"/>
        <w:outlineLvl w:val="9"/>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村（社区）法律顾问基础履职清单</w:t>
      </w:r>
    </w:p>
    <w:p>
      <w:pPr>
        <w:widowControl w:val="0"/>
        <w:numPr>
          <w:ilvl w:val="0"/>
          <w:numId w:val="0"/>
        </w:numPr>
        <w:wordWrap/>
        <w:adjustRightInd/>
        <w:snapToGrid/>
        <w:spacing w:line="520" w:lineRule="exact"/>
        <w:ind w:right="0"/>
        <w:jc w:val="both"/>
        <w:textAlignment w:val="auto"/>
        <w:outlineLvl w:val="9"/>
        <w:rPr>
          <w:rFonts w:hint="eastAsia" w:ascii="黑体" w:hAnsi="黑体" w:eastAsia="黑体" w:cs="黑体"/>
          <w:spacing w:val="0"/>
          <w:sz w:val="44"/>
          <w:szCs w:val="44"/>
          <w:lang w:val="en-US" w:eastAsia="zh-CN"/>
        </w:rPr>
      </w:pPr>
    </w:p>
    <w:p>
      <w:pPr>
        <w:widowControl w:val="0"/>
        <w:numPr>
          <w:ilvl w:val="0"/>
          <w:numId w:val="0"/>
        </w:numPr>
        <w:wordWrap/>
        <w:adjustRightInd/>
        <w:snapToGrid/>
        <w:spacing w:line="520" w:lineRule="exact"/>
        <w:ind w:right="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44"/>
          <w:szCs w:val="44"/>
          <w:lang w:val="en-US" w:eastAsia="zh-CN"/>
        </w:rPr>
        <w:t xml:space="preserve">   </w:t>
      </w:r>
      <w:r>
        <w:rPr>
          <w:rFonts w:hint="eastAsia" w:ascii="仿宋_GB2312" w:hAnsi="仿宋_GB2312" w:eastAsia="仿宋_GB2312" w:cs="仿宋_GB2312"/>
          <w:spacing w:val="0"/>
          <w:sz w:val="32"/>
          <w:szCs w:val="32"/>
          <w:lang w:val="en-US" w:eastAsia="zh-CN"/>
        </w:rPr>
        <w:t>1.根据所在镇街总体安排，原则上每周在基层值班半天，或通过电话等提供非现场法律服务，每月统筹不少于2天；</w:t>
      </w:r>
    </w:p>
    <w:p>
      <w:pPr>
        <w:widowControl w:val="0"/>
        <w:numPr>
          <w:ilvl w:val="0"/>
          <w:numId w:val="0"/>
        </w:numPr>
        <w:wordWrap/>
        <w:adjustRightInd/>
        <w:snapToGrid/>
        <w:spacing w:line="520" w:lineRule="exact"/>
        <w:ind w:right="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2.协助村（社区)建设优质“15分钟公共法律服务圈”；</w:t>
      </w:r>
    </w:p>
    <w:p>
      <w:pPr>
        <w:widowControl w:val="0"/>
        <w:numPr>
          <w:ilvl w:val="0"/>
          <w:numId w:val="0"/>
        </w:numPr>
        <w:wordWrap/>
        <w:adjustRightInd/>
        <w:snapToGrid/>
        <w:spacing w:line="520" w:lineRule="exact"/>
        <w:ind w:right="0" w:firstLine="640" w:firstLineChars="200"/>
        <w:jc w:val="left"/>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3.通过坐班或走访为村（居）民和中小微企业提供法律咨询、法治体检，增强其法律意识并提高其风险防御能力，年度村（居）民不少于30户（次），中小微企业不少于15家（次）；</w:t>
      </w:r>
    </w:p>
    <w:p>
      <w:pPr>
        <w:widowControl w:val="0"/>
        <w:numPr>
          <w:ilvl w:val="0"/>
          <w:numId w:val="0"/>
        </w:numPr>
        <w:wordWrap/>
        <w:adjustRightInd/>
        <w:snapToGrid/>
        <w:spacing w:line="520" w:lineRule="exact"/>
        <w:ind w:right="0" w:firstLine="640" w:firstLineChars="200"/>
        <w:jc w:val="left"/>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4.根据实际需求，每季度至少参加1次法治宣传活动；</w:t>
      </w:r>
    </w:p>
    <w:p>
      <w:pPr>
        <w:widowControl w:val="0"/>
        <w:numPr>
          <w:ilvl w:val="0"/>
          <w:numId w:val="0"/>
        </w:numPr>
        <w:wordWrap/>
        <w:adjustRightInd/>
        <w:snapToGrid/>
        <w:spacing w:line="520" w:lineRule="exact"/>
        <w:ind w:right="0" w:firstLine="640" w:firstLineChars="200"/>
        <w:jc w:val="left"/>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5.协助起草或审核村社的（村）居民公约、规章制度、法律文书；</w:t>
      </w:r>
    </w:p>
    <w:p>
      <w:pPr>
        <w:widowControl w:val="0"/>
        <w:numPr>
          <w:ilvl w:val="0"/>
          <w:numId w:val="0"/>
        </w:numPr>
        <w:wordWrap/>
        <w:adjustRightInd/>
        <w:snapToGrid/>
        <w:spacing w:line="520" w:lineRule="exact"/>
        <w:ind w:right="0" w:firstLine="640" w:firstLineChars="200"/>
        <w:jc w:val="left"/>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6.协助村社就重大事项进行法律论证，就村社的重大决策出具法律意见书；</w:t>
      </w:r>
    </w:p>
    <w:p>
      <w:pPr>
        <w:widowControl w:val="0"/>
        <w:numPr>
          <w:ilvl w:val="0"/>
          <w:numId w:val="0"/>
        </w:numPr>
        <w:wordWrap/>
        <w:adjustRightInd/>
        <w:snapToGrid/>
        <w:spacing w:line="520" w:lineRule="exact"/>
        <w:ind w:right="0" w:firstLine="640" w:firstLineChars="200"/>
        <w:jc w:val="left"/>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7.帮助需要的村（居）民获得必要的法律援助相关信息或代办法律援助申请；</w:t>
      </w:r>
    </w:p>
    <w:p>
      <w:pPr>
        <w:widowControl w:val="0"/>
        <w:numPr>
          <w:ilvl w:val="0"/>
          <w:numId w:val="0"/>
        </w:numPr>
        <w:wordWrap/>
        <w:adjustRightInd/>
        <w:snapToGrid/>
        <w:spacing w:line="520" w:lineRule="exact"/>
        <w:ind w:right="0" w:firstLine="640" w:firstLineChars="200"/>
        <w:jc w:val="left"/>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8.协助开展矛盾纠纷排查化解工作，每月了解、排查或参与调解工作不少于1次；每年对所在村社人民调解员开展法律培训不少于1次；</w:t>
      </w:r>
    </w:p>
    <w:p>
      <w:pPr>
        <w:widowControl w:val="0"/>
        <w:numPr>
          <w:ilvl w:val="0"/>
          <w:numId w:val="0"/>
        </w:numPr>
        <w:wordWrap/>
        <w:adjustRightInd/>
        <w:snapToGrid/>
        <w:spacing w:line="520" w:lineRule="exact"/>
        <w:ind w:right="0" w:firstLine="640" w:firstLineChars="200"/>
        <w:jc w:val="left"/>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9.协助处理村社突发性、群体性等重大事项；</w:t>
      </w:r>
    </w:p>
    <w:p>
      <w:pPr>
        <w:widowControl w:val="0"/>
        <w:numPr>
          <w:ilvl w:val="0"/>
          <w:numId w:val="0"/>
        </w:numPr>
        <w:wordWrap/>
        <w:adjustRightInd/>
        <w:snapToGrid/>
        <w:spacing w:line="520" w:lineRule="exact"/>
        <w:ind w:right="0"/>
        <w:jc w:val="left"/>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10.落实工作日志制度，做好典型案例和工作案例信息报送；</w:t>
      </w:r>
    </w:p>
    <w:p>
      <w:pPr>
        <w:widowControl w:val="0"/>
        <w:numPr>
          <w:ilvl w:val="0"/>
          <w:numId w:val="0"/>
        </w:numPr>
        <w:wordWrap/>
        <w:adjustRightInd/>
        <w:snapToGrid/>
        <w:spacing w:line="520" w:lineRule="exact"/>
        <w:ind w:right="0"/>
        <w:jc w:val="left"/>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11.积极参加村社法律顾问会议，尽职处理其他涉法事务。</w:t>
      </w:r>
    </w:p>
    <w:p>
      <w:pPr>
        <w:widowControl w:val="0"/>
        <w:wordWrap/>
        <w:adjustRightInd/>
        <w:snapToGrid/>
        <w:spacing w:line="240" w:lineRule="auto"/>
        <w:textAlignment w:val="auto"/>
        <w:rPr>
          <w:rFonts w:hint="default" w:ascii="Times New Roman" w:hAnsi="Times New Roman" w:eastAsia="国标黑体" w:cs="Times New Roman"/>
          <w:sz w:val="32"/>
          <w:szCs w:val="32"/>
          <w:lang w:eastAsia="zh-CN"/>
        </w:rPr>
      </w:pPr>
    </w:p>
    <w:p>
      <w:pPr>
        <w:widowControl w:val="0"/>
        <w:wordWrap/>
        <w:adjustRightInd/>
        <w:snapToGrid/>
        <w:spacing w:line="240" w:lineRule="auto"/>
        <w:jc w:val="both"/>
        <w:textAlignment w:val="auto"/>
        <w:rPr>
          <w:rFonts w:hint="eastAsia" w:ascii="黑体" w:hAnsi="黑体" w:eastAsia="黑体" w:cs="黑体"/>
          <w:sz w:val="32"/>
          <w:szCs w:val="32"/>
          <w:lang w:eastAsia="zh-CN"/>
        </w:rPr>
        <w:sectPr>
          <w:footerReference r:id="rId3" w:type="default"/>
          <w:pgSz w:w="12240" w:h="15840"/>
          <w:pgMar w:top="1440" w:right="1803" w:bottom="1440" w:left="1803" w:header="720" w:footer="720" w:gutter="0"/>
          <w:cols w:space="720" w:num="1"/>
          <w:rtlGutter w:val="0"/>
          <w:docGrid w:linePitch="1" w:charSpace="0"/>
        </w:sectPr>
      </w:pPr>
    </w:p>
    <w:p>
      <w:pPr>
        <w:widowControl w:val="0"/>
        <w:wordWrap/>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widowControl w:val="0"/>
        <w:numPr>
          <w:ilvl w:val="0"/>
          <w:numId w:val="0"/>
        </w:numPr>
        <w:wordWrap/>
        <w:adjustRightInd/>
        <w:snapToGrid/>
        <w:spacing w:line="580" w:lineRule="exact"/>
        <w:ind w:right="0"/>
        <w:jc w:val="center"/>
        <w:textAlignment w:val="auto"/>
        <w:outlineLvl w:val="9"/>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村（社区）法律顾问年度考核表</w:t>
      </w:r>
    </w:p>
    <w:p>
      <w:pPr>
        <w:widowControl w:val="0"/>
        <w:numPr>
          <w:ilvl w:val="0"/>
          <w:numId w:val="0"/>
        </w:numPr>
        <w:wordWrap/>
        <w:adjustRightInd/>
        <w:snapToGrid/>
        <w:spacing w:line="580" w:lineRule="exact"/>
        <w:ind w:right="0"/>
        <w:jc w:val="center"/>
        <w:textAlignment w:val="auto"/>
        <w:outlineLvl w:val="9"/>
        <w:rPr>
          <w:rFonts w:hint="eastAsia" w:ascii="方正小标宋_GBK" w:hAnsi="方正小标宋_GBK" w:eastAsia="方正小标宋_GBK" w:cs="方正小标宋_GBK"/>
          <w:spacing w:val="0"/>
          <w:sz w:val="44"/>
          <w:szCs w:val="44"/>
          <w:lang w:val="en-US" w:eastAsia="zh-CN"/>
        </w:rPr>
      </w:pPr>
    </w:p>
    <w:p>
      <w:pPr>
        <w:widowControl w:val="0"/>
        <w:wordWrap/>
        <w:adjustRightInd/>
        <w:snapToGrid/>
        <w:spacing w:line="530" w:lineRule="exact"/>
        <w:ind w:left="0" w:leftChars="0" w:right="0"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u w:val="none" w:color="auto"/>
          <w:lang w:val="en-US" w:eastAsia="zh-CN"/>
        </w:rPr>
        <w:t>村（社区）</w:t>
      </w:r>
      <w:r>
        <w:rPr>
          <w:rFonts w:hint="eastAsia" w:ascii="仿宋" w:hAnsi="仿宋" w:eastAsia="仿宋" w:cs="仿宋"/>
          <w:sz w:val="32"/>
          <w:szCs w:val="32"/>
          <w:u w:val="single" w:color="auto"/>
          <w:lang w:val="en-US" w:eastAsia="zh-CN"/>
        </w:rPr>
        <w:t xml:space="preserve">           </w:t>
      </w:r>
      <w:r>
        <w:rPr>
          <w:rFonts w:hint="eastAsia" w:ascii="仿宋" w:hAnsi="仿宋" w:eastAsia="仿宋" w:cs="仿宋"/>
          <w:sz w:val="32"/>
          <w:szCs w:val="32"/>
          <w:lang w:val="en-US" w:eastAsia="zh-CN"/>
        </w:rPr>
        <w:t xml:space="preserve">          法律顾问</w:t>
      </w:r>
      <w:r>
        <w:rPr>
          <w:rFonts w:hint="eastAsia" w:ascii="仿宋" w:hAnsi="仿宋" w:eastAsia="仿宋" w:cs="仿宋"/>
          <w:sz w:val="32"/>
          <w:szCs w:val="32"/>
          <w:u w:val="single" w:color="auto"/>
          <w:lang w:val="en-US" w:eastAsia="zh-CN"/>
        </w:rPr>
        <w:t xml:space="preserve">          </w:t>
      </w:r>
      <w:r>
        <w:rPr>
          <w:rFonts w:hint="eastAsia" w:ascii="仿宋" w:hAnsi="仿宋" w:eastAsia="仿宋" w:cs="仿宋"/>
          <w:sz w:val="32"/>
          <w:szCs w:val="32"/>
          <w:lang w:val="en-US" w:eastAsia="zh-CN"/>
        </w:rPr>
        <w:t xml:space="preserve">       得分</w:t>
      </w:r>
      <w:r>
        <w:rPr>
          <w:rFonts w:hint="eastAsia" w:ascii="仿宋" w:hAnsi="仿宋" w:eastAsia="仿宋" w:cs="仿宋"/>
          <w:sz w:val="32"/>
          <w:szCs w:val="32"/>
          <w:u w:val="single" w:color="auto"/>
          <w:lang w:val="en-US" w:eastAsia="zh-CN"/>
        </w:rPr>
        <w:t xml:space="preserve">                  </w:t>
      </w:r>
    </w:p>
    <w:tbl>
      <w:tblPr>
        <w:tblStyle w:val="8"/>
        <w:tblW w:w="12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288"/>
        <w:gridCol w:w="3207"/>
        <w:gridCol w:w="498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6" w:type="dxa"/>
            <w:gridSpan w:val="5"/>
            <w:vAlign w:val="center"/>
          </w:tcPr>
          <w:p>
            <w:pPr>
              <w:numPr>
                <w:ilvl w:val="0"/>
                <w:numId w:val="0"/>
              </w:numPr>
              <w:tabs>
                <w:tab w:val="left" w:pos="2982"/>
              </w:tabs>
              <w:spacing w:beforeLines="0" w:afterLines="0" w:line="480" w:lineRule="exact"/>
              <w:jc w:val="center"/>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基础履职（95分</w:t>
            </w:r>
            <w:r>
              <w:rPr>
                <w:rFonts w:hint="eastAsia" w:eastAsia="仿宋_GB2312" w:cs="Times New Roman"/>
                <w:b/>
                <w:bCs/>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numPr>
                <w:ilvl w:val="0"/>
                <w:numId w:val="0"/>
              </w:numPr>
              <w:spacing w:beforeLines="0" w:afterLines="0" w:line="480" w:lineRule="exact"/>
              <w:jc w:val="center"/>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序号</w:t>
            </w:r>
          </w:p>
        </w:tc>
        <w:tc>
          <w:tcPr>
            <w:tcW w:w="2288" w:type="dxa"/>
            <w:vAlign w:val="center"/>
          </w:tcPr>
          <w:p>
            <w:pPr>
              <w:numPr>
                <w:ilvl w:val="0"/>
                <w:numId w:val="0"/>
              </w:numPr>
              <w:spacing w:beforeLines="0" w:afterLines="0" w:line="480" w:lineRule="exact"/>
              <w:jc w:val="center"/>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考核内容</w:t>
            </w:r>
          </w:p>
        </w:tc>
        <w:tc>
          <w:tcPr>
            <w:tcW w:w="8189" w:type="dxa"/>
            <w:gridSpan w:val="2"/>
            <w:vAlign w:val="center"/>
          </w:tcPr>
          <w:p>
            <w:pPr>
              <w:numPr>
                <w:ilvl w:val="0"/>
                <w:numId w:val="0"/>
              </w:numPr>
              <w:spacing w:beforeLines="0" w:afterLines="0" w:line="480" w:lineRule="exact"/>
              <w:jc w:val="center"/>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评分标准</w:t>
            </w:r>
          </w:p>
        </w:tc>
        <w:tc>
          <w:tcPr>
            <w:tcW w:w="1320" w:type="dxa"/>
            <w:vAlign w:val="center"/>
          </w:tcPr>
          <w:p>
            <w:pPr>
              <w:numPr>
                <w:ilvl w:val="0"/>
                <w:numId w:val="0"/>
              </w:numPr>
              <w:spacing w:beforeLines="0" w:afterLines="0" w:line="480" w:lineRule="exact"/>
              <w:jc w:val="center"/>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sz w:val="24"/>
                <w:szCs w:val="24"/>
                <w:highlight w:val="none"/>
              </w:rPr>
              <w:t>提供坐班或走访法律服务</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根据所在镇街总体安排，原则上每周在基层值班半天，并通过电话等提供非现场法律服务，每月统筹不少于2天，少一天扣0.5分。</w:t>
            </w:r>
          </w:p>
        </w:tc>
        <w:tc>
          <w:tcPr>
            <w:tcW w:w="1320" w:type="dxa"/>
            <w:vAlign w:val="center"/>
          </w:tcPr>
          <w:p>
            <w:pPr>
              <w:numPr>
                <w:ilvl w:val="0"/>
                <w:numId w:val="0"/>
              </w:numPr>
              <w:spacing w:beforeLines="0" w:afterLines="0" w:line="4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dxa"/>
            <w:vAlign w:val="center"/>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sz w:val="24"/>
                <w:szCs w:val="24"/>
                <w:highlight w:val="none"/>
                <w:lang w:eastAsia="zh-CN"/>
              </w:rPr>
              <w:t>协助村（社区）建设优质“</w:t>
            </w:r>
            <w:r>
              <w:rPr>
                <w:rFonts w:hint="eastAsia" w:ascii="仿宋_GB2312" w:hAnsi="仿宋_GB2312" w:eastAsia="仿宋_GB2312" w:cs="仿宋_GB2312"/>
                <w:i w:val="0"/>
                <w:iCs w:val="0"/>
                <w:sz w:val="24"/>
                <w:szCs w:val="24"/>
                <w:highlight w:val="none"/>
                <w:lang w:val="en-US" w:eastAsia="zh-CN"/>
              </w:rPr>
              <w:t>15分钟公共法律服务圈</w:t>
            </w:r>
            <w:r>
              <w:rPr>
                <w:rFonts w:hint="eastAsia" w:ascii="仿宋_GB2312" w:hAnsi="仿宋_GB2312" w:eastAsia="仿宋_GB2312" w:cs="仿宋_GB2312"/>
                <w:i w:val="0"/>
                <w:iCs w:val="0"/>
                <w:sz w:val="24"/>
                <w:szCs w:val="24"/>
                <w:highlight w:val="none"/>
                <w:lang w:eastAsia="zh-CN"/>
              </w:rPr>
              <w:t>”</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根据</w:t>
            </w:r>
            <w:r>
              <w:rPr>
                <w:rFonts w:hint="eastAsia"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CN"/>
              </w:rPr>
              <w:t>15分钟公共法律服务圈</w:t>
            </w:r>
            <w:r>
              <w:rPr>
                <w:rFonts w:hint="eastAsia" w:ascii="仿宋_GB2312" w:hAnsi="仿宋_GB2312" w:eastAsia="仿宋_GB2312" w:cs="仿宋_GB2312"/>
                <w:i w:val="0"/>
                <w:iCs w:val="0"/>
                <w:sz w:val="24"/>
                <w:szCs w:val="24"/>
                <w:highlight w:val="none"/>
                <w:lang w:eastAsia="zh-CN"/>
              </w:rPr>
              <w:t>”推进过程中配合情况，由镇街司法所视情在</w:t>
            </w:r>
            <w:r>
              <w:rPr>
                <w:rFonts w:hint="eastAsia" w:ascii="仿宋_GB2312" w:hAnsi="仿宋_GB2312" w:eastAsia="仿宋_GB2312" w:cs="仿宋_GB2312"/>
                <w:i w:val="0"/>
                <w:iCs w:val="0"/>
                <w:sz w:val="24"/>
                <w:szCs w:val="24"/>
                <w:highlight w:val="none"/>
                <w:lang w:val="en-US" w:eastAsia="zh-CN"/>
              </w:rPr>
              <w:t>5分内扣分。</w:t>
            </w:r>
          </w:p>
        </w:tc>
        <w:tc>
          <w:tcPr>
            <w:tcW w:w="1320" w:type="dxa"/>
            <w:vAlign w:val="center"/>
          </w:tcPr>
          <w:p>
            <w:pPr>
              <w:numPr>
                <w:ilvl w:val="0"/>
                <w:numId w:val="0"/>
              </w:numPr>
              <w:spacing w:beforeLines="0" w:afterLines="0" w:line="4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为村（居）民提供法律咨询</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每年通过坐班或走访为村（居）民提供法律咨询不少于30户（次）。少一户（次），扣0.2分。</w:t>
            </w:r>
          </w:p>
        </w:tc>
        <w:tc>
          <w:tcPr>
            <w:tcW w:w="1320" w:type="dxa"/>
            <w:vAlign w:val="center"/>
          </w:tcPr>
          <w:p>
            <w:pPr>
              <w:numPr>
                <w:ilvl w:val="0"/>
                <w:numId w:val="0"/>
              </w:numPr>
              <w:spacing w:beforeLines="0" w:afterLines="0" w:line="4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4</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为中小微企业或个体工商户提供法律咨询、法治体检等法律服务</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每年通过坐班或走访为中小微企业或个体工商户提供法律咨询、法治体检等法律服务不少于15家（次），少一家（次）扣0.5分。</w:t>
            </w:r>
          </w:p>
        </w:tc>
        <w:tc>
          <w:tcPr>
            <w:tcW w:w="1320" w:type="dxa"/>
            <w:vAlign w:val="center"/>
          </w:tcPr>
          <w:p>
            <w:pPr>
              <w:numPr>
                <w:ilvl w:val="0"/>
                <w:numId w:val="0"/>
              </w:numPr>
              <w:spacing w:beforeLines="0" w:afterLines="0" w:line="4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5</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参加法治宣传活动</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每季度至少参加1次法治宣传活动，全年平均少一次，扣2分。</w:t>
            </w:r>
          </w:p>
        </w:tc>
        <w:tc>
          <w:tcPr>
            <w:tcW w:w="1320" w:type="dxa"/>
            <w:vAlign w:val="center"/>
          </w:tcPr>
          <w:p>
            <w:pPr>
              <w:numPr>
                <w:ilvl w:val="0"/>
                <w:numId w:val="0"/>
              </w:numPr>
              <w:spacing w:beforeLines="0" w:afterLines="0" w:line="4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dxa"/>
            <w:vAlign w:val="center"/>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6</w:t>
            </w:r>
          </w:p>
        </w:tc>
        <w:tc>
          <w:tcPr>
            <w:tcW w:w="2288" w:type="dxa"/>
            <w:vAlign w:val="center"/>
          </w:tcPr>
          <w:p>
            <w:pPr>
              <w:widowControl w:val="0"/>
              <w:numPr>
                <w:ilvl w:val="0"/>
                <w:numId w:val="0"/>
              </w:numPr>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协助起草或审核村（社区）的村居民公约、规章制度、法律文书</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村（社区）如有需要，未配合起草或审核相关法律文书的，发生一次，扣2分。在10分内扣完为止。</w:t>
            </w:r>
          </w:p>
        </w:tc>
        <w:tc>
          <w:tcPr>
            <w:tcW w:w="1320" w:type="dxa"/>
            <w:vAlign w:val="center"/>
          </w:tcPr>
          <w:p>
            <w:pPr>
              <w:numPr>
                <w:ilvl w:val="0"/>
                <w:numId w:val="0"/>
              </w:numPr>
              <w:spacing w:beforeLines="0" w:afterLines="0" w:line="4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7</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协助村社就重大事项进行法律论证，就村社的重大决策出具法律意见书</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村（社区）如有需要，未协助重大事项法律论证或出具法律意见书的，发生一次，扣2分，在10分内扣完为止。</w:t>
            </w:r>
          </w:p>
        </w:tc>
        <w:tc>
          <w:tcPr>
            <w:tcW w:w="1320" w:type="dxa"/>
            <w:vAlign w:val="center"/>
          </w:tcPr>
          <w:p>
            <w:pPr>
              <w:numPr>
                <w:ilvl w:val="0"/>
                <w:numId w:val="0"/>
              </w:numPr>
              <w:spacing w:beforeLines="0" w:afterLines="0" w:line="4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帮助需要的村（居）民获得必要的法律援助相关信息或代办法律援助申请</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遇有需要法律援助咨询或代办者，服务不到位的，发生一次，扣2分。在10分内扣完为止</w:t>
            </w:r>
          </w:p>
        </w:tc>
        <w:tc>
          <w:tcPr>
            <w:tcW w:w="1320" w:type="dxa"/>
            <w:vAlign w:val="center"/>
          </w:tcPr>
          <w:p>
            <w:pPr>
              <w:numPr>
                <w:ilvl w:val="0"/>
                <w:numId w:val="0"/>
              </w:numPr>
              <w:spacing w:beforeLines="0" w:afterLines="0" w:line="480" w:lineRule="exact"/>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9</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协助开展矛盾纠纷排查化解工作</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每月了解、排查或参与调解工作不少于1次，少于1次，扣2分。在具体的矛盾纠纷事项排查化解中发挥重要作用，每次加1分，最高加5分。</w:t>
            </w:r>
          </w:p>
        </w:tc>
        <w:tc>
          <w:tcPr>
            <w:tcW w:w="1320" w:type="dxa"/>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dxa"/>
            <w:vAlign w:val="top"/>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对所在村（社区）人民调解员开展法律培训</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每年对所在村（社区）人民调解员开展法律培训不少于1次，少于1次扣5分。</w:t>
            </w:r>
          </w:p>
        </w:tc>
        <w:tc>
          <w:tcPr>
            <w:tcW w:w="1320" w:type="dxa"/>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11</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协助处理村社突发性、群体性等重大事项</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村（社区）如有需要，未协助处理突发性、群体性等重大事项的，发生一次，扣5分。</w:t>
            </w:r>
          </w:p>
        </w:tc>
        <w:tc>
          <w:tcPr>
            <w:tcW w:w="1320" w:type="dxa"/>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12</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落实工作日志制度，加强案例报送</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每年报送典型案例和工作案例各1件，少报送1件，扣2分。</w:t>
            </w:r>
          </w:p>
        </w:tc>
        <w:tc>
          <w:tcPr>
            <w:tcW w:w="1320" w:type="dxa"/>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5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13</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积极参加村社法律顾问会议，尽职处理其他涉法事务。</w:t>
            </w:r>
          </w:p>
        </w:tc>
        <w:tc>
          <w:tcPr>
            <w:tcW w:w="8189" w:type="dxa"/>
            <w:gridSpan w:val="2"/>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需要法律顾问参加的会议，无故少参加一次，扣0.5分。在2.5分内扣完为止。</w:t>
            </w:r>
          </w:p>
        </w:tc>
        <w:tc>
          <w:tcPr>
            <w:tcW w:w="1320" w:type="dxa"/>
            <w:vAlign w:val="top"/>
          </w:tcPr>
          <w:p>
            <w:pPr>
              <w:numPr>
                <w:ilvl w:val="0"/>
                <w:numId w:val="0"/>
              </w:numPr>
              <w:spacing w:beforeLines="0" w:afterLines="0" w:line="480" w:lineRule="exact"/>
              <w:jc w:val="left"/>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07" w:type="dxa"/>
            <w:gridSpan w:val="2"/>
            <w:vAlign w:val="center"/>
          </w:tcPr>
          <w:p>
            <w:pPr>
              <w:numPr>
                <w:ilvl w:val="0"/>
                <w:numId w:val="0"/>
              </w:numPr>
              <w:spacing w:beforeLines="0" w:afterLines="0" w:line="4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基础履职得分</w:t>
            </w:r>
          </w:p>
        </w:tc>
        <w:tc>
          <w:tcPr>
            <w:tcW w:w="9509" w:type="dxa"/>
            <w:gridSpan w:val="3"/>
            <w:vAlign w:val="center"/>
          </w:tcPr>
          <w:p>
            <w:pPr>
              <w:numPr>
                <w:ilvl w:val="0"/>
                <w:numId w:val="0"/>
              </w:numPr>
              <w:spacing w:beforeLines="0" w:afterLines="0" w:line="480" w:lineRule="exact"/>
              <w:jc w:val="both"/>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6" w:type="dxa"/>
            <w:gridSpan w:val="5"/>
            <w:vAlign w:val="center"/>
          </w:tcPr>
          <w:p>
            <w:pPr>
              <w:numPr>
                <w:ilvl w:val="0"/>
                <w:numId w:val="0"/>
              </w:numPr>
              <w:spacing w:beforeLines="0" w:afterLines="0" w:line="48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受众评价5分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numPr>
                <w:ilvl w:val="0"/>
                <w:numId w:val="0"/>
              </w:numPr>
              <w:spacing w:beforeLines="0" w:afterLines="0" w:line="480" w:lineRule="exact"/>
              <w:ind w:left="0" w:leftChars="0" w:firstLine="0" w:firstLineChars="0"/>
              <w:jc w:val="center"/>
              <w:rPr>
                <w:rFonts w:hint="eastAsia" w:ascii="黑体" w:hAnsi="黑体" w:eastAsia="黑体" w:cs="黑体"/>
                <w:b w:val="0"/>
                <w:bCs w:val="0"/>
                <w:kern w:val="2"/>
                <w:sz w:val="24"/>
                <w:highlight w:val="none"/>
                <w:lang w:val="en-US" w:eastAsia="zh-CN" w:bidi="ar-SA"/>
              </w:rPr>
            </w:pPr>
            <w:r>
              <w:rPr>
                <w:rFonts w:hint="eastAsia" w:ascii="黑体" w:hAnsi="黑体" w:eastAsia="黑体" w:cs="黑体"/>
                <w:b w:val="0"/>
                <w:bCs w:val="0"/>
                <w:sz w:val="28"/>
                <w:szCs w:val="28"/>
                <w:highlight w:val="none"/>
                <w:lang w:val="en-US" w:eastAsia="zh-CN"/>
              </w:rPr>
              <w:t>序号</w:t>
            </w:r>
          </w:p>
        </w:tc>
        <w:tc>
          <w:tcPr>
            <w:tcW w:w="2288" w:type="dxa"/>
            <w:vAlign w:val="center"/>
          </w:tcPr>
          <w:p>
            <w:pPr>
              <w:numPr>
                <w:ilvl w:val="0"/>
                <w:numId w:val="0"/>
              </w:numPr>
              <w:spacing w:beforeLines="0" w:afterLines="0" w:line="480" w:lineRule="exact"/>
              <w:ind w:left="0" w:leftChars="0" w:firstLine="0" w:firstLineChars="0"/>
              <w:jc w:val="center"/>
              <w:rPr>
                <w:rFonts w:hint="eastAsia" w:ascii="黑体" w:hAnsi="黑体" w:eastAsia="黑体" w:cs="黑体"/>
                <w:b w:val="0"/>
                <w:bCs w:val="0"/>
                <w:kern w:val="2"/>
                <w:sz w:val="24"/>
                <w:highlight w:val="none"/>
                <w:lang w:val="en-US" w:eastAsia="zh-CN" w:bidi="ar-SA"/>
              </w:rPr>
            </w:pPr>
            <w:r>
              <w:rPr>
                <w:rFonts w:hint="eastAsia" w:ascii="黑体" w:hAnsi="黑体" w:eastAsia="黑体" w:cs="黑体"/>
                <w:b w:val="0"/>
                <w:bCs w:val="0"/>
                <w:sz w:val="28"/>
                <w:szCs w:val="28"/>
                <w:highlight w:val="none"/>
                <w:lang w:val="en-US" w:eastAsia="zh-CN"/>
              </w:rPr>
              <w:t>考核内容</w:t>
            </w:r>
          </w:p>
        </w:tc>
        <w:tc>
          <w:tcPr>
            <w:tcW w:w="8189" w:type="dxa"/>
            <w:gridSpan w:val="2"/>
            <w:vAlign w:val="center"/>
          </w:tcPr>
          <w:p>
            <w:pPr>
              <w:numPr>
                <w:ilvl w:val="0"/>
                <w:numId w:val="0"/>
              </w:numPr>
              <w:spacing w:beforeLines="0" w:afterLines="0" w:line="480" w:lineRule="exact"/>
              <w:ind w:left="0" w:leftChars="0" w:firstLine="0" w:firstLineChars="0"/>
              <w:jc w:val="center"/>
              <w:rPr>
                <w:rFonts w:hint="eastAsia" w:ascii="黑体" w:hAnsi="黑体" w:eastAsia="黑体" w:cs="黑体"/>
                <w:b w:val="0"/>
                <w:bCs w:val="0"/>
                <w:kern w:val="2"/>
                <w:sz w:val="24"/>
                <w:highlight w:val="none"/>
                <w:lang w:val="en-US" w:eastAsia="zh-CN" w:bidi="ar-SA"/>
              </w:rPr>
            </w:pPr>
            <w:r>
              <w:rPr>
                <w:rFonts w:hint="eastAsia" w:ascii="黑体" w:hAnsi="黑体" w:eastAsia="黑体" w:cs="黑体"/>
                <w:b w:val="0"/>
                <w:bCs w:val="0"/>
                <w:sz w:val="28"/>
                <w:szCs w:val="28"/>
                <w:highlight w:val="none"/>
                <w:lang w:val="en-US" w:eastAsia="zh-CN"/>
              </w:rPr>
              <w:t>评分标准</w:t>
            </w:r>
          </w:p>
        </w:tc>
        <w:tc>
          <w:tcPr>
            <w:tcW w:w="1320" w:type="dxa"/>
            <w:vAlign w:val="center"/>
          </w:tcPr>
          <w:p>
            <w:pPr>
              <w:numPr>
                <w:ilvl w:val="0"/>
                <w:numId w:val="0"/>
              </w:numPr>
              <w:spacing w:beforeLines="0" w:afterLines="0" w:line="480" w:lineRule="exact"/>
              <w:ind w:left="0" w:leftChars="0" w:firstLine="0" w:firstLineChars="0"/>
              <w:jc w:val="center"/>
              <w:rPr>
                <w:rFonts w:hint="eastAsia" w:ascii="黑体" w:hAnsi="黑体" w:eastAsia="黑体" w:cs="黑体"/>
                <w:b w:val="0"/>
                <w:bCs w:val="0"/>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村（社区）法律顾问受众评价</w:t>
            </w:r>
          </w:p>
        </w:tc>
        <w:tc>
          <w:tcPr>
            <w:tcW w:w="8189" w:type="dxa"/>
            <w:gridSpan w:val="2"/>
            <w:vAlign w:val="center"/>
          </w:tcPr>
          <w:p>
            <w:pPr>
              <w:numPr>
                <w:ilvl w:val="0"/>
                <w:numId w:val="0"/>
              </w:numPr>
              <w:spacing w:beforeLines="0" w:afterLines="0" w:line="480" w:lineRule="exact"/>
              <w:ind w:left="0" w:leftChars="0" w:firstLine="0" w:firstLineChars="0"/>
              <w:jc w:val="center"/>
              <w:rPr>
                <w:rFonts w:hint="eastAsia" w:ascii="Times New Roman" w:hAnsi="Times New Roman" w:eastAsia="仿宋_GB2312" w:cs="Times New Roman"/>
                <w:kern w:val="2"/>
                <w:sz w:val="24"/>
                <w:highlight w:val="none"/>
                <w:lang w:val="en-US" w:eastAsia="zh-CN" w:bidi="ar-SA"/>
              </w:rPr>
            </w:pPr>
            <w:r>
              <w:rPr>
                <w:rFonts w:hint="eastAsia" w:ascii="仿宋_GB2312" w:hAnsi="仿宋_GB2312" w:eastAsia="仿宋_GB2312" w:cs="仿宋_GB2312"/>
                <w:sz w:val="24"/>
                <w:szCs w:val="24"/>
                <w:highlight w:val="none"/>
                <w:lang w:val="en-US" w:eastAsia="zh-CN"/>
              </w:rPr>
              <w:t>评价分95分以上（包含，下同），得5分，90分以上得4.5分，以此类推</w:t>
            </w:r>
          </w:p>
        </w:tc>
        <w:tc>
          <w:tcPr>
            <w:tcW w:w="1320" w:type="dxa"/>
            <w:vAlign w:val="center"/>
          </w:tcPr>
          <w:p>
            <w:pPr>
              <w:numPr>
                <w:ilvl w:val="0"/>
                <w:numId w:val="0"/>
              </w:numPr>
              <w:spacing w:beforeLines="0" w:afterLines="0" w:line="480" w:lineRule="exact"/>
              <w:ind w:left="0" w:leftChars="0" w:firstLine="0" w:firstLineChars="0"/>
              <w:jc w:val="center"/>
              <w:rPr>
                <w:rFonts w:hint="eastAsia" w:ascii="Times New Roman" w:hAnsi="Times New Roman" w:eastAsia="仿宋_GB2312" w:cs="Times New Roman"/>
                <w:kern w:val="2"/>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07" w:type="dxa"/>
            <w:gridSpan w:val="2"/>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受众评价得分</w:t>
            </w:r>
          </w:p>
        </w:tc>
        <w:tc>
          <w:tcPr>
            <w:tcW w:w="9509" w:type="dxa"/>
            <w:gridSpan w:val="3"/>
            <w:vAlign w:val="center"/>
          </w:tcPr>
          <w:p>
            <w:pPr>
              <w:numPr>
                <w:ilvl w:val="0"/>
                <w:numId w:val="0"/>
              </w:numPr>
              <w:spacing w:beforeLines="0" w:afterLines="0" w:line="480" w:lineRule="exact"/>
              <w:jc w:val="both"/>
              <w:rPr>
                <w:rFonts w:hint="eastAsia" w:eastAsia="仿宋_GB2312" w:cs="Times New Roman"/>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6" w:type="dxa"/>
            <w:gridSpan w:val="5"/>
            <w:vAlign w:val="center"/>
          </w:tcPr>
          <w:p>
            <w:pPr>
              <w:numPr>
                <w:ilvl w:val="0"/>
                <w:numId w:val="0"/>
              </w:numPr>
              <w:spacing w:beforeLines="0" w:afterLines="0" w:line="48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提质增效（加分以10分为限）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numPr>
                <w:ilvl w:val="0"/>
                <w:numId w:val="0"/>
              </w:numPr>
              <w:spacing w:beforeLines="0" w:afterLines="0" w:line="480" w:lineRule="exact"/>
              <w:ind w:left="0" w:leftChars="0" w:firstLine="0" w:firstLineChars="0"/>
              <w:jc w:val="center"/>
              <w:rPr>
                <w:rFonts w:hint="default" w:ascii="黑体" w:hAnsi="黑体" w:eastAsia="黑体" w:cs="黑体"/>
                <w:b w:val="0"/>
                <w:bCs w:val="0"/>
                <w:kern w:val="2"/>
                <w:sz w:val="24"/>
                <w:highlight w:val="none"/>
                <w:lang w:val="en-US" w:eastAsia="zh-CN" w:bidi="ar-SA"/>
              </w:rPr>
            </w:pPr>
            <w:r>
              <w:rPr>
                <w:rFonts w:hint="eastAsia" w:ascii="黑体" w:hAnsi="黑体" w:eastAsia="黑体" w:cs="黑体"/>
                <w:b w:val="0"/>
                <w:bCs w:val="0"/>
                <w:sz w:val="28"/>
                <w:szCs w:val="28"/>
                <w:highlight w:val="none"/>
                <w:lang w:val="en-US" w:eastAsia="zh-CN"/>
              </w:rPr>
              <w:t>序号</w:t>
            </w:r>
          </w:p>
        </w:tc>
        <w:tc>
          <w:tcPr>
            <w:tcW w:w="2288" w:type="dxa"/>
            <w:vAlign w:val="center"/>
          </w:tcPr>
          <w:p>
            <w:pPr>
              <w:numPr>
                <w:ilvl w:val="0"/>
                <w:numId w:val="0"/>
              </w:numPr>
              <w:spacing w:beforeLines="0" w:afterLines="0" w:line="480" w:lineRule="exact"/>
              <w:ind w:left="0" w:leftChars="0" w:firstLine="0" w:firstLineChars="0"/>
              <w:jc w:val="center"/>
              <w:rPr>
                <w:rFonts w:hint="eastAsia" w:ascii="黑体" w:hAnsi="黑体" w:eastAsia="黑体" w:cs="黑体"/>
                <w:b w:val="0"/>
                <w:bCs w:val="0"/>
                <w:kern w:val="2"/>
                <w:sz w:val="24"/>
                <w:highlight w:val="none"/>
                <w:lang w:val="en-US" w:eastAsia="zh-CN" w:bidi="ar-SA"/>
              </w:rPr>
            </w:pPr>
            <w:r>
              <w:rPr>
                <w:rFonts w:hint="eastAsia" w:ascii="黑体" w:hAnsi="黑体" w:eastAsia="黑体" w:cs="黑体"/>
                <w:b w:val="0"/>
                <w:bCs w:val="0"/>
                <w:sz w:val="28"/>
                <w:szCs w:val="28"/>
                <w:highlight w:val="none"/>
                <w:lang w:val="en-US" w:eastAsia="zh-CN"/>
              </w:rPr>
              <w:t>考核内容</w:t>
            </w:r>
          </w:p>
        </w:tc>
        <w:tc>
          <w:tcPr>
            <w:tcW w:w="8189" w:type="dxa"/>
            <w:gridSpan w:val="2"/>
            <w:vAlign w:val="center"/>
          </w:tcPr>
          <w:p>
            <w:pPr>
              <w:numPr>
                <w:ilvl w:val="0"/>
                <w:numId w:val="0"/>
              </w:numPr>
              <w:spacing w:beforeLines="0" w:afterLines="0" w:line="480" w:lineRule="exact"/>
              <w:ind w:left="0" w:leftChars="0" w:firstLine="0" w:firstLineChars="0"/>
              <w:jc w:val="center"/>
              <w:rPr>
                <w:rFonts w:hint="eastAsia" w:ascii="黑体" w:hAnsi="黑体" w:eastAsia="黑体" w:cs="黑体"/>
                <w:b w:val="0"/>
                <w:bCs w:val="0"/>
                <w:kern w:val="2"/>
                <w:sz w:val="24"/>
                <w:highlight w:val="none"/>
                <w:lang w:val="en-US" w:eastAsia="zh-CN" w:bidi="ar-SA"/>
              </w:rPr>
            </w:pPr>
            <w:r>
              <w:rPr>
                <w:rFonts w:hint="eastAsia" w:ascii="黑体" w:hAnsi="黑体" w:eastAsia="黑体" w:cs="黑体"/>
                <w:b w:val="0"/>
                <w:bCs w:val="0"/>
                <w:sz w:val="28"/>
                <w:szCs w:val="28"/>
                <w:highlight w:val="none"/>
                <w:lang w:val="en-US" w:eastAsia="zh-CN"/>
              </w:rPr>
              <w:t>评分标准</w:t>
            </w:r>
          </w:p>
        </w:tc>
        <w:tc>
          <w:tcPr>
            <w:tcW w:w="1320" w:type="dxa"/>
            <w:vAlign w:val="center"/>
          </w:tcPr>
          <w:p>
            <w:pPr>
              <w:numPr>
                <w:ilvl w:val="0"/>
                <w:numId w:val="0"/>
              </w:numPr>
              <w:spacing w:beforeLines="0" w:afterLines="0" w:line="480" w:lineRule="exact"/>
              <w:ind w:left="0" w:leftChars="0" w:firstLine="0" w:firstLineChars="0"/>
              <w:jc w:val="center"/>
              <w:rPr>
                <w:rFonts w:hint="eastAsia" w:ascii="黑体" w:hAnsi="黑体" w:eastAsia="黑体" w:cs="黑体"/>
                <w:b w:val="0"/>
                <w:bCs w:val="0"/>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化解矛盾纠纷</w:t>
            </w:r>
          </w:p>
        </w:tc>
        <w:tc>
          <w:tcPr>
            <w:tcW w:w="8189" w:type="dxa"/>
            <w:gridSpan w:val="2"/>
            <w:vAlign w:val="center"/>
          </w:tcPr>
          <w:p>
            <w:pPr>
              <w:numPr>
                <w:ilvl w:val="0"/>
                <w:numId w:val="0"/>
              </w:numPr>
              <w:spacing w:beforeLines="0" w:afterLines="0" w:line="4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协助村社或镇街妥善处置重大或难度较大矛盾纠纷或信访件，每件加2分，以4分为限。</w:t>
            </w:r>
          </w:p>
        </w:tc>
        <w:tc>
          <w:tcPr>
            <w:tcW w:w="1320" w:type="dxa"/>
            <w:vAlign w:val="center"/>
          </w:tcPr>
          <w:p>
            <w:pPr>
              <w:numPr>
                <w:ilvl w:val="0"/>
                <w:numId w:val="0"/>
              </w:numPr>
              <w:spacing w:beforeLines="0" w:afterLines="0" w:line="480" w:lineRule="exact"/>
              <w:jc w:val="center"/>
              <w:rPr>
                <w:rFonts w:hint="eastAsia" w:eastAsia="仿宋_GB2312" w:cs="Times New Roman"/>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dxa"/>
            <w:vAlign w:val="center"/>
          </w:tcPr>
          <w:p>
            <w:pPr>
              <w:widowControl w:val="0"/>
              <w:numPr>
                <w:ilvl w:val="0"/>
                <w:numId w:val="0"/>
              </w:numPr>
              <w:wordWrap/>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w:t>
            </w:r>
          </w:p>
        </w:tc>
        <w:tc>
          <w:tcPr>
            <w:tcW w:w="2288" w:type="dxa"/>
            <w:vAlign w:val="center"/>
          </w:tcPr>
          <w:p>
            <w:pPr>
              <w:widowControl w:val="0"/>
              <w:numPr>
                <w:ilvl w:val="0"/>
                <w:numId w:val="0"/>
              </w:numPr>
              <w:wordWrap/>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维护合法权益</w:t>
            </w:r>
          </w:p>
        </w:tc>
        <w:tc>
          <w:tcPr>
            <w:tcW w:w="8189" w:type="dxa"/>
            <w:gridSpan w:val="2"/>
            <w:vAlign w:val="center"/>
          </w:tcPr>
          <w:p>
            <w:pPr>
              <w:numPr>
                <w:ilvl w:val="0"/>
                <w:numId w:val="0"/>
              </w:numPr>
              <w:spacing w:beforeLines="0" w:afterLines="0" w:line="480" w:lineRule="exact"/>
              <w:ind w:left="0" w:leftChars="0" w:firstLine="0" w:firstLine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镇街或村社认可，提供法律服务，维护村（社区）合法权益，帮助村（社区）避免或挽回重大损失的，每起加1分，以2分为限。</w:t>
            </w:r>
          </w:p>
        </w:tc>
        <w:tc>
          <w:tcPr>
            <w:tcW w:w="1320" w:type="dxa"/>
            <w:vAlign w:val="center"/>
          </w:tcPr>
          <w:p>
            <w:pPr>
              <w:numPr>
                <w:ilvl w:val="0"/>
                <w:numId w:val="0"/>
              </w:numPr>
              <w:spacing w:beforeLines="0" w:afterLines="0" w:line="480" w:lineRule="exact"/>
              <w:jc w:val="center"/>
              <w:rPr>
                <w:rFonts w:hint="eastAsia" w:eastAsia="仿宋_GB2312" w:cs="Times New Roman"/>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val="0"/>
              <w:numPr>
                <w:ilvl w:val="0"/>
                <w:numId w:val="0"/>
              </w:numPr>
              <w:wordWrap/>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w:t>
            </w:r>
          </w:p>
        </w:tc>
        <w:tc>
          <w:tcPr>
            <w:tcW w:w="2288" w:type="dxa"/>
            <w:vAlign w:val="center"/>
          </w:tcPr>
          <w:p>
            <w:pPr>
              <w:widowControl w:val="0"/>
              <w:numPr>
                <w:ilvl w:val="0"/>
                <w:numId w:val="0"/>
              </w:numPr>
              <w:wordWrap/>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加强宣传工作</w:t>
            </w:r>
          </w:p>
        </w:tc>
        <w:tc>
          <w:tcPr>
            <w:tcW w:w="8189" w:type="dxa"/>
            <w:gridSpan w:val="2"/>
            <w:vAlign w:val="center"/>
          </w:tcPr>
          <w:p>
            <w:pPr>
              <w:numPr>
                <w:ilvl w:val="0"/>
                <w:numId w:val="0"/>
              </w:numPr>
              <w:spacing w:beforeLines="0" w:afterLines="0" w:line="480" w:lineRule="exact"/>
              <w:ind w:left="0" w:leftChars="0" w:firstLine="0" w:firstLine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积极撰写报送案例信息，被区级录用的加1分，被市级以上录用的加2分，多报送一个，加0.5分，以2分为限。</w:t>
            </w:r>
          </w:p>
        </w:tc>
        <w:tc>
          <w:tcPr>
            <w:tcW w:w="1320" w:type="dxa"/>
            <w:vAlign w:val="center"/>
          </w:tcPr>
          <w:p>
            <w:pPr>
              <w:numPr>
                <w:ilvl w:val="0"/>
                <w:numId w:val="0"/>
              </w:numPr>
              <w:spacing w:beforeLines="0" w:afterLines="0" w:line="480" w:lineRule="exact"/>
              <w:jc w:val="center"/>
              <w:rPr>
                <w:rFonts w:hint="eastAsia" w:eastAsia="仿宋_GB2312" w:cs="Times New Roman"/>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919"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2288" w:type="dxa"/>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其他重要事项</w:t>
            </w:r>
          </w:p>
        </w:tc>
        <w:tc>
          <w:tcPr>
            <w:tcW w:w="8189" w:type="dxa"/>
            <w:gridSpan w:val="2"/>
            <w:vAlign w:val="center"/>
          </w:tcPr>
          <w:p>
            <w:pPr>
              <w:numPr>
                <w:ilvl w:val="0"/>
                <w:numId w:val="0"/>
              </w:numPr>
              <w:spacing w:beforeLines="0" w:afterLines="0" w:line="4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其他镇街和村社认可的，村（社区）法律顾问作用发生明显的，每项加1分，以2分为限</w:t>
            </w:r>
          </w:p>
        </w:tc>
        <w:tc>
          <w:tcPr>
            <w:tcW w:w="1320" w:type="dxa"/>
            <w:vAlign w:val="center"/>
          </w:tcPr>
          <w:p>
            <w:pPr>
              <w:numPr>
                <w:ilvl w:val="0"/>
                <w:numId w:val="0"/>
              </w:numPr>
              <w:spacing w:beforeLines="0" w:afterLines="0" w:line="480" w:lineRule="exact"/>
              <w:jc w:val="center"/>
              <w:rPr>
                <w:rFonts w:hint="eastAsia" w:eastAsia="仿宋_GB2312" w:cs="Times New Roman"/>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gridSpan w:val="2"/>
            <w:vAlign w:val="center"/>
          </w:tcPr>
          <w:p>
            <w:pPr>
              <w:widowControl w:val="0"/>
              <w:numPr>
                <w:ilvl w:val="0"/>
                <w:numId w:val="0"/>
              </w:numPr>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加分</w:t>
            </w:r>
          </w:p>
        </w:tc>
        <w:tc>
          <w:tcPr>
            <w:tcW w:w="9509" w:type="dxa"/>
            <w:gridSpan w:val="3"/>
            <w:vAlign w:val="center"/>
          </w:tcPr>
          <w:p>
            <w:pPr>
              <w:numPr>
                <w:ilvl w:val="0"/>
                <w:numId w:val="0"/>
              </w:numPr>
              <w:spacing w:beforeLines="0" w:afterLines="0" w:line="480" w:lineRule="exact"/>
              <w:jc w:val="center"/>
              <w:rPr>
                <w:rFonts w:hint="eastAsia" w:eastAsia="仿宋_GB2312" w:cs="Times New Roman"/>
                <w:sz w:val="24"/>
                <w:highlight w:val="no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207" w:type="dxa"/>
            <w:gridSpan w:val="2"/>
            <w:vAlign w:val="center"/>
          </w:tcPr>
          <w:p>
            <w:pPr>
              <w:numPr>
                <w:ilvl w:val="0"/>
                <w:numId w:val="0"/>
              </w:numPr>
              <w:spacing w:beforeLines="0" w:afterLines="0" w:line="480" w:lineRule="exact"/>
              <w:jc w:val="center"/>
              <w:rPr>
                <w:rFonts w:hint="eastAsia" w:eastAsia="仿宋_GB2312" w:cs="Times New Roman"/>
                <w:sz w:val="24"/>
                <w:highlight w:val="none"/>
                <w:lang w:val="en-US" w:eastAsia="zh-CN"/>
              </w:rPr>
            </w:pPr>
            <w:r>
              <w:rPr>
                <w:rFonts w:hint="eastAsia" w:eastAsia="仿宋_GB2312" w:cs="Times New Roman"/>
                <w:sz w:val="24"/>
                <w:highlight w:val="none"/>
                <w:lang w:val="en-US" w:eastAsia="zh-CN"/>
              </w:rPr>
              <w:t>基础分</w:t>
            </w:r>
          </w:p>
        </w:tc>
        <w:tc>
          <w:tcPr>
            <w:tcW w:w="3207" w:type="dxa"/>
            <w:vAlign w:val="center"/>
          </w:tcPr>
          <w:p>
            <w:pPr>
              <w:numPr>
                <w:ilvl w:val="0"/>
                <w:numId w:val="0"/>
              </w:numPr>
              <w:spacing w:beforeLines="0" w:afterLines="0" w:line="480" w:lineRule="exact"/>
              <w:jc w:val="center"/>
              <w:rPr>
                <w:rFonts w:hint="eastAsia" w:eastAsia="仿宋_GB2312" w:cs="Times New Roman"/>
                <w:sz w:val="24"/>
                <w:highlight w:val="none"/>
                <w:lang w:val="en-US" w:eastAsia="zh-CN"/>
              </w:rPr>
            </w:pPr>
          </w:p>
        </w:tc>
        <w:tc>
          <w:tcPr>
            <w:tcW w:w="4982" w:type="dxa"/>
            <w:vAlign w:val="center"/>
          </w:tcPr>
          <w:p>
            <w:pPr>
              <w:numPr>
                <w:ilvl w:val="0"/>
                <w:numId w:val="0"/>
              </w:numPr>
              <w:spacing w:beforeLines="0" w:afterLines="0" w:line="480" w:lineRule="exact"/>
              <w:jc w:val="center"/>
              <w:rPr>
                <w:rFonts w:hint="eastAsia" w:eastAsia="仿宋_GB2312" w:cs="Times New Roman"/>
                <w:sz w:val="24"/>
                <w:highlight w:val="none"/>
                <w:lang w:val="en-US" w:eastAsia="zh-CN"/>
              </w:rPr>
            </w:pPr>
            <w:r>
              <w:rPr>
                <w:rFonts w:hint="eastAsia" w:eastAsia="仿宋_GB2312" w:cs="Times New Roman"/>
                <w:sz w:val="24"/>
                <w:highlight w:val="none"/>
                <w:lang w:val="en-US" w:eastAsia="zh-CN"/>
              </w:rPr>
              <w:t>加分</w:t>
            </w:r>
          </w:p>
        </w:tc>
        <w:tc>
          <w:tcPr>
            <w:tcW w:w="1320" w:type="dxa"/>
            <w:vAlign w:val="center"/>
          </w:tcPr>
          <w:p>
            <w:pPr>
              <w:numPr>
                <w:ilvl w:val="0"/>
                <w:numId w:val="0"/>
              </w:numPr>
              <w:spacing w:beforeLines="0" w:afterLines="0" w:line="480" w:lineRule="exact"/>
              <w:jc w:val="center"/>
              <w:rPr>
                <w:rFonts w:hint="eastAsia" w:eastAsia="仿宋_GB2312" w:cs="Times New Roman"/>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gridSpan w:val="2"/>
            <w:vAlign w:val="center"/>
          </w:tcPr>
          <w:p>
            <w:pPr>
              <w:numPr>
                <w:ilvl w:val="0"/>
                <w:numId w:val="0"/>
              </w:numPr>
              <w:spacing w:beforeLines="0" w:afterLines="0" w:line="480" w:lineRule="exact"/>
              <w:jc w:val="center"/>
              <w:rPr>
                <w:rFonts w:hint="eastAsia" w:eastAsia="仿宋_GB2312" w:cs="Times New Roman"/>
                <w:sz w:val="24"/>
                <w:highlight w:val="none"/>
                <w:lang w:val="en-US" w:eastAsia="zh-CN"/>
              </w:rPr>
            </w:pPr>
            <w:r>
              <w:rPr>
                <w:rFonts w:hint="eastAsia" w:eastAsia="仿宋_GB2312" w:cs="Times New Roman"/>
                <w:sz w:val="24"/>
                <w:highlight w:val="none"/>
                <w:lang w:val="en-US" w:eastAsia="zh-CN"/>
              </w:rPr>
              <w:t>总分</w:t>
            </w:r>
          </w:p>
        </w:tc>
        <w:tc>
          <w:tcPr>
            <w:tcW w:w="8189" w:type="dxa"/>
            <w:gridSpan w:val="2"/>
            <w:vAlign w:val="center"/>
          </w:tcPr>
          <w:p>
            <w:pPr>
              <w:numPr>
                <w:ilvl w:val="0"/>
                <w:numId w:val="0"/>
              </w:numPr>
              <w:spacing w:beforeLines="0" w:afterLines="0" w:line="480" w:lineRule="exact"/>
              <w:jc w:val="center"/>
              <w:rPr>
                <w:rFonts w:hint="eastAsia" w:eastAsia="仿宋_GB2312" w:cs="Times New Roman"/>
                <w:sz w:val="24"/>
                <w:highlight w:val="none"/>
                <w:lang w:val="en-US" w:eastAsia="zh-CN"/>
              </w:rPr>
            </w:pPr>
          </w:p>
        </w:tc>
        <w:tc>
          <w:tcPr>
            <w:tcW w:w="1320" w:type="dxa"/>
            <w:vAlign w:val="center"/>
          </w:tcPr>
          <w:p>
            <w:pPr>
              <w:numPr>
                <w:ilvl w:val="0"/>
                <w:numId w:val="0"/>
              </w:numPr>
              <w:spacing w:beforeLines="0" w:afterLines="0" w:line="480" w:lineRule="exact"/>
              <w:jc w:val="center"/>
              <w:rPr>
                <w:rFonts w:hint="eastAsia" w:eastAsia="仿宋_GB2312" w:cs="Times New Roman"/>
                <w:sz w:val="24"/>
                <w:highlight w:val="none"/>
                <w:lang w:val="en-US" w:eastAsia="zh-CN"/>
              </w:rPr>
            </w:pPr>
          </w:p>
        </w:tc>
      </w:tr>
    </w:tbl>
    <w:p>
      <w:pPr>
        <w:spacing w:beforeLines="0" w:afterLines="0" w:line="480" w:lineRule="exact"/>
        <w:ind w:firstLine="0" w:firstLineChars="0"/>
        <w:jc w:val="left"/>
        <w:rPr>
          <w:rFonts w:hint="eastAsia" w:eastAsia="仿宋_GB2312" w:cs="Times New Roman"/>
          <w:sz w:val="24"/>
          <w:highlight w:val="none"/>
          <w:lang w:val="en-US" w:eastAsia="zh-CN"/>
        </w:rPr>
      </w:pPr>
      <w:r>
        <w:rPr>
          <w:rFonts w:hint="eastAsia" w:eastAsia="仿宋_GB2312" w:cs="Times New Roman"/>
          <w:sz w:val="24"/>
          <w:highlight w:val="none"/>
          <w:lang w:val="en-US" w:eastAsia="zh-CN"/>
        </w:rPr>
        <w:t>备注：1.基础分=基础履职分+受众评价分，基础分满分是100分；</w:t>
      </w:r>
    </w:p>
    <w:p>
      <w:pPr>
        <w:numPr>
          <w:ilvl w:val="0"/>
          <w:numId w:val="1"/>
        </w:numPr>
        <w:spacing w:beforeLines="0" w:afterLines="0" w:line="480" w:lineRule="exact"/>
        <w:ind w:firstLine="720" w:firstLineChars="300"/>
        <w:jc w:val="left"/>
        <w:rPr>
          <w:rFonts w:hint="default" w:eastAsia="仿宋_GB2312" w:cs="Times New Roman"/>
          <w:sz w:val="24"/>
          <w:highlight w:val="none"/>
          <w:lang w:val="en-US" w:eastAsia="zh-CN"/>
        </w:rPr>
      </w:pPr>
      <w:r>
        <w:rPr>
          <w:rFonts w:hint="eastAsia" w:eastAsia="仿宋_GB2312" w:cs="Times New Roman"/>
          <w:sz w:val="24"/>
          <w:highlight w:val="none"/>
          <w:lang w:val="en-US" w:eastAsia="zh-CN"/>
        </w:rPr>
        <w:t>绩效评估总分=基础分+提着增效得分（加分）；</w:t>
      </w:r>
    </w:p>
    <w:p>
      <w:pPr>
        <w:numPr>
          <w:ilvl w:val="0"/>
          <w:numId w:val="1"/>
        </w:numPr>
        <w:spacing w:beforeLines="0" w:afterLines="0" w:line="480" w:lineRule="exact"/>
        <w:ind w:firstLine="720" w:firstLineChars="300"/>
        <w:jc w:val="left"/>
        <w:rPr>
          <w:rFonts w:hint="default" w:eastAsia="仿宋_GB2312" w:cs="Times New Roman"/>
          <w:sz w:val="24"/>
          <w:highlight w:val="none"/>
          <w:lang w:val="en-US" w:eastAsia="zh-CN"/>
        </w:rPr>
      </w:pPr>
      <w:r>
        <w:rPr>
          <w:rFonts w:hint="eastAsia" w:eastAsia="仿宋_GB2312" w:cs="Times New Roman"/>
          <w:sz w:val="24"/>
          <w:highlight w:val="none"/>
          <w:lang w:val="en-US" w:eastAsia="zh-CN"/>
        </w:rPr>
        <w:t>考核中镇街如需相关佐证材料，可请村（社区）法律顾问提供。</w:t>
      </w:r>
    </w:p>
    <w:p>
      <w:pPr>
        <w:widowControl w:val="0"/>
        <w:wordWrap/>
        <w:adjustRightInd/>
        <w:snapToGrid/>
        <w:spacing w:line="240" w:lineRule="auto"/>
        <w:jc w:val="both"/>
        <w:textAlignment w:val="auto"/>
        <w:rPr>
          <w:rFonts w:hint="default" w:eastAsia="国标黑体" w:cs="Times New Roman"/>
          <w:sz w:val="32"/>
          <w:szCs w:val="32"/>
          <w:lang w:val="en-US" w:eastAsia="zh-CN"/>
        </w:rPr>
      </w:pPr>
    </w:p>
    <w:p>
      <w:pPr>
        <w:widowControl w:val="0"/>
        <w:wordWrap/>
        <w:adjustRightInd/>
        <w:snapToGrid/>
        <w:spacing w:line="240" w:lineRule="auto"/>
        <w:jc w:val="both"/>
        <w:textAlignment w:val="auto"/>
        <w:rPr>
          <w:rFonts w:hint="eastAsia" w:ascii="黑体" w:hAnsi="黑体" w:eastAsia="黑体" w:cs="黑体"/>
          <w:sz w:val="32"/>
          <w:szCs w:val="32"/>
          <w:lang w:eastAsia="zh-CN"/>
        </w:rPr>
      </w:pPr>
    </w:p>
    <w:p>
      <w:pPr>
        <w:widowControl w:val="0"/>
        <w:wordWrap/>
        <w:adjustRightInd/>
        <w:snapToGrid/>
        <w:spacing w:line="240" w:lineRule="auto"/>
        <w:jc w:val="both"/>
        <w:textAlignment w:val="auto"/>
        <w:rPr>
          <w:rFonts w:hint="eastAsia" w:ascii="黑体" w:hAnsi="黑体" w:eastAsia="黑体" w:cs="黑体"/>
          <w:sz w:val="32"/>
          <w:szCs w:val="32"/>
          <w:lang w:eastAsia="zh-CN"/>
        </w:rPr>
      </w:pPr>
    </w:p>
    <w:p>
      <w:pPr>
        <w:widowControl w:val="0"/>
        <w:wordWrap/>
        <w:adjustRightInd/>
        <w:snapToGrid/>
        <w:spacing w:line="240" w:lineRule="auto"/>
        <w:jc w:val="both"/>
        <w:textAlignment w:val="auto"/>
        <w:rPr>
          <w:rFonts w:hint="eastAsia" w:ascii="黑体" w:hAnsi="黑体" w:eastAsia="黑体" w:cs="黑体"/>
          <w:sz w:val="32"/>
          <w:szCs w:val="32"/>
          <w:lang w:eastAsia="zh-CN"/>
        </w:rPr>
      </w:pPr>
    </w:p>
    <w:p>
      <w:pPr>
        <w:widowControl w:val="0"/>
        <w:wordWrap/>
        <w:adjustRightInd/>
        <w:snapToGrid/>
        <w:spacing w:line="240" w:lineRule="auto"/>
        <w:jc w:val="both"/>
        <w:textAlignment w:val="auto"/>
        <w:rPr>
          <w:rFonts w:hint="eastAsia" w:ascii="黑体" w:hAnsi="黑体" w:eastAsia="黑体" w:cs="黑体"/>
          <w:sz w:val="32"/>
          <w:szCs w:val="32"/>
          <w:lang w:eastAsia="zh-CN"/>
        </w:rPr>
      </w:pPr>
    </w:p>
    <w:p>
      <w:pPr>
        <w:widowControl w:val="0"/>
        <w:wordWrap/>
        <w:adjustRightInd/>
        <w:snapToGrid/>
        <w:spacing w:line="240" w:lineRule="auto"/>
        <w:jc w:val="both"/>
        <w:textAlignment w:val="auto"/>
        <w:rPr>
          <w:rFonts w:hint="eastAsia" w:ascii="黑体" w:hAnsi="黑体" w:eastAsia="黑体" w:cs="黑体"/>
          <w:sz w:val="32"/>
          <w:szCs w:val="32"/>
          <w:lang w:eastAsia="zh-CN"/>
        </w:rPr>
      </w:pPr>
    </w:p>
    <w:p>
      <w:pPr>
        <w:widowControl w:val="0"/>
        <w:wordWrap/>
        <w:adjustRightInd/>
        <w:snapToGrid/>
        <w:spacing w:line="240" w:lineRule="auto"/>
        <w:jc w:val="both"/>
        <w:textAlignment w:val="auto"/>
        <w:rPr>
          <w:rFonts w:hint="eastAsia" w:ascii="黑体" w:hAnsi="黑体" w:eastAsia="黑体" w:cs="黑体"/>
          <w:sz w:val="32"/>
          <w:szCs w:val="32"/>
          <w:lang w:eastAsia="zh-CN"/>
        </w:rPr>
      </w:pPr>
    </w:p>
    <w:p>
      <w:pPr>
        <w:widowControl w:val="0"/>
        <w:wordWrap/>
        <w:adjustRightInd/>
        <w:snapToGrid/>
        <w:spacing w:line="240" w:lineRule="auto"/>
        <w:jc w:val="both"/>
        <w:textAlignment w:val="auto"/>
        <w:rPr>
          <w:rFonts w:hint="eastAsia" w:ascii="黑体" w:hAnsi="黑体" w:eastAsia="黑体" w:cs="黑体"/>
          <w:sz w:val="32"/>
          <w:szCs w:val="32"/>
          <w:lang w:eastAsia="zh-CN"/>
        </w:rPr>
      </w:pPr>
    </w:p>
    <w:p>
      <w:pPr>
        <w:widowControl w:val="0"/>
        <w:wordWrap/>
        <w:adjustRightInd/>
        <w:snapToGrid/>
        <w:spacing w:line="240" w:lineRule="auto"/>
        <w:jc w:val="both"/>
        <w:textAlignment w:val="auto"/>
        <w:rPr>
          <w:rFonts w:hint="eastAsia" w:ascii="黑体" w:hAnsi="黑体" w:eastAsia="黑体" w:cs="黑体"/>
          <w:sz w:val="32"/>
          <w:szCs w:val="32"/>
          <w:lang w:eastAsia="zh-CN"/>
        </w:rPr>
      </w:pPr>
    </w:p>
    <w:p>
      <w:pPr>
        <w:widowControl w:val="0"/>
        <w:wordWrap/>
        <w:adjustRightInd/>
        <w:snapToGrid/>
        <w:spacing w:line="240" w:lineRule="auto"/>
        <w:jc w:val="both"/>
        <w:textAlignment w:val="auto"/>
        <w:rPr>
          <w:rFonts w:hint="eastAsia" w:ascii="黑体" w:hAnsi="黑体" w:eastAsia="黑体" w:cs="黑体"/>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widowControl w:val="0"/>
        <w:wordWrap/>
        <w:adjustRightInd/>
        <w:snapToGrid/>
        <w:spacing w:line="240" w:lineRule="auto"/>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村社法律顾问工作绩效年度评估汇总表</w:t>
      </w:r>
    </w:p>
    <w:p>
      <w:pPr>
        <w:widowControl w:val="0"/>
        <w:wordWrap/>
        <w:adjustRightInd/>
        <w:snapToGrid/>
        <w:spacing w:line="240" w:lineRule="auto"/>
        <w:textAlignment w:val="auto"/>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u w:val="none"/>
          <w:lang w:val="en-US" w:eastAsia="zh-CN"/>
        </w:rPr>
        <w:t>填报单位：</w:t>
      </w:r>
      <w:r>
        <w:rPr>
          <w:rFonts w:hint="default" w:ascii="Times New Roman" w:hAnsi="Times New Roman" w:eastAsia="楷体_GB2312" w:cs="Times New Roman"/>
          <w:spacing w:val="0"/>
          <w:sz w:val="32"/>
          <w:szCs w:val="32"/>
          <w:u w:val="single"/>
          <w:lang w:val="en-US" w:eastAsia="zh-CN"/>
        </w:rPr>
        <w:t xml:space="preserve">         </w:t>
      </w:r>
      <w:r>
        <w:rPr>
          <w:rFonts w:hint="default" w:ascii="Times New Roman" w:hAnsi="Times New Roman" w:eastAsia="楷体_GB2312" w:cs="Times New Roman"/>
          <w:spacing w:val="0"/>
          <w:sz w:val="32"/>
          <w:szCs w:val="32"/>
          <w:lang w:val="en-US" w:eastAsia="zh-CN"/>
        </w:rPr>
        <w:t xml:space="preserve">司法所        </w:t>
      </w:r>
      <w:r>
        <w:rPr>
          <w:rFonts w:hint="default" w:ascii="Times New Roman" w:hAnsi="Times New Roman" w:eastAsia="楷体_GB2312" w:cs="Times New Roman"/>
          <w:spacing w:val="0"/>
          <w:sz w:val="32"/>
          <w:szCs w:val="32"/>
          <w:u w:val="single"/>
          <w:lang w:val="en-US" w:eastAsia="zh-CN"/>
        </w:rPr>
        <w:t xml:space="preserve">          </w:t>
      </w:r>
      <w:r>
        <w:rPr>
          <w:rFonts w:hint="default" w:ascii="Times New Roman" w:hAnsi="Times New Roman" w:eastAsia="楷体_GB2312" w:cs="Times New Roman"/>
          <w:spacing w:val="0"/>
          <w:sz w:val="32"/>
          <w:szCs w:val="32"/>
          <w:lang w:val="en-US" w:eastAsia="zh-CN"/>
        </w:rPr>
        <w:t>镇（街道）       评估时间</w:t>
      </w:r>
      <w:r>
        <w:rPr>
          <w:rFonts w:hint="default" w:ascii="Times New Roman" w:hAnsi="Times New Roman" w:eastAsia="楷体_GB2312" w:cs="Times New Roman"/>
          <w:spacing w:val="0"/>
          <w:sz w:val="32"/>
          <w:szCs w:val="32"/>
          <w:u w:val="single"/>
          <w:lang w:val="en-US" w:eastAsia="zh-CN"/>
        </w:rPr>
        <w:t xml:space="preserve">          </w:t>
      </w:r>
      <w:r>
        <w:rPr>
          <w:rFonts w:hint="default" w:ascii="Times New Roman" w:hAnsi="Times New Roman" w:eastAsia="楷体_GB2312" w:cs="Times New Roman"/>
          <w:spacing w:val="0"/>
          <w:sz w:val="32"/>
          <w:szCs w:val="32"/>
          <w:lang w:val="en-US" w:eastAsia="zh-CN"/>
        </w:rPr>
        <w:t>年度</w:t>
      </w:r>
    </w:p>
    <w:tbl>
      <w:tblPr>
        <w:tblStyle w:val="8"/>
        <w:tblpPr w:leftFromText="180" w:rightFromText="180" w:vertAnchor="text" w:horzAnchor="page" w:tblpX="746" w:tblpY="369"/>
        <w:tblOverlap w:val="never"/>
        <w:tblW w:w="14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923"/>
        <w:gridCol w:w="2325"/>
        <w:gridCol w:w="2310"/>
        <w:gridCol w:w="2100"/>
        <w:gridCol w:w="2235"/>
        <w:gridCol w:w="148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07"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r>
              <w:rPr>
                <w:rFonts w:hint="default" w:ascii="Times New Roman" w:hAnsi="Times New Roman" w:eastAsia="仿宋_GB2312" w:cs="Times New Roman"/>
                <w:spacing w:val="0"/>
                <w:sz w:val="28"/>
                <w:szCs w:val="28"/>
                <w:lang w:val="en-US" w:eastAsia="zh-CN"/>
              </w:rPr>
              <w:t>序号</w:t>
            </w:r>
          </w:p>
        </w:tc>
        <w:tc>
          <w:tcPr>
            <w:tcW w:w="1923"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r>
              <w:rPr>
                <w:rFonts w:hint="default" w:ascii="Times New Roman" w:hAnsi="Times New Roman" w:eastAsia="仿宋_GB2312" w:cs="Times New Roman"/>
                <w:spacing w:val="0"/>
                <w:sz w:val="28"/>
                <w:szCs w:val="28"/>
                <w:lang w:val="en-US" w:eastAsia="zh-CN"/>
              </w:rPr>
              <w:t>姓名</w:t>
            </w:r>
            <w:r>
              <w:rPr>
                <w:rFonts w:hint="eastAsia" w:ascii="Times New Roman" w:hAnsi="Times New Roman" w:eastAsia="仿宋_GB2312" w:cs="Times New Roman"/>
                <w:spacing w:val="0"/>
                <w:sz w:val="28"/>
                <w:szCs w:val="28"/>
                <w:lang w:val="en-US" w:eastAsia="zh-CN"/>
              </w:rPr>
              <w:t>（律所）</w:t>
            </w:r>
          </w:p>
        </w:tc>
        <w:tc>
          <w:tcPr>
            <w:tcW w:w="232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r>
              <w:rPr>
                <w:rFonts w:hint="default" w:ascii="Times New Roman" w:hAnsi="Times New Roman" w:eastAsia="仿宋_GB2312" w:cs="Times New Roman"/>
                <w:spacing w:val="0"/>
                <w:sz w:val="28"/>
                <w:szCs w:val="28"/>
                <w:lang w:val="en-US" w:eastAsia="zh-CN"/>
              </w:rPr>
              <w:t>基础履职（95分）</w:t>
            </w:r>
          </w:p>
        </w:tc>
        <w:tc>
          <w:tcPr>
            <w:tcW w:w="23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r>
              <w:rPr>
                <w:rFonts w:hint="default" w:ascii="Times New Roman" w:hAnsi="Times New Roman" w:eastAsia="仿宋_GB2312" w:cs="Times New Roman"/>
                <w:spacing w:val="0"/>
                <w:sz w:val="28"/>
                <w:szCs w:val="28"/>
                <w:lang w:val="en-US" w:eastAsia="zh-CN"/>
              </w:rPr>
              <w:t>受众评价（5分）</w:t>
            </w:r>
          </w:p>
        </w:tc>
        <w:tc>
          <w:tcPr>
            <w:tcW w:w="210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基本分总分（100分）</w:t>
            </w:r>
          </w:p>
        </w:tc>
        <w:tc>
          <w:tcPr>
            <w:tcW w:w="223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r>
              <w:rPr>
                <w:rFonts w:hint="default" w:ascii="Times New Roman" w:hAnsi="Times New Roman" w:eastAsia="仿宋_GB2312" w:cs="Times New Roman"/>
                <w:spacing w:val="0"/>
                <w:sz w:val="28"/>
                <w:szCs w:val="28"/>
                <w:lang w:val="en-US" w:eastAsia="zh-CN"/>
              </w:rPr>
              <w:t>提质增效加分（10分）</w:t>
            </w:r>
          </w:p>
        </w:tc>
        <w:tc>
          <w:tcPr>
            <w:tcW w:w="148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合计</w:t>
            </w:r>
            <w:r>
              <w:rPr>
                <w:rFonts w:hint="default" w:ascii="Times New Roman" w:hAnsi="Times New Roman" w:eastAsia="仿宋_GB2312" w:cs="Times New Roman"/>
                <w:spacing w:val="0"/>
                <w:sz w:val="28"/>
                <w:szCs w:val="28"/>
                <w:lang w:val="en-US" w:eastAsia="zh-CN"/>
              </w:rPr>
              <w:t>总分</w:t>
            </w:r>
          </w:p>
        </w:tc>
        <w:tc>
          <w:tcPr>
            <w:tcW w:w="14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r>
              <w:rPr>
                <w:rFonts w:hint="default" w:ascii="Times New Roman" w:hAnsi="Times New Roman" w:eastAsia="仿宋_GB2312" w:cs="Times New Roman"/>
                <w:spacing w:val="0"/>
                <w:sz w:val="28"/>
                <w:szCs w:val="28"/>
                <w:lang w:val="en-US" w:eastAsia="zh-CN"/>
              </w:rPr>
              <w:t>建议等次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07"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923"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2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10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23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8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07"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923"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2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10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23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8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07"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923"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2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10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23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8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07"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923"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2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10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23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8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07"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923"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2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10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23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8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07"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923"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2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10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23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8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07"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923"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2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3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10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223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85"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c>
          <w:tcPr>
            <w:tcW w:w="1410" w:type="dxa"/>
            <w:vAlign w:val="center"/>
          </w:tcPr>
          <w:p>
            <w:pPr>
              <w:widowControl w:val="0"/>
              <w:wordWrap/>
              <w:adjustRightInd/>
              <w:snapToGrid/>
              <w:spacing w:line="400" w:lineRule="exact"/>
              <w:jc w:val="center"/>
              <w:textAlignment w:val="auto"/>
              <w:rPr>
                <w:rFonts w:hint="default" w:ascii="Times New Roman" w:hAnsi="Times New Roman" w:eastAsia="仿宋_GB2312" w:cs="Times New Roman"/>
                <w:spacing w:val="0"/>
                <w:sz w:val="28"/>
                <w:szCs w:val="28"/>
                <w:lang w:val="en-US" w:eastAsia="zh-CN"/>
              </w:rPr>
            </w:pPr>
          </w:p>
        </w:tc>
      </w:tr>
    </w:tbl>
    <w:p>
      <w:pPr>
        <w:spacing w:line="360" w:lineRule="auto"/>
        <w:ind w:firstLine="960" w:firstLineChars="400"/>
        <w:rPr>
          <w:rFonts w:hint="default" w:ascii="Times New Roman" w:hAnsi="Times New Roman" w:eastAsia="仿宋_GB2312" w:cs="Times New Roman"/>
          <w:sz w:val="24"/>
          <w:szCs w:val="24"/>
          <w:highlight w:val="none"/>
          <w:lang w:val="en-US" w:eastAsia="zh-CN"/>
        </w:rPr>
      </w:pPr>
    </w:p>
    <w:p>
      <w:pPr>
        <w:spacing w:beforeLines="0" w:afterLines="0" w:line="480" w:lineRule="exact"/>
        <w:jc w:val="left"/>
        <w:rPr>
          <w:rFonts w:hint="default" w:ascii="Times New Roman" w:hAnsi="Times New Roman" w:eastAsia="仿宋_GB2312" w:cs="Times New Roman"/>
          <w:sz w:val="24"/>
          <w:highlight w:val="none"/>
          <w:lang w:val="en-US" w:eastAsia="zh-CN"/>
        </w:rPr>
      </w:pPr>
    </w:p>
    <w:sectPr>
      <w:pgSz w:w="15840" w:h="12240" w:orient="landscape"/>
      <w:pgMar w:top="1803" w:right="1440" w:bottom="1803" w:left="1440" w:header="720" w:footer="720" w:gutter="0"/>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60007" w:csb1="00000000"/>
  </w:font>
  <w:font w:name="仿宋">
    <w:altName w:val="微软雅黑"/>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lang w:val="en-US" w:eastAsia="zh-CN" w:bidi="ar-SA"/>
      </w:rPr>
      <w:pict>
        <v:shape id="Quad Arrow 1025"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F39F7"/>
    <w:multiLevelType w:val="singleLevel"/>
    <w:tmpl w:val="EBFF39F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246049"/>
    <w:rsid w:val="02E92054"/>
    <w:rsid w:val="03F7698E"/>
    <w:rsid w:val="04F62134"/>
    <w:rsid w:val="05677E69"/>
    <w:rsid w:val="05A96066"/>
    <w:rsid w:val="05EA0443"/>
    <w:rsid w:val="06312DB5"/>
    <w:rsid w:val="06B81D95"/>
    <w:rsid w:val="073D1FEE"/>
    <w:rsid w:val="08130D4D"/>
    <w:rsid w:val="090D69E6"/>
    <w:rsid w:val="09ED3AD6"/>
    <w:rsid w:val="0ABF3E2E"/>
    <w:rsid w:val="0B1722BE"/>
    <w:rsid w:val="0C8C56A3"/>
    <w:rsid w:val="0CBA4EED"/>
    <w:rsid w:val="0D4A25DE"/>
    <w:rsid w:val="11B756A0"/>
    <w:rsid w:val="11DF775E"/>
    <w:rsid w:val="121421B7"/>
    <w:rsid w:val="12ED571D"/>
    <w:rsid w:val="1382238D"/>
    <w:rsid w:val="13AC0FD3"/>
    <w:rsid w:val="14503CE0"/>
    <w:rsid w:val="14A97BF1"/>
    <w:rsid w:val="15435BF2"/>
    <w:rsid w:val="15EA5FFF"/>
    <w:rsid w:val="1634517A"/>
    <w:rsid w:val="16BB0590"/>
    <w:rsid w:val="186E7023"/>
    <w:rsid w:val="19162CB4"/>
    <w:rsid w:val="194E1F14"/>
    <w:rsid w:val="1AC75EFD"/>
    <w:rsid w:val="1B225312"/>
    <w:rsid w:val="1C091D8D"/>
    <w:rsid w:val="1C2A22C1"/>
    <w:rsid w:val="1C4353EA"/>
    <w:rsid w:val="1CD714E1"/>
    <w:rsid w:val="1D1866C7"/>
    <w:rsid w:val="1D6567C6"/>
    <w:rsid w:val="1E857F22"/>
    <w:rsid w:val="1E8F2A30"/>
    <w:rsid w:val="216337D3"/>
    <w:rsid w:val="22F8166B"/>
    <w:rsid w:val="23582989"/>
    <w:rsid w:val="23B52D23"/>
    <w:rsid w:val="273C012B"/>
    <w:rsid w:val="27FD1429"/>
    <w:rsid w:val="2808303D"/>
    <w:rsid w:val="28DD431A"/>
    <w:rsid w:val="28E41726"/>
    <w:rsid w:val="2B6526BF"/>
    <w:rsid w:val="2F2F04F6"/>
    <w:rsid w:val="2F363704"/>
    <w:rsid w:val="2FDE4E17"/>
    <w:rsid w:val="31C417B4"/>
    <w:rsid w:val="33C83183"/>
    <w:rsid w:val="3427101B"/>
    <w:rsid w:val="34A672EE"/>
    <w:rsid w:val="34D11437"/>
    <w:rsid w:val="357331BF"/>
    <w:rsid w:val="375D3FE4"/>
    <w:rsid w:val="38255FAB"/>
    <w:rsid w:val="38F60882"/>
    <w:rsid w:val="393B3575"/>
    <w:rsid w:val="39E13D03"/>
    <w:rsid w:val="3CC94A4B"/>
    <w:rsid w:val="3CFF5E1E"/>
    <w:rsid w:val="3EE5023D"/>
    <w:rsid w:val="3F006868"/>
    <w:rsid w:val="3F1A5214"/>
    <w:rsid w:val="3FD3C364"/>
    <w:rsid w:val="3FF75A98"/>
    <w:rsid w:val="3FFE5D76"/>
    <w:rsid w:val="40815A60"/>
    <w:rsid w:val="40877969"/>
    <w:rsid w:val="413760DE"/>
    <w:rsid w:val="45310312"/>
    <w:rsid w:val="46244422"/>
    <w:rsid w:val="49B45578"/>
    <w:rsid w:val="4B051A22"/>
    <w:rsid w:val="4BA77FCE"/>
    <w:rsid w:val="4BB949C8"/>
    <w:rsid w:val="4C601CDE"/>
    <w:rsid w:val="4D7F68B2"/>
    <w:rsid w:val="4F676753"/>
    <w:rsid w:val="4F7FBA7C"/>
    <w:rsid w:val="4FA147CC"/>
    <w:rsid w:val="50170AF5"/>
    <w:rsid w:val="5054095A"/>
    <w:rsid w:val="50F85BE5"/>
    <w:rsid w:val="522B4CDD"/>
    <w:rsid w:val="539E133B"/>
    <w:rsid w:val="54124B7D"/>
    <w:rsid w:val="546458AE"/>
    <w:rsid w:val="550A1892"/>
    <w:rsid w:val="56BE7FDF"/>
    <w:rsid w:val="574B7843"/>
    <w:rsid w:val="59466384"/>
    <w:rsid w:val="59FF8ACF"/>
    <w:rsid w:val="5B482651"/>
    <w:rsid w:val="5D437E8D"/>
    <w:rsid w:val="5D4F1722"/>
    <w:rsid w:val="5D7E01C5"/>
    <w:rsid w:val="5D803576"/>
    <w:rsid w:val="5E5E18DF"/>
    <w:rsid w:val="5EB94577"/>
    <w:rsid w:val="5F1E649A"/>
    <w:rsid w:val="5F4D6FE9"/>
    <w:rsid w:val="5FDE9A25"/>
    <w:rsid w:val="5FFB250E"/>
    <w:rsid w:val="60040D16"/>
    <w:rsid w:val="60335FE2"/>
    <w:rsid w:val="606C3BBD"/>
    <w:rsid w:val="61A96E48"/>
    <w:rsid w:val="62762D19"/>
    <w:rsid w:val="62F81FED"/>
    <w:rsid w:val="64426B0C"/>
    <w:rsid w:val="651B67EF"/>
    <w:rsid w:val="656136E1"/>
    <w:rsid w:val="65FB0C2D"/>
    <w:rsid w:val="6602326A"/>
    <w:rsid w:val="671B5537"/>
    <w:rsid w:val="676166A9"/>
    <w:rsid w:val="67A24F14"/>
    <w:rsid w:val="67D853EE"/>
    <w:rsid w:val="6841159B"/>
    <w:rsid w:val="6AF20B04"/>
    <w:rsid w:val="6B6E5905"/>
    <w:rsid w:val="6D883FC0"/>
    <w:rsid w:val="6D943656"/>
    <w:rsid w:val="6E503A09"/>
    <w:rsid w:val="6EDE2373"/>
    <w:rsid w:val="6F194791"/>
    <w:rsid w:val="709E2354"/>
    <w:rsid w:val="72235FF7"/>
    <w:rsid w:val="72584475"/>
    <w:rsid w:val="72BE454D"/>
    <w:rsid w:val="7393582A"/>
    <w:rsid w:val="74221C16"/>
    <w:rsid w:val="74404A49"/>
    <w:rsid w:val="7473071B"/>
    <w:rsid w:val="771E02F9"/>
    <w:rsid w:val="77234781"/>
    <w:rsid w:val="777E7714"/>
    <w:rsid w:val="7794703F"/>
    <w:rsid w:val="782A7532"/>
    <w:rsid w:val="785D6A87"/>
    <w:rsid w:val="7960620A"/>
    <w:rsid w:val="796C307C"/>
    <w:rsid w:val="7A863699"/>
    <w:rsid w:val="7BDC2D9C"/>
    <w:rsid w:val="7D4E174A"/>
    <w:rsid w:val="7D5C493C"/>
    <w:rsid w:val="7D9C1EA2"/>
    <w:rsid w:val="7DDD0F41"/>
    <w:rsid w:val="7F872FA5"/>
    <w:rsid w:val="7FEC5EEF"/>
    <w:rsid w:val="7FFB2C39"/>
    <w:rsid w:val="D7F69393"/>
    <w:rsid w:val="DFFF5A6A"/>
    <w:rsid w:val="EE7FD2A1"/>
    <w:rsid w:val="EFED4563"/>
    <w:rsid w:val="F6EF4030"/>
    <w:rsid w:val="F73F78A1"/>
    <w:rsid w:val="F79D44EF"/>
    <w:rsid w:val="FF3D12B3"/>
    <w:rsid w:val="FFBE03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unhideWhenUsed/>
    <w:qFormat/>
    <w:uiPriority w:val="99"/>
    <w:rPr>
      <w:rFonts w:ascii="宋体" w:hAnsi="Courier New" w:cs="Courier New"/>
      <w:szCs w:val="21"/>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4</TotalTime>
  <ScaleCrop>false</ScaleCrop>
  <LinksUpToDate>false</LinksUpToDate>
  <CharactersWithSpaces>0</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2024-03-01T19:49:00Z</dcterms:created>
  <dc:creator>huawei</dc:creator>
  <cp:lastModifiedBy>lpsffj</cp:lastModifiedBy>
  <cp:lastPrinted>2024-09-20T10:24:00Z</cp:lastPrinted>
  <dcterms:modified xsi:type="dcterms:W3CDTF">2024-09-30T16:17:50Z</dcterms:modified>
  <dc:title>杭州市临平区村（社区）法律顾问绩效评估规则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4B0F4DD3465911AE74ABE266B9864AC8_42</vt:lpwstr>
  </property>
</Properties>
</file>