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099CE">
      <w:pPr>
        <w:keepNext w:val="0"/>
        <w:keepLines w:val="0"/>
        <w:widowControl/>
        <w:suppressLineNumbers w:val="0"/>
        <w:jc w:val="left"/>
        <w:rPr>
          <w:rFonts w:hint="default" w:ascii="浠垮畫_GB2312" w:hAnsi="浠垮畫_GB2312" w:eastAsia="浠垮畫_GB2312" w:cs="浠垮畫_GB2312"/>
          <w:color w:val="000000"/>
          <w:kern w:val="0"/>
          <w:sz w:val="31"/>
          <w:szCs w:val="31"/>
          <w:lang w:val="en-US" w:eastAsia="zh-CN" w:bidi="ar"/>
        </w:rPr>
      </w:pPr>
    </w:p>
    <w:p w14:paraId="5563A348">
      <w:pPr>
        <w:keepNext w:val="0"/>
        <w:keepLines w:val="0"/>
        <w:pageBreakBefore w:val="0"/>
        <w:kinsoku/>
        <w:wordWrap/>
        <w:overflowPunct/>
        <w:topLinePunct w:val="0"/>
        <w:autoSpaceDE/>
        <w:autoSpaceDN/>
        <w:bidi w:val="0"/>
        <w:adjustRightInd w:val="0"/>
        <w:snapToGrid w:val="0"/>
        <w:spacing w:line="480" w:lineRule="exact"/>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val="en-US" w:eastAsia="zh-CN"/>
        </w:rPr>
        <w:t>舟山</w:t>
      </w:r>
      <w:r>
        <w:rPr>
          <w:rFonts w:hint="eastAsia" w:ascii="方正小标宋简体" w:hAnsi="方正小标宋简体" w:eastAsia="方正小标宋简体" w:cs="方正小标宋简体"/>
          <w:b/>
          <w:bCs/>
          <w:color w:val="auto"/>
          <w:sz w:val="44"/>
          <w:szCs w:val="44"/>
        </w:rPr>
        <w:t>市教育管理</w:t>
      </w:r>
      <w:r>
        <w:rPr>
          <w:rFonts w:hint="eastAsia" w:ascii="方正小标宋简体" w:hAnsi="方正小标宋简体" w:eastAsia="方正小标宋简体" w:cs="方正小标宋简体"/>
          <w:b/>
          <w:bCs/>
          <w:color w:val="auto"/>
          <w:sz w:val="44"/>
          <w:szCs w:val="44"/>
          <w:lang w:eastAsia="zh-CN"/>
        </w:rPr>
        <w:t>专业</w:t>
      </w:r>
      <w:r>
        <w:rPr>
          <w:rFonts w:hint="eastAsia" w:ascii="方正小标宋简体" w:hAnsi="方正小标宋简体" w:eastAsia="方正小标宋简体" w:cs="方正小标宋简体"/>
          <w:b/>
          <w:bCs/>
          <w:color w:val="auto"/>
          <w:sz w:val="44"/>
          <w:szCs w:val="44"/>
        </w:rPr>
        <w:t>职称</w:t>
      </w:r>
      <w:r>
        <w:rPr>
          <w:rFonts w:hint="eastAsia" w:ascii="方正小标宋简体" w:hAnsi="方正小标宋简体" w:eastAsia="方正小标宋简体" w:cs="方正小标宋简体"/>
          <w:b/>
          <w:bCs/>
          <w:color w:val="auto"/>
          <w:sz w:val="44"/>
          <w:szCs w:val="44"/>
          <w:lang w:eastAsia="zh-CN"/>
        </w:rPr>
        <w:t>评价条件（试行）</w:t>
      </w:r>
    </w:p>
    <w:p w14:paraId="4462A61C">
      <w:pPr>
        <w:keepNext w:val="0"/>
        <w:keepLines w:val="0"/>
        <w:pageBreakBefore w:val="0"/>
        <w:kinsoku/>
        <w:wordWrap/>
        <w:overflowPunct/>
        <w:topLinePunct w:val="0"/>
        <w:autoSpaceDE/>
        <w:autoSpaceDN/>
        <w:bidi w:val="0"/>
        <w:adjustRightInd w:val="0"/>
        <w:snapToGrid w:val="0"/>
        <w:spacing w:line="480" w:lineRule="exact"/>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（征求意见稿）</w:t>
      </w:r>
    </w:p>
    <w:p w14:paraId="1309052D">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rPr>
      </w:pPr>
    </w:p>
    <w:p w14:paraId="3817F62A">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黑体" w:hAnsi="黑体" w:eastAsia="黑体" w:cs="黑体"/>
          <w:color w:val="auto"/>
          <w:sz w:val="32"/>
          <w:szCs w:val="36"/>
          <w:lang w:val="en-US" w:eastAsia="zh-CN"/>
        </w:rPr>
      </w:pPr>
      <w:r>
        <w:rPr>
          <w:rFonts w:hint="eastAsia" w:ascii="仿宋" w:hAnsi="仿宋" w:eastAsia="仿宋" w:cs="仿宋"/>
          <w:color w:val="auto"/>
          <w:sz w:val="32"/>
          <w:szCs w:val="36"/>
          <w:lang w:val="en-US" w:eastAsia="zh-CN"/>
        </w:rPr>
        <w:t xml:space="preserve">               </w:t>
      </w:r>
      <w:r>
        <w:rPr>
          <w:rFonts w:hint="eastAsia" w:ascii="黑体" w:hAnsi="黑体" w:eastAsia="黑体" w:cs="黑体"/>
          <w:color w:val="auto"/>
          <w:sz w:val="32"/>
          <w:szCs w:val="36"/>
          <w:lang w:val="en-US" w:eastAsia="zh-CN"/>
        </w:rPr>
        <w:t>第一章   总  则</w:t>
      </w:r>
    </w:p>
    <w:p w14:paraId="2FCBB56F">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rPr>
      </w:pPr>
      <w:r>
        <w:rPr>
          <w:rFonts w:hint="eastAsia" w:ascii="仿宋" w:hAnsi="仿宋" w:eastAsia="仿宋" w:cs="仿宋"/>
          <w:b/>
          <w:bCs/>
          <w:color w:val="auto"/>
          <w:sz w:val="32"/>
          <w:szCs w:val="36"/>
          <w:lang w:eastAsia="zh-CN"/>
        </w:rPr>
        <w:t>第一条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rPr>
        <w:t>为加强</w:t>
      </w:r>
      <w:r>
        <w:rPr>
          <w:rFonts w:hint="eastAsia" w:ascii="仿宋" w:hAnsi="仿宋" w:eastAsia="仿宋" w:cs="仿宋"/>
          <w:color w:val="auto"/>
          <w:sz w:val="32"/>
          <w:szCs w:val="36"/>
          <w:lang w:eastAsia="zh-CN"/>
        </w:rPr>
        <w:t>全市教育</w:t>
      </w:r>
      <w:r>
        <w:rPr>
          <w:rFonts w:hint="eastAsia" w:ascii="仿宋" w:hAnsi="仿宋" w:eastAsia="仿宋" w:cs="仿宋"/>
          <w:color w:val="auto"/>
          <w:sz w:val="32"/>
          <w:szCs w:val="36"/>
        </w:rPr>
        <w:t>管理队伍建设</w:t>
      </w:r>
      <w:r>
        <w:rPr>
          <w:rFonts w:hint="eastAsia" w:ascii="仿宋" w:hAnsi="仿宋" w:eastAsia="仿宋" w:cs="仿宋"/>
          <w:color w:val="auto"/>
          <w:sz w:val="32"/>
          <w:szCs w:val="36"/>
          <w:lang w:eastAsia="zh-CN"/>
        </w:rPr>
        <w:t>，</w:t>
      </w:r>
      <w:r>
        <w:rPr>
          <w:rFonts w:hint="eastAsia" w:ascii="仿宋" w:hAnsi="仿宋" w:eastAsia="仿宋" w:cs="仿宋"/>
          <w:color w:val="auto"/>
          <w:sz w:val="32"/>
          <w:szCs w:val="36"/>
        </w:rPr>
        <w:t>拓展</w:t>
      </w:r>
      <w:r>
        <w:rPr>
          <w:rFonts w:hint="eastAsia" w:ascii="仿宋" w:hAnsi="仿宋" w:eastAsia="仿宋" w:cs="仿宋"/>
          <w:color w:val="auto"/>
          <w:sz w:val="32"/>
          <w:szCs w:val="36"/>
          <w:lang w:eastAsia="zh-CN"/>
        </w:rPr>
        <w:t>教育管理</w:t>
      </w:r>
      <w:r>
        <w:rPr>
          <w:rFonts w:hint="eastAsia" w:ascii="仿宋" w:hAnsi="仿宋" w:eastAsia="仿宋" w:cs="仿宋"/>
          <w:color w:val="auto"/>
          <w:sz w:val="32"/>
          <w:szCs w:val="36"/>
        </w:rPr>
        <w:t>专业技术人才职业发展通道，客观公正评价</w:t>
      </w:r>
      <w:r>
        <w:rPr>
          <w:rFonts w:hint="eastAsia" w:ascii="仿宋" w:hAnsi="仿宋" w:eastAsia="仿宋" w:cs="仿宋"/>
          <w:color w:val="auto"/>
          <w:sz w:val="32"/>
          <w:szCs w:val="36"/>
          <w:lang w:eastAsia="zh-CN"/>
        </w:rPr>
        <w:t>教育</w:t>
      </w:r>
      <w:r>
        <w:rPr>
          <w:rFonts w:hint="eastAsia" w:ascii="仿宋" w:hAnsi="仿宋" w:eastAsia="仿宋" w:cs="仿宋"/>
          <w:color w:val="auto"/>
          <w:sz w:val="32"/>
          <w:szCs w:val="36"/>
        </w:rPr>
        <w:t>管理研究人员的能力和水平</w:t>
      </w:r>
      <w:r>
        <w:rPr>
          <w:rFonts w:hint="eastAsia" w:ascii="仿宋" w:hAnsi="仿宋" w:eastAsia="仿宋" w:cs="仿宋"/>
          <w:color w:val="auto"/>
          <w:sz w:val="32"/>
          <w:szCs w:val="36"/>
          <w:lang w:eastAsia="zh-CN"/>
        </w:rPr>
        <w:t>，进一步</w:t>
      </w:r>
      <w:r>
        <w:rPr>
          <w:rFonts w:hint="eastAsia" w:ascii="仿宋" w:hAnsi="仿宋" w:eastAsia="仿宋" w:cs="仿宋"/>
          <w:color w:val="auto"/>
          <w:sz w:val="32"/>
          <w:szCs w:val="36"/>
        </w:rPr>
        <w:t>激发</w:t>
      </w:r>
      <w:r>
        <w:rPr>
          <w:rFonts w:hint="eastAsia" w:ascii="仿宋" w:hAnsi="仿宋" w:eastAsia="仿宋" w:cs="仿宋"/>
          <w:color w:val="auto"/>
          <w:sz w:val="32"/>
          <w:szCs w:val="36"/>
          <w:lang w:eastAsia="zh-CN"/>
        </w:rPr>
        <w:t>教育管理人员干事创业与</w:t>
      </w:r>
      <w:r>
        <w:rPr>
          <w:rFonts w:hint="eastAsia" w:ascii="仿宋" w:hAnsi="仿宋" w:eastAsia="仿宋" w:cs="仿宋"/>
          <w:color w:val="auto"/>
          <w:sz w:val="32"/>
          <w:szCs w:val="36"/>
        </w:rPr>
        <w:t>创新创造活力</w:t>
      </w:r>
      <w:r>
        <w:rPr>
          <w:rFonts w:hint="eastAsia" w:ascii="仿宋" w:hAnsi="仿宋" w:eastAsia="仿宋" w:cs="仿宋"/>
          <w:color w:val="auto"/>
          <w:sz w:val="32"/>
          <w:szCs w:val="36"/>
          <w:lang w:eastAsia="zh-CN"/>
        </w:rPr>
        <w:t>，</w:t>
      </w:r>
      <w:r>
        <w:rPr>
          <w:rFonts w:hint="eastAsia" w:ascii="仿宋" w:hAnsi="仿宋" w:eastAsia="仿宋" w:cs="仿宋"/>
          <w:color w:val="auto"/>
          <w:sz w:val="32"/>
          <w:szCs w:val="36"/>
        </w:rPr>
        <w:t>根据中共中央、国务院《深化新时代教育评价改革总体方案》</w:t>
      </w:r>
      <w:r>
        <w:rPr>
          <w:rFonts w:hint="eastAsia" w:ascii="仿宋" w:hAnsi="仿宋" w:eastAsia="仿宋" w:cs="仿宋"/>
          <w:color w:val="auto"/>
          <w:sz w:val="32"/>
          <w:szCs w:val="36"/>
          <w:lang w:eastAsia="zh-CN"/>
        </w:rPr>
        <w:t>和</w:t>
      </w:r>
      <w:r>
        <w:rPr>
          <w:rFonts w:hint="eastAsia" w:ascii="仿宋" w:hAnsi="仿宋" w:eastAsia="仿宋" w:cs="仿宋"/>
          <w:color w:val="auto"/>
          <w:sz w:val="32"/>
          <w:szCs w:val="36"/>
        </w:rPr>
        <w:t>省委办公厅、省政府办公厅《关于深化职称制度改革的实施意见》等文件</w:t>
      </w:r>
      <w:r>
        <w:rPr>
          <w:rFonts w:hint="eastAsia" w:ascii="仿宋" w:hAnsi="仿宋" w:eastAsia="仿宋" w:cs="仿宋"/>
          <w:color w:val="auto"/>
          <w:sz w:val="32"/>
          <w:szCs w:val="36"/>
          <w:lang w:eastAsia="zh-CN"/>
        </w:rPr>
        <w:t>精神，</w:t>
      </w:r>
      <w:r>
        <w:rPr>
          <w:rFonts w:hint="eastAsia" w:ascii="仿宋" w:hAnsi="仿宋" w:eastAsia="仿宋" w:cs="仿宋"/>
          <w:color w:val="auto"/>
          <w:sz w:val="32"/>
          <w:szCs w:val="36"/>
        </w:rPr>
        <w:t>结合</w:t>
      </w:r>
      <w:r>
        <w:rPr>
          <w:rFonts w:hint="eastAsia" w:ascii="仿宋" w:hAnsi="仿宋" w:eastAsia="仿宋" w:cs="仿宋"/>
          <w:color w:val="auto"/>
          <w:sz w:val="32"/>
          <w:szCs w:val="36"/>
          <w:lang w:eastAsia="zh-CN"/>
        </w:rPr>
        <w:t>我市实际，制定本评价条件</w:t>
      </w:r>
      <w:r>
        <w:rPr>
          <w:rFonts w:hint="eastAsia" w:ascii="仿宋" w:hAnsi="仿宋" w:eastAsia="仿宋" w:cs="仿宋"/>
          <w:color w:val="auto"/>
          <w:sz w:val="32"/>
          <w:szCs w:val="36"/>
        </w:rPr>
        <w:t>。</w:t>
      </w:r>
    </w:p>
    <w:p w14:paraId="67312EAB">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rPr>
      </w:pPr>
      <w:r>
        <w:rPr>
          <w:rFonts w:hint="eastAsia" w:ascii="仿宋" w:hAnsi="仿宋" w:eastAsia="仿宋" w:cs="仿宋"/>
          <w:b/>
          <w:bCs/>
          <w:color w:val="auto"/>
          <w:sz w:val="32"/>
          <w:szCs w:val="36"/>
          <w:lang w:eastAsia="zh-CN"/>
        </w:rPr>
        <w:t>第二</w:t>
      </w:r>
      <w:r>
        <w:rPr>
          <w:rFonts w:hint="eastAsia" w:ascii="仿宋" w:hAnsi="仿宋" w:eastAsia="仿宋" w:cs="仿宋"/>
          <w:b/>
          <w:bCs/>
          <w:color w:val="auto"/>
          <w:sz w:val="30"/>
          <w:szCs w:val="30"/>
          <w:lang w:eastAsia="zh-CN"/>
        </w:rPr>
        <w:t>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rPr>
        <w:t>教育管理专业职称属于社会科学研究职称系列，本办法设置副研究员、助理研究员和研究实习员，其中副研究员为副高级，助理研究员为中级，研究实习员为助理级。</w:t>
      </w:r>
    </w:p>
    <w:p w14:paraId="606DD3DF">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eastAsia="zh-CN"/>
        </w:rPr>
      </w:pPr>
      <w:r>
        <w:rPr>
          <w:rFonts w:hint="eastAsia" w:ascii="仿宋" w:hAnsi="仿宋" w:eastAsia="仿宋" w:cs="仿宋"/>
          <w:b/>
          <w:bCs/>
          <w:color w:val="auto"/>
          <w:sz w:val="32"/>
          <w:szCs w:val="36"/>
          <w:lang w:eastAsia="zh-CN"/>
        </w:rPr>
        <w:t>第三条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rPr>
        <w:t>本</w:t>
      </w:r>
      <w:r>
        <w:rPr>
          <w:rFonts w:hint="eastAsia" w:ascii="仿宋" w:hAnsi="仿宋" w:eastAsia="仿宋" w:cs="仿宋"/>
          <w:color w:val="auto"/>
          <w:sz w:val="32"/>
          <w:szCs w:val="36"/>
          <w:lang w:eastAsia="zh-CN"/>
        </w:rPr>
        <w:t>评价条件用于指导我</w:t>
      </w:r>
      <w:r>
        <w:rPr>
          <w:rFonts w:hint="eastAsia" w:ascii="仿宋" w:hAnsi="仿宋" w:eastAsia="仿宋" w:cs="仿宋"/>
          <w:color w:val="auto"/>
          <w:sz w:val="32"/>
          <w:szCs w:val="36"/>
        </w:rPr>
        <w:t>市企事业单位、非公有制经济组织、社会组织中从事中小学（幼儿园）教育教学、科学研究等方面的规划、计划评估及师资规划、培训、管理等工作的在职在岗专业技术</w:t>
      </w:r>
      <w:r>
        <w:rPr>
          <w:rFonts w:hint="eastAsia" w:ascii="仿宋" w:hAnsi="仿宋" w:eastAsia="仿宋" w:cs="仿宋"/>
          <w:color w:val="auto"/>
          <w:sz w:val="32"/>
          <w:szCs w:val="36"/>
          <w:lang w:eastAsia="zh-CN"/>
        </w:rPr>
        <w:t>人员申报教育管理研究实习员、</w:t>
      </w:r>
      <w:r>
        <w:rPr>
          <w:rFonts w:hint="eastAsia" w:ascii="仿宋" w:hAnsi="仿宋" w:eastAsia="仿宋" w:cs="仿宋"/>
          <w:color w:val="auto"/>
          <w:sz w:val="32"/>
          <w:szCs w:val="36"/>
        </w:rPr>
        <w:t>助理研究员</w:t>
      </w:r>
      <w:r>
        <w:rPr>
          <w:rFonts w:hint="eastAsia" w:ascii="仿宋" w:hAnsi="仿宋" w:eastAsia="仿宋" w:cs="仿宋"/>
          <w:color w:val="auto"/>
          <w:sz w:val="32"/>
          <w:szCs w:val="36"/>
          <w:lang w:eastAsia="zh-CN"/>
        </w:rPr>
        <w:t>、</w:t>
      </w:r>
      <w:r>
        <w:rPr>
          <w:rFonts w:hint="eastAsia" w:ascii="仿宋" w:hAnsi="仿宋" w:eastAsia="仿宋" w:cs="仿宋"/>
          <w:color w:val="auto"/>
          <w:sz w:val="32"/>
          <w:szCs w:val="36"/>
        </w:rPr>
        <w:t>副研究员</w:t>
      </w:r>
      <w:r>
        <w:rPr>
          <w:rFonts w:hint="eastAsia" w:ascii="仿宋" w:hAnsi="仿宋" w:eastAsia="仿宋" w:cs="仿宋"/>
          <w:color w:val="auto"/>
          <w:sz w:val="32"/>
          <w:szCs w:val="36"/>
          <w:lang w:eastAsia="zh-CN"/>
        </w:rPr>
        <w:t>职务任职资格的评价。</w:t>
      </w:r>
    </w:p>
    <w:p w14:paraId="786F737C">
      <w:pPr>
        <w:keepNext w:val="0"/>
        <w:keepLines w:val="0"/>
        <w:pageBreakBefore w:val="0"/>
        <w:kinsoku/>
        <w:wordWrap/>
        <w:overflowPunct/>
        <w:topLinePunct w:val="0"/>
        <w:autoSpaceDE/>
        <w:autoSpaceDN/>
        <w:bidi w:val="0"/>
        <w:adjustRightInd w:val="0"/>
        <w:snapToGrid w:val="0"/>
        <w:spacing w:line="480" w:lineRule="exact"/>
        <w:ind w:left="0" w:right="0" w:firstLine="3200" w:firstLineChars="10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第二章   总体要求</w:t>
      </w:r>
    </w:p>
    <w:p w14:paraId="315855DC">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rPr>
      </w:pPr>
      <w:r>
        <w:rPr>
          <w:rFonts w:hint="eastAsia" w:ascii="仿宋" w:hAnsi="仿宋" w:eastAsia="仿宋" w:cs="仿宋"/>
          <w:b/>
          <w:bCs/>
          <w:color w:val="auto"/>
          <w:sz w:val="32"/>
          <w:szCs w:val="36"/>
          <w:lang w:eastAsia="zh-CN"/>
        </w:rPr>
        <w:t>第四条</w:t>
      </w:r>
      <w:r>
        <w:rPr>
          <w:rFonts w:hint="eastAsia" w:ascii="仿宋" w:hAnsi="仿宋" w:eastAsia="仿宋" w:cs="仿宋"/>
          <w:color w:val="auto"/>
          <w:sz w:val="32"/>
          <w:szCs w:val="36"/>
          <w:lang w:val="en-US" w:eastAsia="zh-CN"/>
        </w:rPr>
        <w:t xml:space="preserve">  本</w:t>
      </w:r>
      <w:r>
        <w:rPr>
          <w:rFonts w:hint="eastAsia" w:ascii="仿宋" w:hAnsi="仿宋" w:eastAsia="仿宋" w:cs="仿宋"/>
          <w:color w:val="auto"/>
          <w:sz w:val="32"/>
          <w:szCs w:val="36"/>
          <w:lang w:eastAsia="zh-CN"/>
        </w:rPr>
        <w:t>评价条件的指导思想：</w:t>
      </w:r>
      <w:r>
        <w:rPr>
          <w:rFonts w:hint="eastAsia" w:ascii="仿宋" w:hAnsi="仿宋" w:eastAsia="仿宋" w:cs="仿宋"/>
          <w:color w:val="auto"/>
          <w:sz w:val="32"/>
          <w:szCs w:val="36"/>
        </w:rPr>
        <w:t>以习近平新时代中国特色社会主义思想为指导，按照深化职称制度改革和教育评价改革的方向和总体要求，坚持立德树人，牢记育人使命，遵循教育事业管理研究人员发展和成长规律，破立并举，建立符合教育管理研究人才职业特点的职称制度，提高职称评价的科学性、专业性、客观性，为推动教育事业发展提供制度保障和人才支持。</w:t>
      </w:r>
    </w:p>
    <w:p w14:paraId="79B9E501">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rPr>
      </w:pPr>
      <w:r>
        <w:rPr>
          <w:rFonts w:hint="eastAsia" w:ascii="仿宋" w:hAnsi="仿宋" w:eastAsia="仿宋" w:cs="仿宋"/>
          <w:b/>
          <w:bCs/>
          <w:color w:val="auto"/>
          <w:sz w:val="32"/>
          <w:szCs w:val="36"/>
          <w:lang w:eastAsia="zh-CN"/>
        </w:rPr>
        <w:t>第五条</w:t>
      </w:r>
      <w:r>
        <w:rPr>
          <w:rFonts w:hint="eastAsia" w:ascii="仿宋" w:hAnsi="仿宋" w:eastAsia="仿宋" w:cs="仿宋"/>
          <w:color w:val="auto"/>
          <w:sz w:val="32"/>
          <w:szCs w:val="36"/>
          <w:lang w:val="en-US" w:eastAsia="zh-CN"/>
        </w:rPr>
        <w:t xml:space="preserve">  本</w:t>
      </w:r>
      <w:r>
        <w:rPr>
          <w:rFonts w:hint="eastAsia" w:ascii="仿宋" w:hAnsi="仿宋" w:eastAsia="仿宋" w:cs="仿宋"/>
          <w:color w:val="auto"/>
          <w:sz w:val="32"/>
          <w:szCs w:val="36"/>
          <w:lang w:eastAsia="zh-CN"/>
        </w:rPr>
        <w:t>评价条件需遵循的基本原则：一是坚持服务发展。围绕教育事业改革发展和教育事业管理研究人才队伍建设需求，发挥职称评价导向作用。二是坚持</w:t>
      </w:r>
      <w:r>
        <w:rPr>
          <w:rFonts w:hint="eastAsia" w:ascii="仿宋" w:hAnsi="仿宋" w:eastAsia="仿宋" w:cs="仿宋"/>
          <w:color w:val="auto"/>
          <w:sz w:val="32"/>
          <w:szCs w:val="36"/>
          <w:lang w:val="en-US" w:eastAsia="zh-CN"/>
        </w:rPr>
        <w:t>以用为本。</w:t>
      </w:r>
      <w:r>
        <w:rPr>
          <w:rFonts w:hint="eastAsia" w:ascii="仿宋" w:hAnsi="仿宋" w:eastAsia="仿宋" w:cs="仿宋"/>
          <w:color w:val="auto"/>
          <w:sz w:val="32"/>
          <w:szCs w:val="36"/>
          <w:lang w:eastAsia="zh-CN"/>
        </w:rPr>
        <w:t>教育事业管理研究人员应在胜任管理工作的同时并能开展研究</w:t>
      </w:r>
      <w:r>
        <w:rPr>
          <w:rFonts w:hint="eastAsia" w:ascii="仿宋" w:hAnsi="仿宋" w:eastAsia="仿宋" w:cs="仿宋"/>
          <w:color w:val="auto"/>
          <w:sz w:val="32"/>
          <w:szCs w:val="36"/>
        </w:rPr>
        <w:t>工作</w:t>
      </w:r>
      <w:r>
        <w:rPr>
          <w:rFonts w:hint="eastAsia" w:ascii="仿宋" w:hAnsi="仿宋" w:eastAsia="仿宋" w:cs="仿宋"/>
          <w:color w:val="auto"/>
          <w:sz w:val="32"/>
          <w:szCs w:val="36"/>
          <w:lang w:eastAsia="zh-CN"/>
        </w:rPr>
        <w:t>，所从事的研究领域应与所承担的岗位工作经历一致，通过以用促评、评用结合，促进研究成果反哺教育事业管理。三是</w:t>
      </w:r>
      <w:r>
        <w:rPr>
          <w:rFonts w:hint="eastAsia" w:ascii="仿宋" w:hAnsi="仿宋" w:eastAsia="仿宋" w:cs="仿宋"/>
          <w:color w:val="auto"/>
          <w:sz w:val="32"/>
          <w:szCs w:val="36"/>
          <w:lang w:val="en-US" w:eastAsia="zh-CN"/>
        </w:rPr>
        <w:t>坚持分类评价。</w:t>
      </w:r>
      <w:r>
        <w:rPr>
          <w:rFonts w:hint="eastAsia" w:ascii="仿宋" w:hAnsi="仿宋" w:eastAsia="仿宋" w:cs="仿宋"/>
          <w:color w:val="auto"/>
          <w:sz w:val="32"/>
          <w:szCs w:val="36"/>
          <w:lang w:eastAsia="zh-CN"/>
        </w:rPr>
        <w:t>针对不同主体，实施分类评价，突出教育管理研究工作实绩，促进教育事业管理研究人员职业发展。</w:t>
      </w:r>
    </w:p>
    <w:p w14:paraId="1EF58ADC">
      <w:pPr>
        <w:keepNext w:val="0"/>
        <w:keepLines w:val="0"/>
        <w:pageBreakBefore w:val="0"/>
        <w:kinsoku/>
        <w:wordWrap/>
        <w:overflowPunct/>
        <w:topLinePunct w:val="0"/>
        <w:autoSpaceDE/>
        <w:autoSpaceDN/>
        <w:bidi w:val="0"/>
        <w:adjustRightInd w:val="0"/>
        <w:snapToGrid w:val="0"/>
        <w:spacing w:line="480" w:lineRule="exact"/>
        <w:ind w:left="0" w:right="0" w:firstLine="2880" w:firstLineChars="9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第三章   评审机构</w:t>
      </w:r>
    </w:p>
    <w:p w14:paraId="761C4DF2">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eastAsia="zh-CN"/>
        </w:rPr>
      </w:pPr>
      <w:r>
        <w:rPr>
          <w:rFonts w:hint="eastAsia" w:ascii="仿宋" w:hAnsi="仿宋" w:eastAsia="仿宋" w:cs="仿宋"/>
          <w:b/>
          <w:bCs/>
          <w:color w:val="auto"/>
          <w:sz w:val="32"/>
          <w:szCs w:val="36"/>
          <w:lang w:eastAsia="zh-CN"/>
        </w:rPr>
        <w:t>第六条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rPr>
        <w:t>舟山市中小学（幼儿园）、中等职业学校教师高级职务任职资格评审委员会</w:t>
      </w:r>
      <w:r>
        <w:rPr>
          <w:rFonts w:hint="eastAsia" w:ascii="仿宋" w:hAnsi="仿宋" w:eastAsia="仿宋" w:cs="仿宋"/>
          <w:color w:val="auto"/>
          <w:sz w:val="32"/>
          <w:szCs w:val="36"/>
          <w:lang w:eastAsia="zh-CN"/>
        </w:rPr>
        <w:t>负责教育管理专业副研究员职称评审，</w:t>
      </w:r>
      <w:r>
        <w:rPr>
          <w:rFonts w:hint="eastAsia" w:ascii="仿宋" w:hAnsi="仿宋" w:eastAsia="仿宋" w:cs="仿宋"/>
          <w:color w:val="auto"/>
          <w:sz w:val="32"/>
          <w:szCs w:val="36"/>
        </w:rPr>
        <w:t>舟山市中小学（幼儿园）、中等职业学校教师中级职务任职资格评审委员会</w:t>
      </w:r>
      <w:r>
        <w:rPr>
          <w:rFonts w:hint="eastAsia" w:ascii="仿宋" w:hAnsi="仿宋" w:eastAsia="仿宋" w:cs="仿宋"/>
          <w:color w:val="auto"/>
          <w:sz w:val="32"/>
          <w:szCs w:val="36"/>
          <w:lang w:eastAsia="zh-CN"/>
        </w:rPr>
        <w:t>负责助理研究员、研究实习员职称评审。</w:t>
      </w:r>
    </w:p>
    <w:p w14:paraId="52FA801D">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eastAsia="zh-CN"/>
        </w:rPr>
      </w:pPr>
      <w:r>
        <w:rPr>
          <w:rFonts w:hint="eastAsia" w:ascii="仿宋" w:hAnsi="仿宋" w:eastAsia="仿宋" w:cs="仿宋"/>
          <w:b/>
          <w:bCs/>
          <w:color w:val="auto"/>
          <w:sz w:val="32"/>
          <w:szCs w:val="36"/>
          <w:lang w:eastAsia="zh-CN"/>
        </w:rPr>
        <w:t>第七条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lang w:eastAsia="zh-CN"/>
        </w:rPr>
        <w:t>评审委员会办公室设在舟山市教育局</w:t>
      </w:r>
      <w:r>
        <w:rPr>
          <w:rFonts w:hint="eastAsia" w:ascii="仿宋" w:hAnsi="仿宋" w:eastAsia="仿宋" w:cs="仿宋"/>
          <w:color w:val="auto"/>
          <w:sz w:val="32"/>
          <w:szCs w:val="36"/>
        </w:rPr>
        <w:t>组织人事处</w:t>
      </w:r>
      <w:r>
        <w:rPr>
          <w:rFonts w:hint="eastAsia" w:ascii="仿宋" w:hAnsi="仿宋" w:eastAsia="仿宋" w:cs="仿宋"/>
          <w:color w:val="auto"/>
          <w:sz w:val="32"/>
          <w:szCs w:val="36"/>
          <w:lang w:eastAsia="zh-CN"/>
        </w:rPr>
        <w:t>，负责评审日常事务。评审委员会专家库组建及专家抽取按相关规定执行。</w:t>
      </w:r>
    </w:p>
    <w:p w14:paraId="69588A89">
      <w:pPr>
        <w:keepNext w:val="0"/>
        <w:keepLines w:val="0"/>
        <w:pageBreakBefore w:val="0"/>
        <w:kinsoku/>
        <w:wordWrap/>
        <w:overflowPunct/>
        <w:topLinePunct w:val="0"/>
        <w:autoSpaceDE/>
        <w:autoSpaceDN/>
        <w:bidi w:val="0"/>
        <w:adjustRightInd w:val="0"/>
        <w:snapToGrid w:val="0"/>
        <w:spacing w:line="480" w:lineRule="exact"/>
        <w:ind w:left="0" w:right="0" w:firstLine="2880" w:firstLineChars="9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第四章   申报条件</w:t>
      </w:r>
    </w:p>
    <w:p w14:paraId="5A2180EB">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eastAsia="zh-CN"/>
        </w:rPr>
      </w:pPr>
      <w:r>
        <w:rPr>
          <w:rFonts w:hint="eastAsia" w:ascii="仿宋" w:hAnsi="仿宋" w:eastAsia="仿宋" w:cs="仿宋"/>
          <w:b/>
          <w:bCs/>
          <w:color w:val="auto"/>
          <w:sz w:val="32"/>
          <w:szCs w:val="36"/>
          <w:lang w:eastAsia="zh-CN"/>
        </w:rPr>
        <w:t>第八条</w:t>
      </w:r>
      <w:r>
        <w:rPr>
          <w:rFonts w:hint="eastAsia" w:ascii="仿宋" w:hAnsi="仿宋" w:eastAsia="仿宋" w:cs="仿宋"/>
          <w:color w:val="auto"/>
          <w:sz w:val="32"/>
          <w:szCs w:val="36"/>
          <w:lang w:val="en-US" w:eastAsia="zh-CN"/>
        </w:rPr>
        <w:t xml:space="preserve">  </w:t>
      </w:r>
      <w:r>
        <w:rPr>
          <w:rFonts w:hint="eastAsia" w:ascii="仿宋" w:hAnsi="仿宋" w:eastAsia="仿宋" w:cs="仿宋"/>
          <w:color w:val="auto"/>
          <w:sz w:val="32"/>
          <w:szCs w:val="36"/>
          <w:lang w:eastAsia="zh-CN"/>
        </w:rPr>
        <w:t>基本条件</w:t>
      </w:r>
    </w:p>
    <w:p w14:paraId="1931ABDB">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eastAsia="zh-CN"/>
        </w:rPr>
      </w:pPr>
      <w:r>
        <w:rPr>
          <w:rFonts w:hint="eastAsia" w:ascii="仿宋" w:hAnsi="仿宋" w:eastAsia="仿宋" w:cs="仿宋"/>
          <w:color w:val="auto"/>
          <w:sz w:val="32"/>
          <w:szCs w:val="36"/>
          <w:lang w:eastAsia="zh-CN"/>
        </w:rPr>
        <w:t>以习近平新时代中国特色社会主义思想为指导，以习近平总书记在全国教育大会上的重要讲话精神为遵循，坚持教育事业管理研究的正确方向，</w:t>
      </w:r>
      <w:r>
        <w:rPr>
          <w:rFonts w:hint="eastAsia" w:ascii="仿宋" w:hAnsi="仿宋" w:eastAsia="仿宋" w:cs="仿宋"/>
          <w:color w:val="auto"/>
          <w:sz w:val="32"/>
          <w:szCs w:val="36"/>
        </w:rPr>
        <w:t>拥护</w:t>
      </w:r>
      <w:r>
        <w:rPr>
          <w:rFonts w:hint="eastAsia" w:ascii="仿宋" w:hAnsi="仿宋" w:eastAsia="仿宋" w:cs="仿宋"/>
          <w:color w:val="auto"/>
          <w:sz w:val="32"/>
          <w:szCs w:val="36"/>
          <w:lang w:eastAsia="zh-CN"/>
        </w:rPr>
        <w:t>党的基本理论、基本路线和基本方略，遵守宪法和法律法规，</w:t>
      </w:r>
      <w:r>
        <w:rPr>
          <w:rFonts w:hint="eastAsia" w:ascii="仿宋" w:hAnsi="仿宋" w:eastAsia="仿宋" w:cs="仿宋"/>
          <w:color w:val="auto"/>
          <w:sz w:val="32"/>
          <w:szCs w:val="36"/>
        </w:rPr>
        <w:t>认真履行岗位职责</w:t>
      </w:r>
      <w:r>
        <w:rPr>
          <w:rFonts w:hint="eastAsia" w:ascii="仿宋" w:hAnsi="仿宋" w:eastAsia="仿宋" w:cs="仿宋"/>
          <w:color w:val="auto"/>
          <w:sz w:val="32"/>
          <w:szCs w:val="36"/>
          <w:lang w:eastAsia="zh-CN"/>
        </w:rPr>
        <w:t>，</w:t>
      </w:r>
      <w:r>
        <w:rPr>
          <w:rFonts w:hint="eastAsia" w:ascii="仿宋" w:hAnsi="仿宋" w:eastAsia="仿宋" w:cs="仿宋"/>
          <w:color w:val="auto"/>
          <w:sz w:val="32"/>
          <w:szCs w:val="36"/>
        </w:rPr>
        <w:t>具有良好的职业道德、职业操守和敬业精神。</w:t>
      </w:r>
      <w:r>
        <w:rPr>
          <w:rFonts w:hint="eastAsia" w:ascii="仿宋" w:hAnsi="仿宋" w:eastAsia="仿宋" w:cs="仿宋"/>
          <w:color w:val="auto"/>
          <w:sz w:val="32"/>
          <w:szCs w:val="36"/>
          <w:lang w:eastAsia="zh-CN"/>
        </w:rPr>
        <w:t>坚持实事求是、严谨治学，具备教育管理研究所需的专业知识、专业技能及语言能力，能较好承担各项教育事业管理研究任务。</w:t>
      </w:r>
    </w:p>
    <w:p w14:paraId="1ADF09BC">
      <w:pPr>
        <w:keepNext w:val="0"/>
        <w:keepLines w:val="0"/>
        <w:pageBreakBefore w:val="0"/>
        <w:kinsoku/>
        <w:wordWrap/>
        <w:overflowPunct/>
        <w:topLinePunct w:val="0"/>
        <w:autoSpaceDE/>
        <w:autoSpaceDN/>
        <w:bidi w:val="0"/>
        <w:adjustRightInd w:val="0"/>
        <w:snapToGrid w:val="0"/>
        <w:spacing w:line="480" w:lineRule="exact"/>
        <w:ind w:left="0" w:right="0" w:firstLine="643" w:firstLineChars="200"/>
        <w:textAlignment w:val="auto"/>
        <w:rPr>
          <w:rFonts w:hint="eastAsia" w:ascii="方正楷体_GB2312" w:hAnsi="方正楷体_GB2312" w:eastAsia="方正楷体_GB2312" w:cs="方正楷体_GB2312"/>
          <w:b/>
          <w:bCs/>
          <w:color w:val="auto"/>
          <w:sz w:val="32"/>
          <w:szCs w:val="36"/>
          <w:lang w:eastAsia="zh-CN"/>
        </w:rPr>
      </w:pPr>
      <w:r>
        <w:rPr>
          <w:rFonts w:hint="eastAsia" w:ascii="仿宋" w:hAnsi="仿宋" w:eastAsia="仿宋" w:cs="仿宋"/>
          <w:b/>
          <w:bCs/>
          <w:color w:val="auto"/>
          <w:sz w:val="32"/>
          <w:szCs w:val="36"/>
          <w:lang w:eastAsia="zh-CN"/>
        </w:rPr>
        <w:t>第九条</w:t>
      </w:r>
      <w:r>
        <w:rPr>
          <w:rFonts w:hint="eastAsia" w:ascii="仿宋" w:hAnsi="仿宋" w:eastAsia="仿宋" w:cs="仿宋"/>
          <w:b/>
          <w:bCs/>
          <w:color w:val="auto"/>
          <w:sz w:val="32"/>
          <w:szCs w:val="36"/>
          <w:lang w:val="en-US" w:eastAsia="zh-CN"/>
        </w:rPr>
        <w:t xml:space="preserve">  </w:t>
      </w:r>
      <w:r>
        <w:rPr>
          <w:rFonts w:hint="eastAsia" w:ascii="仿宋" w:hAnsi="仿宋" w:eastAsia="仿宋" w:cs="仿宋"/>
          <w:color w:val="auto"/>
          <w:sz w:val="32"/>
          <w:szCs w:val="36"/>
          <w:lang w:eastAsia="zh-CN"/>
        </w:rPr>
        <w:t>学历、资历条件</w:t>
      </w:r>
    </w:p>
    <w:p w14:paraId="0A086C11">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（一）符合下列条件之一者，可申报助理研究员职务任职资格：</w:t>
      </w:r>
    </w:p>
    <w:p w14:paraId="2D11E6B1">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rPr>
      </w:pPr>
      <w:r>
        <w:rPr>
          <w:rFonts w:hint="eastAsia" w:ascii="仿宋" w:hAnsi="仿宋" w:eastAsia="仿宋" w:cs="仿宋"/>
          <w:color w:val="auto"/>
          <w:sz w:val="32"/>
          <w:szCs w:val="36"/>
          <w:lang w:val="en-US" w:eastAsia="zh-CN"/>
        </w:rPr>
        <w:t>1.</w:t>
      </w:r>
      <w:r>
        <w:rPr>
          <w:rFonts w:hint="default" w:ascii="仿宋" w:hAnsi="仿宋" w:eastAsia="仿宋" w:cs="仿宋"/>
          <w:color w:val="auto"/>
          <w:sz w:val="32"/>
          <w:szCs w:val="36"/>
        </w:rPr>
        <w:t>具有大学本科学历或学士学位，取得研究实习员</w:t>
      </w:r>
      <w:r>
        <w:rPr>
          <w:rFonts w:hint="eastAsia" w:ascii="仿宋" w:hAnsi="仿宋" w:eastAsia="仿宋" w:cs="仿宋"/>
          <w:color w:val="auto"/>
          <w:sz w:val="32"/>
          <w:szCs w:val="36"/>
          <w:lang w:eastAsia="zh-CN"/>
        </w:rPr>
        <w:t>（二级教师、助理讲师）</w:t>
      </w:r>
      <w:r>
        <w:rPr>
          <w:rFonts w:hint="default" w:ascii="仿宋" w:hAnsi="仿宋" w:eastAsia="仿宋" w:cs="仿宋"/>
          <w:color w:val="auto"/>
          <w:sz w:val="32"/>
          <w:szCs w:val="36"/>
        </w:rPr>
        <w:t>后，从事</w:t>
      </w:r>
      <w:r>
        <w:rPr>
          <w:rFonts w:hint="eastAsia" w:ascii="仿宋" w:hAnsi="仿宋" w:eastAsia="仿宋" w:cs="仿宋"/>
          <w:color w:val="auto"/>
          <w:sz w:val="32"/>
          <w:szCs w:val="36"/>
          <w:lang w:eastAsia="zh-CN"/>
        </w:rPr>
        <w:t>教育管理</w:t>
      </w:r>
      <w:r>
        <w:rPr>
          <w:rFonts w:hint="default" w:ascii="仿宋" w:hAnsi="仿宋" w:eastAsia="仿宋" w:cs="仿宋"/>
          <w:color w:val="auto"/>
          <w:sz w:val="32"/>
          <w:szCs w:val="36"/>
        </w:rPr>
        <w:t>工作满 4 年</w:t>
      </w:r>
      <w:r>
        <w:rPr>
          <w:rFonts w:hint="eastAsia" w:ascii="仿宋" w:hAnsi="仿宋" w:eastAsia="仿宋" w:cs="仿宋"/>
          <w:color w:val="auto"/>
          <w:sz w:val="32"/>
          <w:szCs w:val="36"/>
          <w:lang w:eastAsia="zh-CN"/>
        </w:rPr>
        <w:t>；</w:t>
      </w:r>
    </w:p>
    <w:p w14:paraId="511E61A3">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color w:val="auto"/>
          <w:sz w:val="32"/>
          <w:szCs w:val="36"/>
        </w:rPr>
      </w:pPr>
      <w:r>
        <w:rPr>
          <w:rFonts w:hint="eastAsia" w:ascii="仿宋" w:hAnsi="仿宋" w:eastAsia="仿宋" w:cs="仿宋"/>
          <w:color w:val="auto"/>
          <w:sz w:val="32"/>
          <w:szCs w:val="36"/>
          <w:lang w:val="en-US" w:eastAsia="zh-CN"/>
        </w:rPr>
        <w:t>2.</w:t>
      </w:r>
      <w:r>
        <w:rPr>
          <w:rFonts w:hint="default" w:ascii="仿宋" w:hAnsi="仿宋" w:eastAsia="仿宋" w:cs="仿宋"/>
          <w:color w:val="auto"/>
          <w:sz w:val="32"/>
          <w:szCs w:val="36"/>
        </w:rPr>
        <w:t>具有硕士研究生学历或硕士学位，取得研究实习员</w:t>
      </w:r>
      <w:r>
        <w:rPr>
          <w:rFonts w:hint="eastAsia" w:ascii="仿宋" w:hAnsi="仿宋" w:eastAsia="仿宋" w:cs="仿宋"/>
          <w:color w:val="auto"/>
          <w:sz w:val="32"/>
          <w:szCs w:val="36"/>
          <w:lang w:eastAsia="zh-CN"/>
        </w:rPr>
        <w:t>（二级教师、助理讲师）</w:t>
      </w:r>
      <w:r>
        <w:rPr>
          <w:rFonts w:hint="default" w:ascii="仿宋" w:hAnsi="仿宋" w:eastAsia="仿宋" w:cs="仿宋"/>
          <w:color w:val="auto"/>
          <w:sz w:val="32"/>
          <w:szCs w:val="36"/>
        </w:rPr>
        <w:t>后，从事</w:t>
      </w:r>
      <w:r>
        <w:rPr>
          <w:rFonts w:hint="eastAsia" w:ascii="仿宋" w:hAnsi="仿宋" w:eastAsia="仿宋" w:cs="仿宋"/>
          <w:color w:val="auto"/>
          <w:sz w:val="32"/>
          <w:szCs w:val="36"/>
          <w:lang w:eastAsia="zh-CN"/>
        </w:rPr>
        <w:t>教育管理</w:t>
      </w:r>
      <w:r>
        <w:rPr>
          <w:rFonts w:hint="default" w:ascii="仿宋" w:hAnsi="仿宋" w:eastAsia="仿宋" w:cs="仿宋"/>
          <w:color w:val="auto"/>
          <w:sz w:val="32"/>
          <w:szCs w:val="36"/>
        </w:rPr>
        <w:t xml:space="preserve">工作满 </w:t>
      </w:r>
      <w:r>
        <w:rPr>
          <w:rFonts w:hint="eastAsia" w:ascii="仿宋" w:hAnsi="仿宋" w:eastAsia="仿宋" w:cs="仿宋"/>
          <w:color w:val="auto"/>
          <w:sz w:val="32"/>
          <w:szCs w:val="36"/>
          <w:lang w:val="en-US" w:eastAsia="zh-CN"/>
        </w:rPr>
        <w:t>2</w:t>
      </w:r>
      <w:r>
        <w:rPr>
          <w:rFonts w:hint="default" w:ascii="仿宋" w:hAnsi="仿宋" w:eastAsia="仿宋" w:cs="仿宋"/>
          <w:color w:val="auto"/>
          <w:sz w:val="32"/>
          <w:szCs w:val="36"/>
        </w:rPr>
        <w:t>年；</w:t>
      </w:r>
    </w:p>
    <w:p w14:paraId="18DFC4AC">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rPr>
      </w:pPr>
      <w:r>
        <w:rPr>
          <w:rFonts w:hint="eastAsia" w:ascii="仿宋" w:hAnsi="仿宋" w:eastAsia="仿宋" w:cs="仿宋"/>
          <w:color w:val="auto"/>
          <w:sz w:val="32"/>
          <w:szCs w:val="36"/>
          <w:lang w:val="en-US" w:eastAsia="zh-CN"/>
        </w:rPr>
        <w:t>（二）</w:t>
      </w:r>
      <w:r>
        <w:rPr>
          <w:rFonts w:hint="eastAsia" w:ascii="仿宋" w:hAnsi="仿宋" w:eastAsia="仿宋" w:cs="仿宋"/>
          <w:color w:val="auto"/>
          <w:sz w:val="32"/>
          <w:szCs w:val="36"/>
        </w:rPr>
        <w:t>符合下列条件之一者，可申报副研究员职务任职资格：</w:t>
      </w:r>
    </w:p>
    <w:p w14:paraId="6FCEB743">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color w:val="auto"/>
          <w:sz w:val="32"/>
          <w:szCs w:val="36"/>
        </w:rPr>
      </w:pPr>
      <w:r>
        <w:rPr>
          <w:rFonts w:hint="eastAsia" w:ascii="仿宋" w:hAnsi="仿宋" w:eastAsia="仿宋" w:cs="仿宋"/>
          <w:color w:val="auto"/>
          <w:sz w:val="32"/>
          <w:szCs w:val="36"/>
          <w:lang w:val="en-US" w:eastAsia="zh-CN"/>
        </w:rPr>
        <w:t>1.</w:t>
      </w:r>
      <w:r>
        <w:rPr>
          <w:rFonts w:hint="default" w:ascii="仿宋" w:hAnsi="仿宋" w:eastAsia="仿宋" w:cs="仿宋"/>
          <w:color w:val="auto"/>
          <w:sz w:val="32"/>
          <w:szCs w:val="36"/>
        </w:rPr>
        <w:t>具有大学本科以上学历或学士学位，取得助理研究员</w:t>
      </w:r>
      <w:r>
        <w:rPr>
          <w:rFonts w:hint="eastAsia" w:ascii="仿宋" w:hAnsi="仿宋" w:eastAsia="仿宋" w:cs="仿宋"/>
          <w:color w:val="auto"/>
          <w:sz w:val="32"/>
          <w:szCs w:val="36"/>
          <w:lang w:eastAsia="zh-CN"/>
        </w:rPr>
        <w:t>（一级教师、讲师）</w:t>
      </w:r>
      <w:r>
        <w:rPr>
          <w:rFonts w:hint="default" w:ascii="仿宋" w:hAnsi="仿宋" w:eastAsia="仿宋" w:cs="仿宋"/>
          <w:color w:val="auto"/>
          <w:sz w:val="32"/>
          <w:szCs w:val="36"/>
        </w:rPr>
        <w:t>后，从事</w:t>
      </w:r>
      <w:r>
        <w:rPr>
          <w:rFonts w:hint="eastAsia" w:ascii="仿宋" w:hAnsi="仿宋" w:eastAsia="仿宋" w:cs="仿宋"/>
          <w:color w:val="auto"/>
          <w:sz w:val="32"/>
          <w:szCs w:val="36"/>
          <w:lang w:eastAsia="zh-CN"/>
        </w:rPr>
        <w:t>教育管理</w:t>
      </w:r>
      <w:r>
        <w:rPr>
          <w:rFonts w:hint="default" w:ascii="仿宋" w:hAnsi="仿宋" w:eastAsia="仿宋" w:cs="仿宋"/>
          <w:color w:val="auto"/>
          <w:sz w:val="32"/>
          <w:szCs w:val="36"/>
        </w:rPr>
        <w:t>工作满 5 年。</w:t>
      </w:r>
    </w:p>
    <w:p w14:paraId="5572FE0A">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2.</w:t>
      </w:r>
      <w:r>
        <w:rPr>
          <w:rFonts w:hint="default" w:ascii="仿宋" w:hAnsi="仿宋" w:eastAsia="仿宋" w:cs="仿宋"/>
          <w:color w:val="auto"/>
          <w:sz w:val="32"/>
          <w:szCs w:val="36"/>
        </w:rPr>
        <w:t>具有博士学位，取得助理研究员</w:t>
      </w:r>
      <w:r>
        <w:rPr>
          <w:rFonts w:hint="eastAsia" w:ascii="仿宋" w:hAnsi="仿宋" w:eastAsia="仿宋" w:cs="仿宋"/>
          <w:color w:val="auto"/>
          <w:sz w:val="32"/>
          <w:szCs w:val="36"/>
          <w:lang w:eastAsia="zh-CN"/>
        </w:rPr>
        <w:t>（一级教师、讲师）后</w:t>
      </w:r>
      <w:r>
        <w:rPr>
          <w:rFonts w:hint="default" w:ascii="仿宋" w:hAnsi="仿宋" w:eastAsia="仿宋" w:cs="仿宋"/>
          <w:color w:val="auto"/>
          <w:sz w:val="32"/>
          <w:szCs w:val="36"/>
        </w:rPr>
        <w:t>，从事</w:t>
      </w:r>
      <w:r>
        <w:rPr>
          <w:rFonts w:hint="eastAsia" w:ascii="仿宋" w:hAnsi="仿宋" w:eastAsia="仿宋" w:cs="仿宋"/>
          <w:color w:val="auto"/>
          <w:sz w:val="32"/>
          <w:szCs w:val="36"/>
          <w:lang w:eastAsia="zh-CN"/>
        </w:rPr>
        <w:t>教育管理</w:t>
      </w:r>
      <w:r>
        <w:rPr>
          <w:rFonts w:hint="default" w:ascii="仿宋" w:hAnsi="仿宋" w:eastAsia="仿宋" w:cs="仿宋"/>
          <w:color w:val="auto"/>
          <w:sz w:val="32"/>
          <w:szCs w:val="36"/>
        </w:rPr>
        <w:t>工作满 2 年。</w:t>
      </w:r>
    </w:p>
    <w:p w14:paraId="0915DB26">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（三）具有中小学（幼儿园）教师资格证书。</w:t>
      </w:r>
    </w:p>
    <w:p w14:paraId="0DA97223">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3" w:firstLineChars="200"/>
        <w:jc w:val="left"/>
        <w:textAlignment w:val="auto"/>
        <w:rPr>
          <w:rFonts w:hint="eastAsia" w:ascii="仿宋" w:hAnsi="仿宋" w:eastAsia="仿宋" w:cs="仿宋"/>
          <w:color w:val="auto"/>
          <w:sz w:val="32"/>
          <w:szCs w:val="36"/>
          <w:lang w:val="en-US" w:eastAsia="zh-CN"/>
        </w:rPr>
      </w:pPr>
      <w:r>
        <w:rPr>
          <w:rFonts w:hint="eastAsia" w:ascii="仿宋" w:hAnsi="仿宋" w:eastAsia="仿宋" w:cs="仿宋"/>
          <w:b/>
          <w:bCs/>
          <w:color w:val="auto"/>
          <w:sz w:val="32"/>
          <w:szCs w:val="36"/>
          <w:lang w:eastAsia="zh-CN"/>
        </w:rPr>
        <w:t>第十条</w:t>
      </w:r>
      <w:r>
        <w:rPr>
          <w:rFonts w:hint="eastAsia" w:ascii="仿宋" w:hAnsi="仿宋" w:eastAsia="仿宋" w:cs="仿宋"/>
          <w:b/>
          <w:bCs/>
          <w:color w:val="auto"/>
          <w:sz w:val="32"/>
          <w:szCs w:val="36"/>
          <w:lang w:val="en-US" w:eastAsia="zh-CN"/>
        </w:rPr>
        <w:t xml:space="preserve">  </w:t>
      </w:r>
      <w:r>
        <w:rPr>
          <w:rFonts w:hint="eastAsia" w:ascii="仿宋" w:hAnsi="仿宋" w:eastAsia="仿宋" w:cs="仿宋"/>
          <w:color w:val="auto"/>
          <w:sz w:val="32"/>
          <w:szCs w:val="36"/>
          <w:lang w:val="en-US" w:eastAsia="zh-CN"/>
        </w:rPr>
        <w:t xml:space="preserve">初次确认职称条件 </w:t>
      </w:r>
    </w:p>
    <w:p w14:paraId="365A9118">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（一）具有大学本科学历，从事教育专业工作或教育管理研究工作满1年，经考核合格，可初定研究实习员职务任职资格。</w:t>
      </w:r>
    </w:p>
    <w:p w14:paraId="474827BF">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二）具有研究生学历或硕士学位，从事教育专业工作或教育管理研究满3年（学历或学位取得前后从事本专业或相近专业的工作年限可以相加，但学历或学位取得后从事专业工作须满1年），经考核合格，可初定助理研究员职务任职资格。</w:t>
      </w:r>
    </w:p>
    <w:p w14:paraId="761BE41C">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（三）具有博士学位，从事教育专业工作或教育管理研究工作，经考核合格，可初定助理研究员职务任职资格。</w:t>
      </w:r>
    </w:p>
    <w:p w14:paraId="6EC2E9C0">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3" w:firstLineChars="200"/>
        <w:jc w:val="left"/>
        <w:textAlignment w:val="auto"/>
        <w:rPr>
          <w:rFonts w:hint="eastAsia" w:ascii="方正楷体_GB2312" w:hAnsi="方正楷体_GB2312" w:eastAsia="方正楷体_GB2312" w:cs="方正楷体_GB2312"/>
          <w:b/>
          <w:bCs/>
          <w:color w:val="auto"/>
          <w:sz w:val="32"/>
          <w:szCs w:val="36"/>
        </w:rPr>
      </w:pPr>
      <w:r>
        <w:rPr>
          <w:rFonts w:hint="eastAsia" w:ascii="仿宋" w:hAnsi="仿宋" w:eastAsia="仿宋" w:cs="仿宋"/>
          <w:b/>
          <w:bCs/>
          <w:color w:val="auto"/>
          <w:sz w:val="32"/>
          <w:szCs w:val="36"/>
          <w:lang w:eastAsia="zh-CN"/>
        </w:rPr>
        <w:t>第十一条</w:t>
      </w:r>
      <w:r>
        <w:rPr>
          <w:rFonts w:hint="eastAsia" w:ascii="仿宋" w:hAnsi="仿宋" w:eastAsia="仿宋" w:cs="仿宋"/>
          <w:b/>
          <w:bCs/>
          <w:color w:val="auto"/>
          <w:sz w:val="32"/>
          <w:szCs w:val="36"/>
          <w:lang w:val="en-US" w:eastAsia="zh-CN"/>
        </w:rPr>
        <w:t xml:space="preserve">  </w:t>
      </w:r>
      <w:r>
        <w:rPr>
          <w:rFonts w:hint="eastAsia" w:ascii="仿宋" w:hAnsi="仿宋" w:eastAsia="仿宋" w:cs="仿宋"/>
          <w:color w:val="auto"/>
          <w:sz w:val="32"/>
          <w:szCs w:val="36"/>
          <w:lang w:val="en-US" w:eastAsia="zh-CN"/>
        </w:rPr>
        <w:t xml:space="preserve">直接申报条件 </w:t>
      </w:r>
    </w:p>
    <w:p w14:paraId="6E54919F">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申报人一般应当按照职称层级逐级申报职称评审，对取得重大理论研究成果，在教育教学事业发展中做出突出贡献的专业技术人才，具备以下标志性研究成果之一者，可不受学历和资历限制，直接申报教育事业管理专业技术副研究员职务任职资格：</w:t>
      </w:r>
    </w:p>
    <w:p w14:paraId="59678EEA">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（一）主要参与并完成国家教育教学、社会科学管理相关重大项目或重点项目（排名前三）；</w:t>
      </w:r>
    </w:p>
    <w:p w14:paraId="239E9C90">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（二）主持并完成教育管理相关的省教育厅、省社科联立项课题，撰写的决策咨询报告、建言献策成果被省部级及以上主要领导肯定批示1件，并在实际推广应用中取得较好成效。</w:t>
      </w:r>
    </w:p>
    <w:p w14:paraId="26A8B6B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（三）教育管理研究成果获省哲学社会科学优秀成果奖、省优秀调研成果奖1项，省教学成果奖一等奖（排名前二）1项。</w:t>
      </w:r>
    </w:p>
    <w:p w14:paraId="0D80B960">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3" w:firstLineChars="200"/>
        <w:jc w:val="left"/>
        <w:textAlignment w:val="auto"/>
        <w:rPr>
          <w:rFonts w:hint="eastAsia" w:ascii="仿宋" w:hAnsi="仿宋" w:eastAsia="仿宋" w:cs="仿宋"/>
          <w:b/>
          <w:bCs/>
          <w:color w:val="auto"/>
          <w:sz w:val="32"/>
          <w:szCs w:val="36"/>
          <w:lang w:val="en-US" w:eastAsia="zh-CN"/>
        </w:rPr>
      </w:pPr>
      <w:r>
        <w:rPr>
          <w:rFonts w:hint="eastAsia" w:ascii="仿宋" w:hAnsi="仿宋" w:eastAsia="仿宋" w:cs="仿宋"/>
          <w:b/>
          <w:bCs/>
          <w:color w:val="auto"/>
          <w:sz w:val="32"/>
          <w:szCs w:val="36"/>
          <w:lang w:eastAsia="zh-CN"/>
        </w:rPr>
        <w:t>第十二条</w:t>
      </w:r>
      <w:r>
        <w:rPr>
          <w:rFonts w:hint="eastAsia" w:ascii="仿宋" w:hAnsi="仿宋" w:eastAsia="仿宋" w:cs="仿宋"/>
          <w:b/>
          <w:bCs/>
          <w:color w:val="auto"/>
          <w:sz w:val="32"/>
          <w:szCs w:val="36"/>
          <w:lang w:val="en-US" w:eastAsia="zh-CN"/>
        </w:rPr>
        <w:t xml:space="preserve">  </w:t>
      </w:r>
      <w:r>
        <w:rPr>
          <w:rFonts w:hint="eastAsia" w:ascii="仿宋" w:hAnsi="仿宋" w:eastAsia="仿宋" w:cs="仿宋"/>
          <w:b w:val="0"/>
          <w:bCs w:val="0"/>
          <w:color w:val="auto"/>
          <w:sz w:val="32"/>
          <w:szCs w:val="36"/>
          <w:lang w:val="en-US" w:eastAsia="zh-CN"/>
        </w:rPr>
        <w:t>转评申报条件</w:t>
      </w:r>
    </w:p>
    <w:p w14:paraId="651E887D">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 xml:space="preserve">因工作岗位变动，从事现专业技术工作满 </w:t>
      </w:r>
      <w:r>
        <w:rPr>
          <w:rFonts w:hint="default" w:ascii="仿宋" w:hAnsi="仿宋" w:eastAsia="仿宋" w:cs="仿宋"/>
          <w:color w:val="auto"/>
          <w:kern w:val="2"/>
          <w:sz w:val="32"/>
          <w:szCs w:val="36"/>
          <w:lang w:val="en-US" w:eastAsia="zh-CN" w:bidi="ar"/>
        </w:rPr>
        <w:t xml:space="preserve">1 </w:t>
      </w:r>
      <w:r>
        <w:rPr>
          <w:rFonts w:hint="eastAsia" w:ascii="仿宋" w:hAnsi="仿宋" w:eastAsia="仿宋" w:cs="仿宋"/>
          <w:color w:val="auto"/>
          <w:kern w:val="2"/>
          <w:sz w:val="32"/>
          <w:szCs w:val="36"/>
          <w:lang w:val="en-US" w:eastAsia="zh-CN" w:bidi="ar"/>
        </w:rPr>
        <w:t>年， 符合申报条件的，应转评现岗位所对应的相同级别职称。转评后晋升高一级职称的，转评前后任职时间可累计。</w:t>
      </w:r>
    </w:p>
    <w:p w14:paraId="71C86EA1">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3"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b/>
          <w:bCs/>
          <w:color w:val="auto"/>
          <w:sz w:val="32"/>
          <w:szCs w:val="36"/>
          <w:lang w:eastAsia="zh-CN"/>
        </w:rPr>
        <w:t>第十三条</w:t>
      </w:r>
      <w:r>
        <w:rPr>
          <w:rFonts w:hint="eastAsia" w:ascii="仿宋" w:hAnsi="仿宋" w:eastAsia="仿宋" w:cs="仿宋"/>
          <w:b/>
          <w:bCs/>
          <w:color w:val="auto"/>
          <w:sz w:val="32"/>
          <w:szCs w:val="36"/>
          <w:lang w:val="en-US" w:eastAsia="zh-CN"/>
        </w:rPr>
        <w:t xml:space="preserve">  </w:t>
      </w:r>
      <w:r>
        <w:rPr>
          <w:rFonts w:hint="eastAsia" w:ascii="仿宋" w:hAnsi="仿宋" w:eastAsia="仿宋" w:cs="仿宋"/>
          <w:color w:val="auto"/>
          <w:kern w:val="2"/>
          <w:sz w:val="32"/>
          <w:szCs w:val="36"/>
          <w:lang w:val="en-US" w:eastAsia="zh-CN" w:bidi="ar"/>
        </w:rPr>
        <w:t>年度考核、继续教育等要求</w:t>
      </w:r>
    </w:p>
    <w:p w14:paraId="619F3CE9">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color w:val="auto"/>
          <w:kern w:val="2"/>
          <w:sz w:val="32"/>
          <w:szCs w:val="36"/>
          <w:lang w:val="en-US" w:eastAsia="zh-CN" w:bidi="ar"/>
        </w:rPr>
        <w:t>申报对象近3年年度考核应为合格（称职）以上；参加继续教育应达到继续教育有关规定的相应要求；事业单位申报对象应符合事业单位专业技术职务评聘结合的要求。</w:t>
      </w:r>
    </w:p>
    <w:p w14:paraId="17802B27">
      <w:pPr>
        <w:keepNext w:val="0"/>
        <w:keepLines w:val="0"/>
        <w:pageBreakBefore w:val="0"/>
        <w:kinsoku/>
        <w:wordWrap/>
        <w:overflowPunct/>
        <w:topLinePunct w:val="0"/>
        <w:autoSpaceDE/>
        <w:autoSpaceDN/>
        <w:bidi w:val="0"/>
        <w:adjustRightInd w:val="0"/>
        <w:snapToGrid w:val="0"/>
        <w:spacing w:line="480" w:lineRule="exact"/>
        <w:ind w:left="0" w:right="0" w:firstLine="2880" w:firstLineChars="900"/>
        <w:jc w:val="both"/>
        <w:textAlignment w:val="auto"/>
        <w:rPr>
          <w:rFonts w:hint="eastAsia" w:ascii="黑体" w:hAnsi="黑体" w:eastAsia="黑体" w:cs="黑体"/>
          <w:color w:val="auto"/>
          <w:sz w:val="32"/>
          <w:szCs w:val="36"/>
          <w:lang w:val="en-US" w:eastAsia="zh-CN"/>
        </w:rPr>
      </w:pPr>
      <w:r>
        <w:rPr>
          <w:rFonts w:hint="eastAsia" w:ascii="黑体" w:hAnsi="黑体" w:eastAsia="黑体" w:cs="黑体"/>
          <w:color w:val="auto"/>
          <w:sz w:val="32"/>
          <w:szCs w:val="36"/>
          <w:lang w:val="en-US" w:eastAsia="zh-CN"/>
        </w:rPr>
        <w:t>第五章   评审条件</w:t>
      </w:r>
    </w:p>
    <w:p w14:paraId="7C474562">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bCs/>
          <w:color w:val="auto"/>
          <w:sz w:val="32"/>
          <w:szCs w:val="36"/>
          <w:lang w:eastAsia="zh-CN"/>
        </w:rPr>
        <w:t>第十四条</w:t>
      </w:r>
      <w:r>
        <w:rPr>
          <w:rFonts w:hint="eastAsia" w:ascii="仿宋" w:hAnsi="仿宋" w:eastAsia="仿宋" w:cs="仿宋"/>
          <w:color w:val="auto"/>
          <w:sz w:val="32"/>
          <w:szCs w:val="36"/>
          <w:lang w:val="en-US" w:eastAsia="zh-CN"/>
        </w:rPr>
        <w:t xml:space="preserve">  申报者达到申报条件的，还须符合相应的专业能力和</w:t>
      </w:r>
      <w:r>
        <w:rPr>
          <w:rFonts w:hint="eastAsia" w:ascii="仿宋" w:hAnsi="仿宋" w:eastAsia="仿宋" w:cs="仿宋"/>
          <w:b w:val="0"/>
          <w:bCs w:val="0"/>
          <w:color w:val="auto"/>
          <w:sz w:val="32"/>
          <w:szCs w:val="36"/>
          <w:lang w:val="en-US" w:eastAsia="zh-CN"/>
        </w:rPr>
        <w:t>工作业绩要求。</w:t>
      </w:r>
    </w:p>
    <w:p w14:paraId="2F6C11BA">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（一）申报副研究员资格应具备下列条件：</w:t>
      </w:r>
    </w:p>
    <w:p w14:paraId="3D31ECB5">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1.专业能力要求</w:t>
      </w:r>
    </w:p>
    <w:p w14:paraId="54BCF9D2">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color w:val="auto"/>
          <w:sz w:val="32"/>
          <w:szCs w:val="36"/>
        </w:rPr>
        <w:t>具有较强的教育管理综合分析能力和丰富的工作实践经验</w:t>
      </w:r>
      <w:r>
        <w:rPr>
          <w:rFonts w:hint="eastAsia" w:ascii="仿宋" w:hAnsi="仿宋" w:eastAsia="仿宋" w:cs="仿宋"/>
          <w:b w:val="0"/>
          <w:bCs w:val="0"/>
          <w:color w:val="auto"/>
          <w:sz w:val="32"/>
          <w:szCs w:val="36"/>
          <w:lang w:val="en-US" w:eastAsia="zh-CN"/>
        </w:rPr>
        <w:t xml:space="preserve">；全面掌握教育管理研究规律，熟悉教育管理领域的基础理论和专业知识，了解教育管理领域的研究方向和发展趋势，能适应时代要求不断创新研究；科研能力强，在教育管理领域有较深入的研究，具有较大影响力；能根据本市教育事业发展和党委政府需要，设计较高水平的教育规划、研究课题，具有指导和主持教育管理领域研究工作的能力。  </w:t>
      </w:r>
    </w:p>
    <w:p w14:paraId="7312C788">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color w:val="auto"/>
          <w:sz w:val="32"/>
          <w:szCs w:val="36"/>
          <w:lang w:val="en-US" w:eastAsia="zh-CN"/>
        </w:rPr>
        <w:t>2</w:t>
      </w:r>
      <w:r>
        <w:rPr>
          <w:rFonts w:hint="eastAsia" w:ascii="仿宋" w:hAnsi="仿宋" w:eastAsia="仿宋" w:cs="仿宋"/>
          <w:b w:val="0"/>
          <w:bCs w:val="0"/>
          <w:color w:val="auto"/>
          <w:sz w:val="32"/>
          <w:szCs w:val="36"/>
          <w:lang w:val="en-US" w:eastAsia="zh-CN"/>
        </w:rPr>
        <w:t>.工作业绩要求</w:t>
      </w:r>
    </w:p>
    <w:p w14:paraId="109C69B6">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取得中级职称后，应具备下列业绩条件中的3项及以上。</w:t>
      </w:r>
    </w:p>
    <w:p w14:paraId="006DDF42">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（1）独立或以第一作者身份发表教育管理研究论文2篇；</w:t>
      </w:r>
    </w:p>
    <w:p w14:paraId="02FC3A71">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（2）主持并完成市级及以上教育管理研究课题并获二等奖及以上1项；</w:t>
      </w:r>
    </w:p>
    <w:p w14:paraId="58676A9E">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（3）主持并完成教育管理研究成果获市教学成果奖或市社会科学研究成果奖或市优秀调研成果奖二等奖及以上1项；</w:t>
      </w:r>
    </w:p>
    <w:p w14:paraId="1BB002A5">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（4）撰写的教育管理创新做法和决策咨询报告等材料，在市、省、国家级媒体或《新区参阅》《教育参阅》发表；或获得市、省级教育行政部门领导或市、省级党委或政府领导肯定性批示；</w:t>
      </w:r>
    </w:p>
    <w:p w14:paraId="6AF6EE0F">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（5）撰写本市重要教育事业发展规划1项及以上；</w:t>
      </w:r>
    </w:p>
    <w:p w14:paraId="7C8926D3">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b w:val="0"/>
          <w:bCs w:val="0"/>
          <w:color w:val="auto"/>
          <w:sz w:val="32"/>
          <w:szCs w:val="36"/>
          <w:lang w:val="en-US" w:eastAsia="zh-CN"/>
        </w:rPr>
        <w:t>（6）</w:t>
      </w:r>
      <w:r>
        <w:rPr>
          <w:rFonts w:hint="eastAsia" w:ascii="仿宋" w:hAnsi="仿宋" w:eastAsia="仿宋" w:cs="仿宋"/>
          <w:color w:val="auto"/>
          <w:kern w:val="2"/>
          <w:sz w:val="32"/>
          <w:szCs w:val="36"/>
          <w:lang w:val="en-US" w:eastAsia="zh-CN" w:bidi="ar"/>
        </w:rPr>
        <w:t>主持并完成市级及以上党委、政府教育管理相关规范性文件起草2项及以上；</w:t>
      </w:r>
    </w:p>
    <w:p w14:paraId="3111830E">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color w:val="auto"/>
          <w:kern w:val="2"/>
          <w:sz w:val="32"/>
          <w:szCs w:val="36"/>
          <w:lang w:val="en-US" w:eastAsia="zh-CN" w:bidi="ar"/>
        </w:rPr>
      </w:pPr>
      <w:r>
        <w:rPr>
          <w:rFonts w:hint="eastAsia" w:ascii="仿宋" w:hAnsi="仿宋" w:eastAsia="仿宋" w:cs="仿宋"/>
          <w:b w:val="0"/>
          <w:bCs w:val="0"/>
          <w:color w:val="auto"/>
          <w:sz w:val="32"/>
          <w:szCs w:val="36"/>
          <w:lang w:val="en-US" w:eastAsia="zh-CN"/>
        </w:rPr>
        <w:t>（7）主持撰写并公开出版教育管理研究学术著作1部，其中本人撰写3万字以上。</w:t>
      </w:r>
    </w:p>
    <w:p w14:paraId="0388CEAC">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（二）</w:t>
      </w:r>
      <w:r>
        <w:rPr>
          <w:rFonts w:hint="eastAsia" w:ascii="仿宋" w:hAnsi="仿宋" w:eastAsia="仿宋" w:cs="仿宋"/>
          <w:b w:val="0"/>
          <w:bCs w:val="0"/>
          <w:color w:val="auto"/>
          <w:sz w:val="32"/>
          <w:szCs w:val="36"/>
          <w:lang w:val="en-US" w:eastAsia="zh-CN"/>
        </w:rPr>
        <w:t>申报助理研究员资格应具备下列条件：</w:t>
      </w:r>
    </w:p>
    <w:p w14:paraId="65A538BF">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1.专业能力要求</w:t>
      </w:r>
    </w:p>
    <w:p w14:paraId="3FACE99C">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具有一定的政策理论水平、较扎实的学术功底和较丰富的学术积累，熟悉教育法律法规和政策，了解教育管理研究前沿发展动态；具有较明确的研究方向，掌握教育管理研究主要方法，具备独立撰写研究报告和论文，参与课题研究的能力。</w:t>
      </w:r>
    </w:p>
    <w:p w14:paraId="1E459B8A">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2.专业技术工作业绩要求</w:t>
      </w:r>
    </w:p>
    <w:p w14:paraId="000E6AD7">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取得初级职称后，应具备下列业绩条件中的2项及以上。</w:t>
      </w:r>
    </w:p>
    <w:p w14:paraId="2FC50CC6">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（1）独立或以第一作者身份发表教育事业管理研究论文1篇；</w:t>
      </w:r>
    </w:p>
    <w:p w14:paraId="1A3C041E">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（2）参与并完成市级及以上教育管理研究课题（排名前二）并获三等奖及以上1项；</w:t>
      </w:r>
    </w:p>
    <w:p w14:paraId="7653629C">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default"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（3）参与教育管理研究成果获市教学成果奖或市社会科学研究成果奖或市优秀调研成果奖（排名前二）三等奖或县区级二等奖及以上1项；</w:t>
      </w:r>
    </w:p>
    <w:p w14:paraId="56CAD3CA">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4）撰写的教育管理创新做法和决策咨询报告等材料（排名前二），在市、省、国家级媒体或《新区参阅》《教育参阅》发表；或获得县、市、省级教育行政部门领导或县、市、省级党委或政府领导肯定性批示；</w:t>
      </w:r>
    </w:p>
    <w:p w14:paraId="006E926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0" w:right="0" w:firstLine="640" w:firstLineChars="200"/>
        <w:jc w:val="left"/>
        <w:textAlignment w:val="auto"/>
        <w:rPr>
          <w:rFonts w:hint="eastAsia" w:ascii="仿宋" w:hAnsi="仿宋" w:eastAsia="仿宋" w:cs="仿宋"/>
          <w:color w:val="auto"/>
          <w:kern w:val="2"/>
          <w:sz w:val="32"/>
          <w:szCs w:val="36"/>
          <w:lang w:val="en-US" w:eastAsia="zh-CN" w:bidi="ar"/>
        </w:rPr>
      </w:pPr>
      <w:r>
        <w:rPr>
          <w:rFonts w:hint="eastAsia" w:ascii="仿宋" w:hAnsi="仿宋" w:eastAsia="仿宋" w:cs="仿宋"/>
          <w:b w:val="0"/>
          <w:bCs w:val="0"/>
          <w:color w:val="auto"/>
          <w:sz w:val="32"/>
          <w:szCs w:val="36"/>
          <w:lang w:val="en-US" w:eastAsia="zh-CN"/>
        </w:rPr>
        <w:t>（5）</w:t>
      </w:r>
      <w:r>
        <w:rPr>
          <w:rFonts w:hint="eastAsia" w:ascii="仿宋" w:hAnsi="仿宋" w:eastAsia="仿宋" w:cs="仿宋"/>
          <w:color w:val="auto"/>
          <w:kern w:val="2"/>
          <w:sz w:val="32"/>
          <w:szCs w:val="36"/>
          <w:lang w:val="en-US" w:eastAsia="zh-CN" w:bidi="ar"/>
        </w:rPr>
        <w:t>参与完成市级及以上党委、政府教育管理相关规范性文件起草（排名前二）2项及以上；</w:t>
      </w:r>
    </w:p>
    <w:p w14:paraId="4E174064">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（三）</w:t>
      </w:r>
      <w:r>
        <w:rPr>
          <w:rFonts w:hint="eastAsia" w:ascii="仿宋" w:hAnsi="仿宋" w:eastAsia="仿宋" w:cs="仿宋"/>
          <w:b w:val="0"/>
          <w:bCs w:val="0"/>
          <w:color w:val="auto"/>
          <w:sz w:val="32"/>
          <w:szCs w:val="36"/>
          <w:lang w:val="en-US" w:eastAsia="zh-CN"/>
        </w:rPr>
        <w:t>申报</w:t>
      </w:r>
      <w:r>
        <w:rPr>
          <w:rFonts w:hint="eastAsia" w:ascii="仿宋" w:hAnsi="仿宋" w:eastAsia="仿宋" w:cs="仿宋"/>
          <w:color w:val="auto"/>
          <w:sz w:val="32"/>
          <w:szCs w:val="36"/>
          <w:lang w:eastAsia="zh-CN"/>
        </w:rPr>
        <w:t>研究实习员</w:t>
      </w:r>
      <w:r>
        <w:rPr>
          <w:rFonts w:hint="eastAsia" w:ascii="仿宋" w:hAnsi="仿宋" w:eastAsia="仿宋" w:cs="仿宋"/>
          <w:b w:val="0"/>
          <w:bCs w:val="0"/>
          <w:color w:val="auto"/>
          <w:sz w:val="32"/>
          <w:szCs w:val="36"/>
          <w:lang w:val="en-US" w:eastAsia="zh-CN"/>
        </w:rPr>
        <w:t>资格应具备下列条件：</w:t>
      </w:r>
    </w:p>
    <w:p w14:paraId="1AD9B2C5">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1.专业能力要求</w:t>
      </w:r>
    </w:p>
    <w:p w14:paraId="6DC62284">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具有教育管理专业的基础理论知识，了解教育法律法规和政策，具有一定的研究方向。</w:t>
      </w:r>
    </w:p>
    <w:p w14:paraId="18FF6223">
      <w:pPr>
        <w:keepNext w:val="0"/>
        <w:keepLines w:val="0"/>
        <w:pageBreakBefore w:val="0"/>
        <w:numPr>
          <w:ilvl w:val="-1"/>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2.专业技术工作业绩要求</w:t>
      </w:r>
    </w:p>
    <w:p w14:paraId="59F9022C">
      <w:pPr>
        <w:keepNext w:val="0"/>
        <w:keepLines w:val="0"/>
        <w:pageBreakBefore w:val="0"/>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b w:val="0"/>
          <w:bCs w:val="0"/>
          <w:color w:val="auto"/>
          <w:sz w:val="32"/>
          <w:szCs w:val="36"/>
          <w:lang w:val="en-US" w:eastAsia="zh-CN"/>
        </w:rPr>
      </w:pPr>
      <w:r>
        <w:rPr>
          <w:rFonts w:hint="eastAsia" w:ascii="仿宋" w:hAnsi="仿宋" w:eastAsia="仿宋" w:cs="仿宋"/>
          <w:b w:val="0"/>
          <w:bCs w:val="0"/>
          <w:color w:val="auto"/>
          <w:sz w:val="32"/>
          <w:szCs w:val="36"/>
          <w:lang w:val="en-US" w:eastAsia="zh-CN"/>
        </w:rPr>
        <w:t>基本掌握教育事业管理研究的主要研究方法，能独立开展教育管理研究，撰写研究报告和论文，参与课题研究等。</w:t>
      </w:r>
    </w:p>
    <w:p w14:paraId="04A9C4A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480" w:lineRule="exact"/>
        <w:ind w:left="0" w:right="0" w:firstLine="3200" w:firstLineChars="1000"/>
        <w:jc w:val="left"/>
        <w:textAlignment w:val="auto"/>
        <w:rPr>
          <w:rFonts w:hint="default" w:ascii="仿宋" w:hAnsi="仿宋" w:eastAsia="仿宋" w:cs="仿宋"/>
          <w:b w:val="0"/>
          <w:bCs w:val="0"/>
          <w:color w:val="auto"/>
          <w:sz w:val="32"/>
          <w:szCs w:val="36"/>
          <w:lang w:val="en-US" w:eastAsia="zh-CN"/>
        </w:rPr>
      </w:pPr>
      <w:r>
        <w:rPr>
          <w:rFonts w:hint="eastAsia" w:ascii="黑体" w:hAnsi="黑体" w:eastAsia="黑体" w:cs="黑体"/>
          <w:color w:val="auto"/>
          <w:sz w:val="32"/>
          <w:szCs w:val="36"/>
          <w:lang w:val="en-US" w:eastAsia="zh-CN"/>
        </w:rPr>
        <w:t>第六章   附  则</w:t>
      </w:r>
    </w:p>
    <w:p w14:paraId="596CD3CB">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b/>
          <w:bCs/>
          <w:color w:val="auto"/>
          <w:sz w:val="32"/>
          <w:szCs w:val="36"/>
          <w:lang w:eastAsia="zh-CN"/>
        </w:rPr>
        <w:t>第十五条</w:t>
      </w:r>
      <w:r>
        <w:rPr>
          <w:rFonts w:hint="eastAsia" w:ascii="仿宋" w:hAnsi="仿宋" w:eastAsia="仿宋" w:cs="仿宋"/>
          <w:color w:val="auto"/>
          <w:sz w:val="32"/>
          <w:szCs w:val="36"/>
          <w:lang w:val="en-US" w:eastAsia="zh-CN"/>
        </w:rPr>
        <w:t xml:space="preserve">  本评价条件涉及的工作能力、业绩成果等均应与教育管理研究相关，且为任现职以来或近五年以来（直接申报人员的标志性成果）取得，并需提供相应的佐证材料。</w:t>
      </w:r>
    </w:p>
    <w:p w14:paraId="4B0BAA6C">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 xml:space="preserve">    </w:t>
      </w:r>
      <w:r>
        <w:rPr>
          <w:rFonts w:hint="eastAsia" w:ascii="仿宋" w:hAnsi="仿宋" w:eastAsia="仿宋" w:cs="仿宋"/>
          <w:b/>
          <w:bCs/>
          <w:color w:val="auto"/>
          <w:sz w:val="32"/>
          <w:szCs w:val="36"/>
          <w:lang w:eastAsia="zh-CN"/>
        </w:rPr>
        <w:t>第十六条</w:t>
      </w:r>
      <w:r>
        <w:rPr>
          <w:rFonts w:hint="eastAsia" w:ascii="仿宋" w:hAnsi="仿宋" w:eastAsia="仿宋" w:cs="仿宋"/>
          <w:color w:val="auto"/>
          <w:sz w:val="32"/>
          <w:szCs w:val="36"/>
          <w:lang w:val="en-US" w:eastAsia="zh-CN"/>
        </w:rPr>
        <w:t xml:space="preserve">  本评价条件和评审委员会办公室据此制定的《舟山市教育管理助理研究员、副研究员专业技术职务任职资格评价量化赋分标准》(见附件),为舟山市教育管理研究人员申报助理研究员、副研究员职务任职资格时评审委员会对申报对象进行综合评价的重要依据，供评审委员会评审时施行，并根据实施情况适时调整。</w:t>
      </w:r>
    </w:p>
    <w:p w14:paraId="742019DB">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b/>
          <w:bCs/>
          <w:color w:val="auto"/>
          <w:sz w:val="32"/>
          <w:szCs w:val="36"/>
          <w:lang w:eastAsia="zh-CN"/>
        </w:rPr>
        <w:t>第十七条</w:t>
      </w:r>
      <w:r>
        <w:rPr>
          <w:rFonts w:hint="eastAsia" w:ascii="仿宋" w:hAnsi="仿宋" w:eastAsia="仿宋" w:cs="仿宋"/>
          <w:color w:val="auto"/>
          <w:sz w:val="32"/>
          <w:szCs w:val="36"/>
          <w:lang w:val="en-US" w:eastAsia="zh-CN"/>
        </w:rPr>
        <w:t xml:space="preserve">  申报人存在下列违规行为之一的，记入诚信档案库，记录期限为3年，并作为以后申报的重要参考。申报人通过下列违规行为取得的职务任职资格，一经核实即予以撤销。</w:t>
      </w:r>
    </w:p>
    <w:p w14:paraId="5181E13F">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 xml:space="preserve">    （一）明知不符合申报条件仍故意通过虚假承诺、伪造信息等手段进行申报；</w:t>
      </w:r>
    </w:p>
    <w:p w14:paraId="7A99324D">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 xml:space="preserve">    （二）在评审中提供虚假材料、论文造假代写、剽窃他人作品或者学术成果，业绩成果不实或者造假等；</w:t>
      </w:r>
    </w:p>
    <w:p w14:paraId="529D00DB">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 xml:space="preserve">    （三）有严重违纪违法行为，仍在处理、处罚、处分阶段或者任职期间有严重违纪违法行为，未在申报材料上反映；</w:t>
      </w:r>
    </w:p>
    <w:p w14:paraId="71611847">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（四）其他弄虚作假、营私舞弊行为。</w:t>
      </w:r>
    </w:p>
    <w:p w14:paraId="6B435AEC">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b/>
          <w:bCs/>
          <w:color w:val="auto"/>
          <w:sz w:val="32"/>
          <w:szCs w:val="36"/>
          <w:lang w:eastAsia="zh-CN"/>
        </w:rPr>
        <w:t>第十八条</w:t>
      </w:r>
      <w:r>
        <w:rPr>
          <w:rFonts w:hint="eastAsia" w:ascii="仿宋" w:hAnsi="仿宋" w:eastAsia="仿宋" w:cs="仿宋"/>
          <w:color w:val="auto"/>
          <w:sz w:val="32"/>
          <w:szCs w:val="36"/>
          <w:lang w:val="en-US" w:eastAsia="zh-CN"/>
        </w:rPr>
        <w:t xml:space="preserve">  有关特定词语或概念的解释</w:t>
      </w:r>
    </w:p>
    <w:p w14:paraId="0BBAFA98">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（一）本标准中所提及的“以上”均包含本级和本数量；“年”均为周年。</w:t>
      </w:r>
    </w:p>
    <w:p w14:paraId="73641447">
      <w:pPr>
        <w:keepNext w:val="0"/>
        <w:keepLines w:val="0"/>
        <w:pageBreakBefore w:val="0"/>
        <w:numPr>
          <w:ilvl w:val="0"/>
          <w:numId w:val="1"/>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学历：指国家承认的国民教育序列的毕业学历。取得国（境）外学历的，须提供国家教育主管部门的认证材料。</w:t>
      </w:r>
    </w:p>
    <w:p w14:paraId="56FA7977">
      <w:pPr>
        <w:keepNext w:val="0"/>
        <w:keepLines w:val="0"/>
        <w:pageBreakBefore w:val="0"/>
        <w:numPr>
          <w:ilvl w:val="0"/>
          <w:numId w:val="1"/>
        </w:numPr>
        <w:kinsoku/>
        <w:wordWrap/>
        <w:overflowPunct/>
        <w:topLinePunct w:val="0"/>
        <w:autoSpaceDE/>
        <w:autoSpaceDN/>
        <w:bidi w:val="0"/>
        <w:adjustRightInd w:val="0"/>
        <w:snapToGrid w:val="0"/>
        <w:spacing w:line="480" w:lineRule="exact"/>
        <w:ind w:left="0" w:leftChars="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省部级重大课题：是指省社科基金项目课题、省社科规划重点（重大）课题和其他明确的省级课题以及国家部委公开发布立项的重大课题。</w:t>
      </w:r>
    </w:p>
    <w:p w14:paraId="0B1C39AE">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3"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b/>
          <w:bCs/>
          <w:color w:val="auto"/>
          <w:sz w:val="32"/>
          <w:szCs w:val="36"/>
          <w:lang w:eastAsia="zh-CN"/>
        </w:rPr>
        <w:t>第十九条</w:t>
      </w:r>
      <w:r>
        <w:rPr>
          <w:rFonts w:hint="eastAsia" w:ascii="仿宋" w:hAnsi="仿宋" w:eastAsia="仿宋" w:cs="仿宋"/>
          <w:color w:val="auto"/>
          <w:sz w:val="32"/>
          <w:szCs w:val="36"/>
          <w:lang w:val="en-US" w:eastAsia="zh-CN"/>
        </w:rPr>
        <w:t xml:space="preserve">  本评价条件由舟山市人力资源和社会保障局、舟山市教育局按职责分工负责解释。</w:t>
      </w:r>
    </w:p>
    <w:p w14:paraId="4AD9F256">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 xml:space="preserve">    </w:t>
      </w:r>
      <w:r>
        <w:rPr>
          <w:rFonts w:hint="eastAsia" w:ascii="仿宋" w:hAnsi="仿宋" w:eastAsia="仿宋" w:cs="仿宋"/>
          <w:b/>
          <w:bCs/>
          <w:color w:val="auto"/>
          <w:sz w:val="32"/>
          <w:szCs w:val="36"/>
          <w:lang w:eastAsia="zh-CN"/>
        </w:rPr>
        <w:t>第二十条</w:t>
      </w:r>
      <w:r>
        <w:rPr>
          <w:rFonts w:hint="eastAsia" w:ascii="仿宋" w:hAnsi="仿宋" w:eastAsia="仿宋" w:cs="仿宋"/>
          <w:color w:val="auto"/>
          <w:sz w:val="32"/>
          <w:szCs w:val="36"/>
          <w:lang w:val="en-US" w:eastAsia="zh-CN"/>
        </w:rPr>
        <w:t xml:space="preserve">  本评价条件自2025年X月X日起施行。</w:t>
      </w:r>
    </w:p>
    <w:p w14:paraId="673ABC80">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p>
    <w:p w14:paraId="7840A063">
      <w:pPr>
        <w:keepNext w:val="0"/>
        <w:keepLines w:val="0"/>
        <w:pageBreakBefore w:val="0"/>
        <w:numPr>
          <w:ilvl w:val="0"/>
          <w:numId w:val="0"/>
        </w:numPr>
        <w:kinsoku/>
        <w:wordWrap/>
        <w:overflowPunct/>
        <w:topLinePunct w:val="0"/>
        <w:autoSpaceDE/>
        <w:autoSpaceDN/>
        <w:bidi w:val="0"/>
        <w:adjustRightInd w:val="0"/>
        <w:snapToGrid w:val="0"/>
        <w:spacing w:line="480" w:lineRule="exact"/>
        <w:ind w:left="0" w:right="0" w:firstLine="640" w:firstLineChars="200"/>
        <w:textAlignment w:val="auto"/>
        <w:rPr>
          <w:rFonts w:hint="eastAsia" w:ascii="仿宋" w:hAnsi="仿宋" w:eastAsia="仿宋" w:cs="仿宋"/>
          <w:color w:val="auto"/>
          <w:sz w:val="32"/>
          <w:szCs w:val="36"/>
          <w:lang w:val="en-US" w:eastAsia="zh-CN"/>
        </w:rPr>
      </w:pPr>
      <w:r>
        <w:rPr>
          <w:rFonts w:hint="eastAsia" w:ascii="仿宋" w:hAnsi="仿宋" w:eastAsia="仿宋" w:cs="仿宋"/>
          <w:color w:val="auto"/>
          <w:sz w:val="32"/>
          <w:szCs w:val="36"/>
          <w:lang w:val="en-US" w:eastAsia="zh-CN"/>
        </w:rPr>
        <w:t>附件：舟山市教育管理专业副研究员、助理研究员专业技术职务任职资格评价量化赋分标准</w:t>
      </w:r>
    </w:p>
    <w:p w14:paraId="62C1302A">
      <w:pPr>
        <w:keepNext w:val="0"/>
        <w:keepLines w:val="0"/>
        <w:pageBreakBefore w:val="0"/>
        <w:widowControl w:val="0"/>
        <w:kinsoku/>
        <w:wordWrap/>
        <w:overflowPunct/>
        <w:topLinePunct w:val="0"/>
        <w:autoSpaceDE/>
        <w:autoSpaceDN/>
        <w:bidi w:val="0"/>
        <w:adjustRightInd w:val="0"/>
        <w:snapToGrid w:val="0"/>
        <w:spacing w:line="480" w:lineRule="exact"/>
        <w:ind w:left="0" w:right="0" w:hanging="692"/>
        <w:jc w:val="center"/>
        <w:textAlignment w:val="auto"/>
        <w:rPr>
          <w:rFonts w:ascii="宋体" w:hAnsi="宋体" w:eastAsia="宋体" w:cs="宋体"/>
          <w:b/>
          <w:bCs/>
          <w:color w:val="auto"/>
          <w:spacing w:val="1"/>
          <w:sz w:val="43"/>
          <w:szCs w:val="43"/>
        </w:rPr>
      </w:pPr>
      <w:r>
        <w:rPr>
          <w:rFonts w:hint="eastAsia" w:ascii="宋体" w:hAnsi="宋体" w:eastAsia="宋体" w:cs="宋体"/>
          <w:b/>
          <w:bCs/>
          <w:color w:val="auto"/>
          <w:spacing w:val="2"/>
          <w:sz w:val="43"/>
          <w:szCs w:val="43"/>
        </w:rPr>
        <w:t>舟山市教育管理专业副研究员、助理研究员专业技术职务任职资格评价量化赋分标准</w:t>
      </w:r>
    </w:p>
    <w:tbl>
      <w:tblPr>
        <w:tblStyle w:val="8"/>
        <w:tblpPr w:leftFromText="180" w:rightFromText="180" w:vertAnchor="text" w:horzAnchor="page" w:tblpX="443" w:tblpY="215"/>
        <w:tblOverlap w:val="never"/>
        <w:tblW w:w="107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8"/>
        <w:gridCol w:w="864"/>
        <w:gridCol w:w="768"/>
        <w:gridCol w:w="5035"/>
        <w:gridCol w:w="2789"/>
      </w:tblGrid>
      <w:tr w14:paraId="6BF6B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248" w:type="dxa"/>
            <w:vAlign w:val="center"/>
          </w:tcPr>
          <w:p w14:paraId="7B2CE02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color w:val="auto"/>
                <w:spacing w:val="-2"/>
                <w:sz w:val="19"/>
                <w:szCs w:val="19"/>
              </w:rPr>
              <w:t>评价指标</w:t>
            </w:r>
          </w:p>
        </w:tc>
        <w:tc>
          <w:tcPr>
            <w:tcW w:w="864" w:type="dxa"/>
            <w:vAlign w:val="center"/>
          </w:tcPr>
          <w:p w14:paraId="6BA9448B">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eastAsia="宋体"/>
                <w:color w:val="auto"/>
                <w:sz w:val="19"/>
                <w:szCs w:val="19"/>
                <w:lang w:eastAsia="zh-CN"/>
              </w:rPr>
            </w:pPr>
            <w:r>
              <w:rPr>
                <w:color w:val="auto"/>
                <w:spacing w:val="-3"/>
                <w:sz w:val="19"/>
                <w:szCs w:val="19"/>
              </w:rPr>
              <w:t>指标</w:t>
            </w:r>
            <w:r>
              <w:rPr>
                <w:rFonts w:hint="eastAsia"/>
                <w:color w:val="auto"/>
                <w:spacing w:val="-3"/>
                <w:sz w:val="19"/>
                <w:szCs w:val="19"/>
                <w:lang w:eastAsia="zh-CN"/>
              </w:rPr>
              <w:t>内容</w:t>
            </w:r>
          </w:p>
        </w:tc>
        <w:tc>
          <w:tcPr>
            <w:tcW w:w="768" w:type="dxa"/>
            <w:vAlign w:val="center"/>
          </w:tcPr>
          <w:p w14:paraId="4F5E9F7D">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pacing w:val="-3"/>
                <w:sz w:val="19"/>
                <w:szCs w:val="19"/>
              </w:rPr>
            </w:pPr>
            <w:r>
              <w:rPr>
                <w:color w:val="auto"/>
                <w:spacing w:val="-3"/>
                <w:sz w:val="19"/>
                <w:szCs w:val="19"/>
              </w:rPr>
              <w:t>最高</w:t>
            </w:r>
          </w:p>
          <w:p w14:paraId="2235A5C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color w:val="auto"/>
                <w:spacing w:val="-3"/>
                <w:sz w:val="19"/>
                <w:szCs w:val="19"/>
              </w:rPr>
              <w:t>分值</w:t>
            </w:r>
          </w:p>
        </w:tc>
        <w:tc>
          <w:tcPr>
            <w:tcW w:w="5035" w:type="dxa"/>
            <w:vAlign w:val="center"/>
          </w:tcPr>
          <w:p w14:paraId="3A53E33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116" w:firstLineChars="600"/>
              <w:jc w:val="both"/>
              <w:textAlignment w:val="auto"/>
              <w:rPr>
                <w:color w:val="auto"/>
                <w:sz w:val="19"/>
                <w:szCs w:val="19"/>
              </w:rPr>
            </w:pPr>
            <w:r>
              <w:rPr>
                <w:color w:val="auto"/>
                <w:spacing w:val="-2"/>
                <w:sz w:val="19"/>
                <w:szCs w:val="19"/>
              </w:rPr>
              <w:t>计分方式</w:t>
            </w:r>
          </w:p>
        </w:tc>
        <w:tc>
          <w:tcPr>
            <w:tcW w:w="2789" w:type="dxa"/>
            <w:vAlign w:val="center"/>
          </w:tcPr>
          <w:p w14:paraId="1AF2A4C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930" w:firstLineChars="500"/>
              <w:jc w:val="both"/>
              <w:textAlignment w:val="auto"/>
              <w:rPr>
                <w:color w:val="auto"/>
                <w:sz w:val="19"/>
                <w:szCs w:val="19"/>
              </w:rPr>
            </w:pPr>
            <w:r>
              <w:rPr>
                <w:color w:val="auto"/>
                <w:spacing w:val="-2"/>
                <w:sz w:val="19"/>
                <w:szCs w:val="19"/>
              </w:rPr>
              <w:t>备</w:t>
            </w:r>
            <w:r>
              <w:rPr>
                <w:rFonts w:hint="eastAsia"/>
                <w:color w:val="auto"/>
                <w:spacing w:val="-2"/>
                <w:sz w:val="19"/>
                <w:szCs w:val="19"/>
                <w:lang w:val="en-US" w:eastAsia="zh-CN"/>
              </w:rPr>
              <w:t xml:space="preserve">  </w:t>
            </w:r>
            <w:r>
              <w:rPr>
                <w:color w:val="auto"/>
                <w:spacing w:val="-2"/>
                <w:sz w:val="19"/>
                <w:szCs w:val="19"/>
              </w:rPr>
              <w:t>注</w:t>
            </w:r>
          </w:p>
        </w:tc>
      </w:tr>
      <w:tr w14:paraId="4906F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48" w:type="dxa"/>
            <w:vMerge w:val="restart"/>
            <w:vAlign w:val="top"/>
          </w:tcPr>
          <w:p w14:paraId="32807B1B">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p w14:paraId="61904F01">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p w14:paraId="70DF585E">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p w14:paraId="5A02CEE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pacing w:val="8"/>
                <w:sz w:val="19"/>
                <w:szCs w:val="19"/>
                <w:lang w:eastAsia="zh-CN"/>
              </w:rPr>
            </w:pPr>
            <w:r>
              <w:rPr>
                <w:rFonts w:hint="eastAsia"/>
                <w:color w:val="auto"/>
                <w:spacing w:val="8"/>
                <w:sz w:val="19"/>
                <w:szCs w:val="19"/>
                <w:lang w:eastAsia="zh-CN"/>
              </w:rPr>
              <w:t>学历资历</w:t>
            </w:r>
          </w:p>
          <w:p w14:paraId="3FE259C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color w:val="auto"/>
                <w:spacing w:val="8"/>
                <w:sz w:val="19"/>
                <w:szCs w:val="19"/>
              </w:rPr>
              <w:t>(</w:t>
            </w:r>
            <w:r>
              <w:rPr>
                <w:rFonts w:hint="eastAsia"/>
                <w:color w:val="auto"/>
                <w:spacing w:val="8"/>
                <w:sz w:val="19"/>
                <w:szCs w:val="19"/>
                <w:lang w:val="en-US" w:eastAsia="zh-CN"/>
              </w:rPr>
              <w:t>15</w:t>
            </w:r>
            <w:r>
              <w:rPr>
                <w:color w:val="auto"/>
                <w:spacing w:val="8"/>
                <w:sz w:val="19"/>
                <w:szCs w:val="19"/>
              </w:rPr>
              <w:t>分)</w:t>
            </w:r>
          </w:p>
        </w:tc>
        <w:tc>
          <w:tcPr>
            <w:tcW w:w="864" w:type="dxa"/>
            <w:tcBorders>
              <w:bottom w:val="nil"/>
            </w:tcBorders>
            <w:vAlign w:val="center"/>
          </w:tcPr>
          <w:p w14:paraId="2550B20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rFonts w:hint="eastAsia"/>
                <w:color w:val="auto"/>
                <w:sz w:val="19"/>
                <w:szCs w:val="19"/>
                <w:lang w:eastAsia="zh-CN"/>
              </w:rPr>
              <w:t>学历</w:t>
            </w:r>
          </w:p>
        </w:tc>
        <w:tc>
          <w:tcPr>
            <w:tcW w:w="768" w:type="dxa"/>
            <w:tcBorders>
              <w:bottom w:val="nil"/>
            </w:tcBorders>
            <w:vAlign w:val="center"/>
          </w:tcPr>
          <w:p w14:paraId="0AB5EF8D">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z w:val="19"/>
                <w:szCs w:val="19"/>
                <w:lang w:eastAsia="zh-CN"/>
              </w:rPr>
            </w:pPr>
            <w:r>
              <w:rPr>
                <w:rFonts w:hint="eastAsia" w:asciiTheme="majorEastAsia" w:hAnsiTheme="majorEastAsia" w:eastAsiaTheme="majorEastAsia" w:cstheme="majorEastAsia"/>
                <w:b w:val="0"/>
                <w:bCs w:val="0"/>
                <w:color w:val="auto"/>
                <w:sz w:val="19"/>
                <w:szCs w:val="19"/>
                <w:lang w:val="en-US" w:eastAsia="zh-CN"/>
              </w:rPr>
              <w:t>3</w:t>
            </w:r>
          </w:p>
        </w:tc>
        <w:tc>
          <w:tcPr>
            <w:tcW w:w="5035" w:type="dxa"/>
            <w:vAlign w:val="center"/>
          </w:tcPr>
          <w:p w14:paraId="7D17E2C5">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博士研究生记3分，硕士研究生记1分</w:t>
            </w:r>
          </w:p>
        </w:tc>
        <w:tc>
          <w:tcPr>
            <w:tcW w:w="2789" w:type="dxa"/>
            <w:tcBorders>
              <w:bottom w:val="nil"/>
            </w:tcBorders>
            <w:vAlign w:val="top"/>
          </w:tcPr>
          <w:p w14:paraId="2FAC54C2">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default"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以学历、学位证书为依据赋分。有学位无学历的，按50%计分。</w:t>
            </w:r>
          </w:p>
        </w:tc>
      </w:tr>
      <w:tr w14:paraId="0CD56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1248" w:type="dxa"/>
            <w:vMerge w:val="continue"/>
            <w:vAlign w:val="top"/>
          </w:tcPr>
          <w:p w14:paraId="15E5E548">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vAlign w:val="center"/>
          </w:tcPr>
          <w:p w14:paraId="5321414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rFonts w:hint="eastAsia"/>
                <w:color w:val="auto"/>
                <w:spacing w:val="2"/>
                <w:sz w:val="19"/>
                <w:szCs w:val="19"/>
                <w:lang w:eastAsia="zh-CN"/>
              </w:rPr>
              <w:t>专业任职年限</w:t>
            </w:r>
          </w:p>
        </w:tc>
        <w:tc>
          <w:tcPr>
            <w:tcW w:w="768" w:type="dxa"/>
            <w:vAlign w:val="center"/>
          </w:tcPr>
          <w:p w14:paraId="4D4C0A0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z w:val="19"/>
                <w:szCs w:val="19"/>
                <w:lang w:eastAsia="zh-CN"/>
              </w:rPr>
            </w:pPr>
            <w:r>
              <w:rPr>
                <w:rFonts w:hint="eastAsia" w:asciiTheme="majorEastAsia" w:hAnsiTheme="majorEastAsia" w:eastAsiaTheme="majorEastAsia" w:cstheme="majorEastAsia"/>
                <w:b w:val="0"/>
                <w:bCs w:val="0"/>
                <w:color w:val="auto"/>
                <w:sz w:val="19"/>
                <w:szCs w:val="19"/>
                <w:lang w:val="en-US" w:eastAsia="zh-CN"/>
              </w:rPr>
              <w:t>5</w:t>
            </w:r>
          </w:p>
        </w:tc>
        <w:tc>
          <w:tcPr>
            <w:tcW w:w="5035" w:type="dxa"/>
            <w:vAlign w:val="center"/>
          </w:tcPr>
          <w:p w14:paraId="20D64A5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副研究员：满5年且每年考核合格以上记1分，之后每增加一年加记0.5分。</w:t>
            </w:r>
          </w:p>
          <w:p w14:paraId="4CDA511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助理研究员：满3年且每年考核合格以上记1分，之后每增加一年加记0.5分。</w:t>
            </w:r>
          </w:p>
        </w:tc>
        <w:tc>
          <w:tcPr>
            <w:tcW w:w="2789" w:type="dxa"/>
            <w:vAlign w:val="center"/>
          </w:tcPr>
          <w:p w14:paraId="30C0B212">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任管理岗位（包括校级领导）</w:t>
            </w:r>
          </w:p>
        </w:tc>
      </w:tr>
      <w:tr w14:paraId="05CD8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248" w:type="dxa"/>
            <w:vMerge w:val="continue"/>
            <w:vAlign w:val="top"/>
          </w:tcPr>
          <w:p w14:paraId="6208F588">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vAlign w:val="center"/>
          </w:tcPr>
          <w:p w14:paraId="1BD07588">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pacing w:val="11"/>
                <w:sz w:val="19"/>
                <w:szCs w:val="19"/>
              </w:rPr>
            </w:pPr>
            <w:r>
              <w:rPr>
                <w:rFonts w:hint="eastAsia"/>
                <w:color w:val="auto"/>
                <w:spacing w:val="2"/>
                <w:sz w:val="19"/>
                <w:szCs w:val="19"/>
                <w:lang w:eastAsia="zh-CN"/>
              </w:rPr>
              <w:t>管理经历</w:t>
            </w:r>
          </w:p>
        </w:tc>
        <w:tc>
          <w:tcPr>
            <w:tcW w:w="768" w:type="dxa"/>
            <w:shd w:val="clear" w:color="auto" w:fill="auto"/>
            <w:vAlign w:val="center"/>
          </w:tcPr>
          <w:p w14:paraId="051222FA">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Theme="majorEastAsia" w:hAnsiTheme="majorEastAsia" w:eastAsiaTheme="majorEastAsia" w:cstheme="majorEastAsia"/>
                <w:b w:val="0"/>
                <w:bCs w:val="0"/>
                <w:color w:val="auto"/>
                <w:kern w:val="2"/>
                <w:sz w:val="19"/>
                <w:szCs w:val="19"/>
                <w:lang w:val="en-US" w:eastAsia="zh-CN" w:bidi="ar-SA"/>
              </w:rPr>
            </w:pPr>
            <w:r>
              <w:rPr>
                <w:rFonts w:hint="eastAsia" w:asciiTheme="majorEastAsia" w:hAnsiTheme="majorEastAsia" w:eastAsiaTheme="majorEastAsia" w:cstheme="majorEastAsia"/>
                <w:b w:val="0"/>
                <w:bCs w:val="0"/>
                <w:color w:val="auto"/>
                <w:sz w:val="19"/>
                <w:szCs w:val="19"/>
                <w:lang w:val="en-US" w:eastAsia="zh-CN"/>
              </w:rPr>
              <w:t>7</w:t>
            </w:r>
          </w:p>
        </w:tc>
        <w:tc>
          <w:tcPr>
            <w:tcW w:w="5035" w:type="dxa"/>
            <w:vAlign w:val="center"/>
          </w:tcPr>
          <w:p w14:paraId="144D956E">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任职年限×岗位系数×每年可记分数</w:t>
            </w:r>
          </w:p>
        </w:tc>
        <w:tc>
          <w:tcPr>
            <w:tcW w:w="2789" w:type="dxa"/>
            <w:vAlign w:val="center"/>
          </w:tcPr>
          <w:p w14:paraId="3D88141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任中层副职、中层正职、单位副职、单位正职岗位系数分别为0.5、1、1.5、2；年度考核合格及以上每年记0.5分。</w:t>
            </w:r>
          </w:p>
        </w:tc>
      </w:tr>
      <w:tr w14:paraId="74008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48" w:type="dxa"/>
            <w:vMerge w:val="restart"/>
            <w:tcBorders>
              <w:bottom w:val="nil"/>
            </w:tcBorders>
            <w:vAlign w:val="center"/>
          </w:tcPr>
          <w:p w14:paraId="114BED44">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rPr>
                <w:rFonts w:ascii="Arial"/>
                <w:color w:val="auto"/>
                <w:sz w:val="21"/>
              </w:rPr>
            </w:pPr>
          </w:p>
          <w:p w14:paraId="341DE1DC">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210" w:firstLineChars="100"/>
              <w:jc w:val="both"/>
              <w:textAlignment w:val="auto"/>
              <w:rPr>
                <w:rFonts w:hint="eastAsia" w:ascii="Arial"/>
                <w:color w:val="auto"/>
                <w:sz w:val="21"/>
                <w:lang w:eastAsia="zh-CN"/>
              </w:rPr>
            </w:pPr>
            <w:r>
              <w:rPr>
                <w:rFonts w:hint="eastAsia" w:ascii="Arial"/>
                <w:color w:val="auto"/>
                <w:sz w:val="21"/>
                <w:lang w:eastAsia="zh-CN"/>
              </w:rPr>
              <w:t>工作表现</w:t>
            </w:r>
          </w:p>
          <w:p w14:paraId="25CE145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206" w:firstLineChars="100"/>
              <w:jc w:val="both"/>
              <w:textAlignment w:val="auto"/>
              <w:rPr>
                <w:color w:val="auto"/>
                <w:sz w:val="19"/>
                <w:szCs w:val="19"/>
              </w:rPr>
            </w:pPr>
            <w:r>
              <w:rPr>
                <w:rFonts w:hint="eastAsia"/>
                <w:color w:val="auto"/>
                <w:spacing w:val="8"/>
                <w:sz w:val="19"/>
                <w:szCs w:val="19"/>
                <w:lang w:val="en-US" w:eastAsia="zh-CN"/>
              </w:rPr>
              <w:t>（15</w:t>
            </w:r>
            <w:r>
              <w:rPr>
                <w:color w:val="auto"/>
                <w:spacing w:val="8"/>
                <w:sz w:val="19"/>
                <w:szCs w:val="19"/>
              </w:rPr>
              <w:t>分)</w:t>
            </w:r>
          </w:p>
        </w:tc>
        <w:tc>
          <w:tcPr>
            <w:tcW w:w="864" w:type="dxa"/>
            <w:tcBorders>
              <w:bottom w:val="nil"/>
            </w:tcBorders>
            <w:shd w:val="clear" w:color="auto" w:fill="auto"/>
            <w:vAlign w:val="center"/>
          </w:tcPr>
          <w:p w14:paraId="24C5B67D">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宋体" w:hAnsi="宋体" w:eastAsia="宋体" w:cs="宋体"/>
                <w:color w:val="auto"/>
                <w:spacing w:val="11"/>
                <w:kern w:val="2"/>
                <w:sz w:val="19"/>
                <w:szCs w:val="19"/>
                <w:lang w:val="en-US" w:eastAsia="zh-CN" w:bidi="ar-SA"/>
              </w:rPr>
            </w:pPr>
            <w:r>
              <w:rPr>
                <w:rFonts w:hint="eastAsia"/>
                <w:color w:val="auto"/>
                <w:spacing w:val="2"/>
                <w:sz w:val="19"/>
                <w:szCs w:val="19"/>
                <w:lang w:eastAsia="zh-CN"/>
              </w:rPr>
              <w:t>年度考核</w:t>
            </w:r>
          </w:p>
        </w:tc>
        <w:tc>
          <w:tcPr>
            <w:tcW w:w="768" w:type="dxa"/>
            <w:tcBorders>
              <w:bottom w:val="nil"/>
            </w:tcBorders>
            <w:vAlign w:val="center"/>
          </w:tcPr>
          <w:p w14:paraId="1DB10767">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pacing w:val="3"/>
                <w:sz w:val="19"/>
                <w:szCs w:val="19"/>
                <w:lang w:val="en-US" w:eastAsia="zh-CN"/>
              </w:rPr>
            </w:pPr>
            <w:r>
              <w:rPr>
                <w:rFonts w:hint="eastAsia" w:asciiTheme="majorEastAsia" w:hAnsiTheme="majorEastAsia" w:eastAsiaTheme="majorEastAsia" w:cstheme="majorEastAsia"/>
                <w:b w:val="0"/>
                <w:bCs w:val="0"/>
                <w:color w:val="auto"/>
                <w:sz w:val="19"/>
                <w:szCs w:val="19"/>
                <w:lang w:val="en-US" w:eastAsia="zh-CN"/>
              </w:rPr>
              <w:t>7</w:t>
            </w:r>
          </w:p>
        </w:tc>
        <w:tc>
          <w:tcPr>
            <w:tcW w:w="5035" w:type="dxa"/>
            <w:vAlign w:val="center"/>
          </w:tcPr>
          <w:p w14:paraId="1543C7C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default"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优秀，每次记1分；良好，每次记0.5分；记功，每次记1.5分</w:t>
            </w:r>
          </w:p>
        </w:tc>
        <w:tc>
          <w:tcPr>
            <w:tcW w:w="2789" w:type="dxa"/>
            <w:tcBorders>
              <w:bottom w:val="nil"/>
            </w:tcBorders>
            <w:vAlign w:val="center"/>
          </w:tcPr>
          <w:p w14:paraId="613E461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任管理岗位以来</w:t>
            </w:r>
          </w:p>
        </w:tc>
      </w:tr>
      <w:tr w14:paraId="3BB78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1248" w:type="dxa"/>
            <w:vMerge w:val="continue"/>
            <w:tcBorders>
              <w:bottom w:val="single" w:color="auto" w:sz="4" w:space="0"/>
            </w:tcBorders>
            <w:vAlign w:val="top"/>
          </w:tcPr>
          <w:p w14:paraId="6870C238">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color w:val="auto"/>
                <w:spacing w:val="8"/>
                <w:sz w:val="19"/>
                <w:szCs w:val="19"/>
              </w:rPr>
            </w:pPr>
          </w:p>
        </w:tc>
        <w:tc>
          <w:tcPr>
            <w:tcW w:w="864" w:type="dxa"/>
            <w:tcBorders>
              <w:bottom w:val="single" w:color="auto" w:sz="4" w:space="0"/>
            </w:tcBorders>
            <w:shd w:val="clear" w:color="auto" w:fill="auto"/>
            <w:vAlign w:val="center"/>
          </w:tcPr>
          <w:p w14:paraId="0CCD8F5A">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ascii="宋体" w:hAnsi="宋体" w:eastAsia="宋体" w:cs="宋体"/>
                <w:color w:val="auto"/>
                <w:spacing w:val="11"/>
                <w:kern w:val="2"/>
                <w:sz w:val="19"/>
                <w:szCs w:val="19"/>
                <w:lang w:val="en-US" w:eastAsia="zh-CN" w:bidi="ar-SA"/>
              </w:rPr>
            </w:pPr>
            <w:r>
              <w:rPr>
                <w:rFonts w:hint="eastAsia"/>
                <w:color w:val="auto"/>
                <w:spacing w:val="11"/>
                <w:sz w:val="19"/>
                <w:szCs w:val="19"/>
                <w:lang w:eastAsia="zh-CN"/>
              </w:rPr>
              <w:t>先进表彰</w:t>
            </w:r>
          </w:p>
        </w:tc>
        <w:tc>
          <w:tcPr>
            <w:tcW w:w="768" w:type="dxa"/>
            <w:tcBorders>
              <w:bottom w:val="nil"/>
            </w:tcBorders>
            <w:shd w:val="clear" w:color="auto" w:fill="auto"/>
            <w:vAlign w:val="center"/>
          </w:tcPr>
          <w:p w14:paraId="0E22E261">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z w:val="19"/>
                <w:szCs w:val="19"/>
                <w:lang w:val="en-US" w:eastAsia="zh-CN"/>
              </w:rPr>
            </w:pPr>
            <w:r>
              <w:rPr>
                <w:rFonts w:hint="eastAsia" w:asciiTheme="majorEastAsia" w:hAnsiTheme="majorEastAsia" w:eastAsiaTheme="majorEastAsia" w:cstheme="majorEastAsia"/>
                <w:b w:val="0"/>
                <w:bCs w:val="0"/>
                <w:color w:val="auto"/>
                <w:sz w:val="19"/>
                <w:szCs w:val="19"/>
                <w:lang w:val="en-US" w:eastAsia="zh-CN"/>
              </w:rPr>
              <w:t>8</w:t>
            </w:r>
          </w:p>
        </w:tc>
        <w:tc>
          <w:tcPr>
            <w:tcW w:w="5035" w:type="dxa"/>
            <w:shd w:val="clear" w:color="auto" w:fill="auto"/>
            <w:vAlign w:val="center"/>
          </w:tcPr>
          <w:p w14:paraId="334CFC61">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获国家、省、市、县级党委政府综合先进表彰分别记8分、4分、2分、1分，单项荣誉折半赋分；获国家、省、市、县级教育行政部门（含教育工委、少工委、教育基金会）先进表彰分别记4分、2分、1分、0.5分。</w:t>
            </w:r>
          </w:p>
        </w:tc>
        <w:tc>
          <w:tcPr>
            <w:tcW w:w="2789" w:type="dxa"/>
            <w:tcBorders>
              <w:bottom w:val="nil"/>
            </w:tcBorders>
            <w:vAlign w:val="center"/>
          </w:tcPr>
          <w:p w14:paraId="644768B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任管理岗位以来，多次获得先进表彰，取最高级别记分一次。</w:t>
            </w:r>
          </w:p>
        </w:tc>
      </w:tr>
      <w:tr w14:paraId="23B05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248" w:type="dxa"/>
            <w:vMerge w:val="restart"/>
            <w:tcBorders>
              <w:top w:val="single" w:color="auto" w:sz="4" w:space="0"/>
            </w:tcBorders>
            <w:vAlign w:val="center"/>
          </w:tcPr>
          <w:p w14:paraId="63EEADB4">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53D81C7B">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6295CD74">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3ACE7653">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7487B311">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color w:val="auto"/>
                <w:sz w:val="19"/>
                <w:szCs w:val="19"/>
              </w:rPr>
            </w:pPr>
            <w:r>
              <w:rPr>
                <w:rFonts w:hint="eastAsia"/>
                <w:color w:val="auto"/>
                <w:spacing w:val="-2"/>
                <w:sz w:val="19"/>
                <w:szCs w:val="19"/>
                <w:lang w:eastAsia="zh-CN"/>
              </w:rPr>
              <w:t>业绩</w:t>
            </w:r>
            <w:r>
              <w:rPr>
                <w:color w:val="auto"/>
                <w:spacing w:val="-2"/>
                <w:sz w:val="19"/>
                <w:szCs w:val="19"/>
              </w:rPr>
              <w:t>成果</w:t>
            </w:r>
          </w:p>
          <w:p w14:paraId="4199007F">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206" w:firstLineChars="100"/>
              <w:jc w:val="both"/>
              <w:textAlignment w:val="auto"/>
              <w:rPr>
                <w:color w:val="auto"/>
                <w:sz w:val="19"/>
                <w:szCs w:val="19"/>
              </w:rPr>
            </w:pPr>
            <w:r>
              <w:rPr>
                <w:rFonts w:hint="eastAsia"/>
                <w:color w:val="auto"/>
                <w:spacing w:val="8"/>
                <w:sz w:val="19"/>
                <w:szCs w:val="19"/>
                <w:lang w:val="en-US" w:eastAsia="zh-CN"/>
              </w:rPr>
              <w:t>（50</w:t>
            </w:r>
            <w:r>
              <w:rPr>
                <w:color w:val="auto"/>
                <w:spacing w:val="8"/>
                <w:sz w:val="19"/>
                <w:szCs w:val="19"/>
              </w:rPr>
              <w:t>分)</w:t>
            </w:r>
          </w:p>
        </w:tc>
        <w:tc>
          <w:tcPr>
            <w:tcW w:w="864" w:type="dxa"/>
            <w:tcBorders>
              <w:top w:val="single" w:color="auto" w:sz="4" w:space="0"/>
              <w:bottom w:val="nil"/>
            </w:tcBorders>
            <w:shd w:val="clear" w:color="auto" w:fill="auto"/>
            <w:vAlign w:val="center"/>
          </w:tcPr>
          <w:p w14:paraId="51C40033">
            <w:pPr>
              <w:pStyle w:val="7"/>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eastAsia"/>
                <w:color w:val="auto"/>
                <w:spacing w:val="11"/>
                <w:sz w:val="19"/>
                <w:szCs w:val="19"/>
                <w:lang w:eastAsia="zh-CN"/>
              </w:rPr>
            </w:pPr>
            <w:r>
              <w:rPr>
                <w:rFonts w:hint="eastAsia"/>
                <w:color w:val="auto"/>
                <w:spacing w:val="11"/>
                <w:sz w:val="19"/>
                <w:szCs w:val="19"/>
                <w:lang w:eastAsia="zh-CN"/>
              </w:rPr>
              <w:t>决策能力</w:t>
            </w:r>
          </w:p>
        </w:tc>
        <w:tc>
          <w:tcPr>
            <w:tcW w:w="768" w:type="dxa"/>
            <w:tcBorders>
              <w:bottom w:val="nil"/>
            </w:tcBorders>
            <w:shd w:val="clear" w:color="auto" w:fill="auto"/>
            <w:vAlign w:val="center"/>
          </w:tcPr>
          <w:p w14:paraId="1BEC4B93">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z w:val="19"/>
                <w:szCs w:val="19"/>
                <w:lang w:val="en-US" w:eastAsia="zh-CN"/>
              </w:rPr>
            </w:pPr>
            <w:r>
              <w:rPr>
                <w:rFonts w:hint="eastAsia" w:asciiTheme="majorEastAsia" w:hAnsiTheme="majorEastAsia" w:eastAsiaTheme="majorEastAsia" w:cstheme="majorEastAsia"/>
                <w:b w:val="0"/>
                <w:bCs w:val="0"/>
                <w:color w:val="auto"/>
                <w:sz w:val="19"/>
                <w:szCs w:val="19"/>
                <w:lang w:val="en-US" w:eastAsia="zh-CN"/>
              </w:rPr>
              <w:t>8</w:t>
            </w:r>
          </w:p>
        </w:tc>
        <w:tc>
          <w:tcPr>
            <w:tcW w:w="5035" w:type="dxa"/>
            <w:shd w:val="clear" w:color="auto" w:fill="auto"/>
            <w:vAlign w:val="center"/>
          </w:tcPr>
          <w:p w14:paraId="62802AF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作为负责人或主要完成人参与工作岗位相关的决策咨询工作，提出具有价值的政策性建议，且被省委省政府、市委市政府、县（区）委县政府相关管理部门采纳，具有良好的社会效益，分别按8分、5分、3分记分；分别被市教育局、县（区）教育局采纳并形成汇报材料的，分别按3分、2分记分。决策内容由多人完成，第一负责人按70%进行记分，第二负责人按50%记分。</w:t>
            </w:r>
          </w:p>
        </w:tc>
        <w:tc>
          <w:tcPr>
            <w:tcW w:w="2789" w:type="dxa"/>
            <w:tcBorders>
              <w:bottom w:val="nil"/>
            </w:tcBorders>
            <w:vAlign w:val="center"/>
          </w:tcPr>
          <w:p w14:paraId="5B76772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任管理岗位以来，本项目以教育行政部门出具的证明材料作为佐证依据。</w:t>
            </w:r>
          </w:p>
        </w:tc>
      </w:tr>
      <w:tr w14:paraId="0B19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48" w:type="dxa"/>
            <w:vMerge w:val="continue"/>
            <w:vAlign w:val="center"/>
          </w:tcPr>
          <w:p w14:paraId="36175E3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0" w:firstLineChars="100"/>
              <w:jc w:val="both"/>
              <w:textAlignment w:val="auto"/>
              <w:rPr>
                <w:color w:val="auto"/>
                <w:sz w:val="19"/>
                <w:szCs w:val="19"/>
              </w:rPr>
            </w:pPr>
          </w:p>
        </w:tc>
        <w:tc>
          <w:tcPr>
            <w:tcW w:w="864" w:type="dxa"/>
            <w:vAlign w:val="center"/>
          </w:tcPr>
          <w:p w14:paraId="7D07FDBF">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19A9A51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kern w:val="2"/>
                <w:sz w:val="19"/>
                <w:szCs w:val="19"/>
                <w:lang w:val="en-US" w:eastAsia="zh-CN" w:bidi="ar-SA"/>
              </w:rPr>
            </w:pPr>
            <w:r>
              <w:rPr>
                <w:rFonts w:hint="eastAsia"/>
                <w:color w:val="auto"/>
                <w:spacing w:val="-2"/>
                <w:sz w:val="19"/>
                <w:szCs w:val="19"/>
                <w:lang w:eastAsia="zh-CN"/>
              </w:rPr>
              <w:t>课题研究</w:t>
            </w:r>
          </w:p>
        </w:tc>
        <w:tc>
          <w:tcPr>
            <w:tcW w:w="768" w:type="dxa"/>
            <w:vAlign w:val="center"/>
          </w:tcPr>
          <w:p w14:paraId="52AFEA7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z w:val="19"/>
                <w:szCs w:val="19"/>
                <w:lang w:eastAsia="zh-CN"/>
              </w:rPr>
            </w:pPr>
            <w:r>
              <w:rPr>
                <w:rFonts w:hint="eastAsia"/>
                <w:color w:val="auto"/>
                <w:sz w:val="19"/>
                <w:szCs w:val="19"/>
                <w:lang w:eastAsia="zh-CN"/>
              </w:rPr>
              <w:t>不设</w:t>
            </w:r>
          </w:p>
          <w:p w14:paraId="1EA75BDF">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kern w:val="2"/>
                <w:sz w:val="19"/>
                <w:szCs w:val="19"/>
                <w:lang w:val="en-US" w:eastAsia="zh-CN" w:bidi="ar-SA"/>
              </w:rPr>
            </w:pPr>
            <w:r>
              <w:rPr>
                <w:rFonts w:hint="eastAsia"/>
                <w:color w:val="auto"/>
                <w:sz w:val="19"/>
                <w:szCs w:val="19"/>
                <w:lang w:eastAsia="zh-CN"/>
              </w:rPr>
              <w:t>上限</w:t>
            </w:r>
          </w:p>
        </w:tc>
        <w:tc>
          <w:tcPr>
            <w:tcW w:w="5035" w:type="dxa"/>
            <w:vAlign w:val="center"/>
          </w:tcPr>
          <w:p w14:paraId="32689077">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副研究员：</w:t>
            </w:r>
            <w:r>
              <w:rPr>
                <w:rFonts w:hint="eastAsia" w:cs="宋体"/>
                <w:color w:val="auto"/>
                <w:spacing w:val="3"/>
                <w:sz w:val="19"/>
                <w:szCs w:val="19"/>
                <w:lang w:val="en-US" w:eastAsia="zh-CN"/>
              </w:rPr>
              <w:t>主</w:t>
            </w:r>
            <w:bookmarkStart w:id="0" w:name="_GoBack"/>
            <w:bookmarkEnd w:id="0"/>
            <w:r>
              <w:rPr>
                <w:rFonts w:hint="eastAsia" w:cs="宋体"/>
                <w:color w:val="auto"/>
                <w:spacing w:val="3"/>
                <w:sz w:val="19"/>
                <w:szCs w:val="19"/>
                <w:lang w:val="en-US" w:eastAsia="zh-CN"/>
              </w:rPr>
              <w:t>持</w:t>
            </w:r>
            <w:r>
              <w:rPr>
                <w:rFonts w:hint="eastAsia" w:ascii="宋体" w:hAnsi="宋体" w:eastAsia="宋体" w:cs="宋体"/>
                <w:color w:val="auto"/>
                <w:spacing w:val="3"/>
                <w:sz w:val="19"/>
                <w:szCs w:val="19"/>
                <w:lang w:val="en-US" w:eastAsia="zh-CN"/>
              </w:rPr>
              <w:t>由各级教科研部门规划立项的教育管理课题研究（不含小课题）市级结题并获市二等奖或省三等奖记1.5分；省级结题并获市一等奖或省二等奖记3分；获省级一等奖记4分；</w:t>
            </w:r>
            <w:r>
              <w:rPr>
                <w:rFonts w:hint="eastAsia" w:cs="宋体"/>
                <w:color w:val="auto"/>
                <w:spacing w:val="3"/>
                <w:sz w:val="19"/>
                <w:szCs w:val="19"/>
                <w:lang w:val="en-US" w:eastAsia="zh-CN"/>
              </w:rPr>
              <w:t>主持</w:t>
            </w:r>
            <w:r>
              <w:rPr>
                <w:rFonts w:hint="eastAsia" w:ascii="宋体" w:hAnsi="宋体" w:eastAsia="宋体" w:cs="宋体"/>
                <w:color w:val="auto"/>
                <w:spacing w:val="3"/>
                <w:sz w:val="19"/>
                <w:szCs w:val="19"/>
                <w:lang w:val="en-US" w:eastAsia="zh-CN"/>
              </w:rPr>
              <w:t>的教育管理课题研究成果获市教学成果奖、市社会科学成果奖、市优秀调研成果奖二等奖或省教学成果奖、省社会科学成果奖、省优秀调研成果奖三等奖记3分；获市教学成果、市社会科学成果奖、市优秀调研成果奖一等奖或省教学成果奖、省市社会科学成果奖、省优秀调研成果奖二等奖记6分；获省教学成果、省社会科学成果奖、省优秀调研成果奖一等奖或国家级二等奖及以上记10分。共青团、少先队、工会、妇联等相关工作人员获国家、省、市相关部门颁发的教育管理研究成果获奖，减半赋分。</w:t>
            </w:r>
          </w:p>
          <w:p w14:paraId="15B76B25">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zh-CN"/>
              </w:rPr>
            </w:pPr>
            <w:r>
              <w:rPr>
                <w:rFonts w:hint="eastAsia" w:ascii="宋体" w:hAnsi="宋体" w:eastAsia="宋体" w:cs="宋体"/>
                <w:color w:val="auto"/>
                <w:spacing w:val="3"/>
                <w:sz w:val="19"/>
                <w:szCs w:val="19"/>
                <w:lang w:val="en-US" w:eastAsia="zh-CN"/>
              </w:rPr>
              <w:t>助理研究员：参加由各级教科研部门规划立项的教育管理课题研究（不含小课题）市级结题并获市级三等奖（排名前二）记1分，参与的教育管理课题研究成果获市教学成果奖、市社会科学成果奖、市优秀调研成果奖三等奖（排名前二）或县区级二等奖记1.5分；其余获奖与申报副研究员同等赋分但排名均放宽至前二。</w:t>
            </w:r>
          </w:p>
        </w:tc>
        <w:tc>
          <w:tcPr>
            <w:tcW w:w="2789" w:type="dxa"/>
            <w:vAlign w:val="center"/>
          </w:tcPr>
          <w:p w14:paraId="61B0A1D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spacing w:val="3"/>
                <w:sz w:val="19"/>
                <w:szCs w:val="19"/>
                <w:lang w:val="en-US" w:eastAsia="en-US"/>
              </w:rPr>
            </w:pPr>
            <w:r>
              <w:rPr>
                <w:rFonts w:hint="eastAsia" w:ascii="宋体" w:hAnsi="宋体" w:eastAsia="宋体" w:cs="宋体"/>
                <w:color w:val="auto"/>
                <w:spacing w:val="3"/>
                <w:sz w:val="19"/>
                <w:szCs w:val="19"/>
                <w:lang w:val="en-US" w:eastAsia="zh-CN"/>
              </w:rPr>
              <w:t>任管理岗位以来，课题主持人按相应获奖级别记分，课题执笔人按相应获奖级别的70%记分，第二执笔人按相应获奖级别的50%记分；多次参与课题研究按记分办法，计算得分最多的两次进行记分。</w:t>
            </w:r>
          </w:p>
        </w:tc>
      </w:tr>
      <w:tr w14:paraId="4B69F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248" w:type="dxa"/>
            <w:vMerge w:val="continue"/>
            <w:vAlign w:val="top"/>
          </w:tcPr>
          <w:p w14:paraId="097BCF4D">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vAlign w:val="center"/>
          </w:tcPr>
          <w:p w14:paraId="030ECCC8">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spacing w:val="-2"/>
                <w:kern w:val="2"/>
                <w:sz w:val="19"/>
                <w:szCs w:val="19"/>
                <w:lang w:val="en-US" w:eastAsia="zh-CN" w:bidi="ar-SA"/>
              </w:rPr>
            </w:pPr>
            <w:r>
              <w:rPr>
                <w:rFonts w:hint="eastAsia"/>
                <w:color w:val="auto"/>
                <w:spacing w:val="-2"/>
                <w:sz w:val="19"/>
                <w:szCs w:val="19"/>
                <w:lang w:eastAsia="zh-CN"/>
              </w:rPr>
              <w:t>专报信息</w:t>
            </w:r>
          </w:p>
        </w:tc>
        <w:tc>
          <w:tcPr>
            <w:tcW w:w="768" w:type="dxa"/>
            <w:vAlign w:val="center"/>
          </w:tcPr>
          <w:p w14:paraId="16AE50C8">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kern w:val="2"/>
                <w:sz w:val="19"/>
                <w:szCs w:val="19"/>
                <w:lang w:val="en-US" w:eastAsia="zh-CN" w:bidi="ar-SA"/>
              </w:rPr>
            </w:pPr>
            <w:r>
              <w:rPr>
                <w:rFonts w:hint="eastAsia"/>
                <w:color w:val="auto"/>
                <w:sz w:val="19"/>
                <w:szCs w:val="19"/>
                <w:lang w:val="en-US" w:eastAsia="zh-CN"/>
              </w:rPr>
              <w:t>6</w:t>
            </w:r>
          </w:p>
        </w:tc>
        <w:tc>
          <w:tcPr>
            <w:tcW w:w="5035" w:type="dxa"/>
            <w:vAlign w:val="center"/>
          </w:tcPr>
          <w:p w14:paraId="2AB5EBB7">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rPr>
            </w:pPr>
            <w:r>
              <w:rPr>
                <w:rFonts w:hint="eastAsia"/>
                <w:color w:val="auto"/>
                <w:spacing w:val="3"/>
                <w:sz w:val="19"/>
                <w:szCs w:val="19"/>
                <w:lang w:val="en-US" w:eastAsia="zh-CN"/>
              </w:rPr>
              <w:t>副研究员：</w:t>
            </w:r>
            <w:r>
              <w:rPr>
                <w:rFonts w:hint="eastAsia"/>
                <w:color w:val="auto"/>
                <w:sz w:val="19"/>
                <w:szCs w:val="19"/>
              </w:rPr>
              <w:t>撰写的教育管理创新做法</w:t>
            </w:r>
            <w:r>
              <w:rPr>
                <w:rFonts w:hint="eastAsia"/>
                <w:color w:val="auto"/>
                <w:sz w:val="19"/>
                <w:szCs w:val="19"/>
                <w:lang w:eastAsia="zh-CN"/>
              </w:rPr>
              <w:t>和决策咨询报告等材料，</w:t>
            </w:r>
            <w:r>
              <w:rPr>
                <w:rFonts w:hint="eastAsia"/>
                <w:color w:val="auto"/>
                <w:sz w:val="19"/>
                <w:szCs w:val="19"/>
              </w:rPr>
              <w:t>在市、省、国家级媒体</w:t>
            </w:r>
            <w:r>
              <w:rPr>
                <w:rFonts w:hint="eastAsia"/>
                <w:color w:val="auto"/>
                <w:sz w:val="19"/>
                <w:szCs w:val="19"/>
                <w:lang w:eastAsia="zh-CN"/>
              </w:rPr>
              <w:t>或《新区参阅》《教育参阅》</w:t>
            </w:r>
            <w:r>
              <w:rPr>
                <w:rFonts w:hint="eastAsia"/>
                <w:color w:val="auto"/>
                <w:sz w:val="19"/>
                <w:szCs w:val="19"/>
              </w:rPr>
              <w:t>发表每篇记1分、2分、4分；获得市、省级教育行政部门领导肯定性批示每篇记2分、4分；获得市、省级党委或政府领导肯定性批示分别记4分、</w:t>
            </w:r>
            <w:r>
              <w:rPr>
                <w:rFonts w:hint="eastAsia"/>
                <w:color w:val="auto"/>
                <w:sz w:val="19"/>
                <w:szCs w:val="19"/>
                <w:lang w:val="en-US" w:eastAsia="zh-CN"/>
              </w:rPr>
              <w:t>6</w:t>
            </w:r>
            <w:r>
              <w:rPr>
                <w:rFonts w:hint="eastAsia"/>
                <w:color w:val="auto"/>
                <w:sz w:val="19"/>
                <w:szCs w:val="19"/>
              </w:rPr>
              <w:t>分。</w:t>
            </w:r>
          </w:p>
          <w:p w14:paraId="7F6E140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lang w:val="en-US" w:eastAsia="en-US"/>
              </w:rPr>
            </w:pPr>
            <w:r>
              <w:rPr>
                <w:rFonts w:hint="eastAsia"/>
                <w:color w:val="auto"/>
                <w:spacing w:val="3"/>
                <w:sz w:val="19"/>
                <w:szCs w:val="19"/>
                <w:lang w:val="en-US" w:eastAsia="zh-CN"/>
              </w:rPr>
              <w:t>助理研究员：</w:t>
            </w:r>
            <w:r>
              <w:rPr>
                <w:rFonts w:hint="eastAsia"/>
                <w:color w:val="auto"/>
                <w:sz w:val="19"/>
                <w:szCs w:val="19"/>
                <w:lang w:eastAsia="zh-CN"/>
              </w:rPr>
              <w:t>与申报</w:t>
            </w:r>
            <w:r>
              <w:rPr>
                <w:rFonts w:hint="eastAsia"/>
                <w:color w:val="auto"/>
                <w:spacing w:val="3"/>
                <w:sz w:val="19"/>
                <w:szCs w:val="19"/>
                <w:lang w:val="en-US" w:eastAsia="zh-CN"/>
              </w:rPr>
              <w:t>副研究员同等赋分但排名均放宽至前二</w:t>
            </w:r>
            <w:r>
              <w:rPr>
                <w:rFonts w:hint="eastAsia"/>
                <w:color w:val="auto"/>
                <w:sz w:val="19"/>
                <w:szCs w:val="19"/>
                <w:lang w:eastAsia="zh-CN"/>
              </w:rPr>
              <w:t>。</w:t>
            </w:r>
          </w:p>
        </w:tc>
        <w:tc>
          <w:tcPr>
            <w:tcW w:w="2789" w:type="dxa"/>
            <w:vAlign w:val="center"/>
          </w:tcPr>
          <w:p w14:paraId="331BD167">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190" w:firstLineChars="100"/>
              <w:jc w:val="both"/>
              <w:textAlignment w:val="auto"/>
              <w:rPr>
                <w:rFonts w:hint="eastAsia" w:ascii="宋体" w:hAnsi="宋体" w:eastAsia="宋体" w:cs="宋体"/>
                <w:color w:val="auto"/>
                <w:kern w:val="2"/>
                <w:sz w:val="19"/>
                <w:szCs w:val="19"/>
                <w:lang w:val="en-US" w:eastAsia="zh-CN" w:bidi="ar-SA"/>
              </w:rPr>
            </w:pPr>
            <w:r>
              <w:rPr>
                <w:rFonts w:hint="eastAsia"/>
                <w:color w:val="auto"/>
                <w:sz w:val="19"/>
                <w:szCs w:val="19"/>
              </w:rPr>
              <w:t>任管理岗位以来，剪短的信息报道除外</w:t>
            </w:r>
            <w:r>
              <w:rPr>
                <w:rFonts w:hint="eastAsia"/>
                <w:color w:val="auto"/>
                <w:sz w:val="19"/>
                <w:szCs w:val="19"/>
                <w:lang w:val="en-US" w:eastAsia="zh-CN"/>
              </w:rPr>
              <w:t>。</w:t>
            </w:r>
            <w:r>
              <w:rPr>
                <w:rFonts w:hint="eastAsia"/>
                <w:color w:val="auto"/>
                <w:sz w:val="19"/>
                <w:szCs w:val="19"/>
              </w:rPr>
              <w:t>多人撰写，第一作者记70%</w:t>
            </w:r>
            <w:r>
              <w:rPr>
                <w:rFonts w:hint="eastAsia"/>
                <w:color w:val="auto"/>
                <w:sz w:val="19"/>
                <w:szCs w:val="19"/>
                <w:lang w:eastAsia="zh-CN"/>
              </w:rPr>
              <w:t>，</w:t>
            </w:r>
            <w:r>
              <w:rPr>
                <w:rFonts w:hint="eastAsia"/>
                <w:color w:val="auto"/>
                <w:sz w:val="19"/>
                <w:szCs w:val="19"/>
              </w:rPr>
              <w:t>第二作者记50%</w:t>
            </w:r>
            <w:r>
              <w:rPr>
                <w:rFonts w:hint="eastAsia"/>
                <w:color w:val="auto"/>
                <w:sz w:val="19"/>
                <w:szCs w:val="19"/>
                <w:lang w:eastAsia="zh-CN"/>
              </w:rPr>
              <w:t>。</w:t>
            </w:r>
          </w:p>
        </w:tc>
      </w:tr>
      <w:tr w14:paraId="37E6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1248" w:type="dxa"/>
            <w:vMerge w:val="continue"/>
            <w:vAlign w:val="top"/>
          </w:tcPr>
          <w:p w14:paraId="07CA296C">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vAlign w:val="center"/>
          </w:tcPr>
          <w:p w14:paraId="65CA852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spacing w:val="-2"/>
                <w:kern w:val="2"/>
                <w:sz w:val="19"/>
                <w:szCs w:val="19"/>
                <w:lang w:val="en-US" w:eastAsia="zh-CN" w:bidi="ar-SA"/>
              </w:rPr>
            </w:pPr>
            <w:r>
              <w:rPr>
                <w:rFonts w:hint="eastAsia"/>
                <w:color w:val="auto"/>
                <w:spacing w:val="-2"/>
                <w:sz w:val="19"/>
                <w:szCs w:val="19"/>
                <w:lang w:eastAsia="zh-CN"/>
              </w:rPr>
              <w:t>发展规划编写</w:t>
            </w:r>
          </w:p>
        </w:tc>
        <w:tc>
          <w:tcPr>
            <w:tcW w:w="768" w:type="dxa"/>
            <w:vAlign w:val="center"/>
          </w:tcPr>
          <w:p w14:paraId="7A98C9A6">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ascii="宋体" w:hAnsi="宋体" w:eastAsia="宋体" w:cs="宋体"/>
                <w:color w:val="auto"/>
                <w:kern w:val="2"/>
                <w:sz w:val="19"/>
                <w:szCs w:val="19"/>
                <w:lang w:val="en-US" w:eastAsia="zh-CN" w:bidi="ar-SA"/>
              </w:rPr>
            </w:pPr>
            <w:r>
              <w:rPr>
                <w:rFonts w:hint="eastAsia"/>
                <w:color w:val="auto"/>
                <w:sz w:val="19"/>
                <w:szCs w:val="19"/>
                <w:lang w:val="en-US" w:eastAsia="zh-CN"/>
              </w:rPr>
              <w:t>15</w:t>
            </w:r>
          </w:p>
        </w:tc>
        <w:tc>
          <w:tcPr>
            <w:tcW w:w="5035" w:type="dxa"/>
            <w:vAlign w:val="center"/>
          </w:tcPr>
          <w:p w14:paraId="3B1136AC">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lang w:eastAsia="zh-CN"/>
              </w:rPr>
            </w:pPr>
            <w:r>
              <w:rPr>
                <w:rFonts w:hint="eastAsia"/>
                <w:color w:val="auto"/>
                <w:spacing w:val="3"/>
                <w:sz w:val="19"/>
                <w:szCs w:val="19"/>
                <w:lang w:val="en-US" w:eastAsia="zh-CN"/>
              </w:rPr>
              <w:t>副研究员：</w:t>
            </w:r>
            <w:r>
              <w:rPr>
                <w:rFonts w:hint="eastAsia"/>
                <w:color w:val="auto"/>
                <w:sz w:val="19"/>
                <w:szCs w:val="19"/>
                <w:lang w:eastAsia="zh-CN"/>
              </w:rPr>
              <w:t>主持并撰写本地区</w:t>
            </w:r>
            <w:r>
              <w:rPr>
                <w:rFonts w:hint="eastAsia"/>
                <w:color w:val="auto"/>
                <w:sz w:val="19"/>
                <w:szCs w:val="19"/>
              </w:rPr>
              <w:t>重要教育事业发展规划1项记</w:t>
            </w:r>
            <w:r>
              <w:rPr>
                <w:rFonts w:hint="eastAsia"/>
                <w:color w:val="auto"/>
                <w:sz w:val="19"/>
                <w:szCs w:val="19"/>
                <w:lang w:val="en-US" w:eastAsia="zh-CN"/>
              </w:rPr>
              <w:t>5</w:t>
            </w:r>
            <w:r>
              <w:rPr>
                <w:rFonts w:hint="eastAsia"/>
                <w:color w:val="auto"/>
                <w:sz w:val="19"/>
                <w:szCs w:val="19"/>
              </w:rPr>
              <w:t>分</w:t>
            </w:r>
            <w:r>
              <w:rPr>
                <w:rFonts w:hint="eastAsia"/>
                <w:color w:val="auto"/>
                <w:sz w:val="19"/>
                <w:szCs w:val="19"/>
                <w:lang w:eastAsia="zh-CN"/>
              </w:rPr>
              <w:t>；</w:t>
            </w:r>
            <w:r>
              <w:rPr>
                <w:rFonts w:hint="eastAsia"/>
                <w:color w:val="auto"/>
                <w:sz w:val="19"/>
                <w:szCs w:val="19"/>
                <w:lang w:val="en-US" w:eastAsia="zh-CN"/>
              </w:rPr>
              <w:t>2项记10</w:t>
            </w:r>
            <w:r>
              <w:rPr>
                <w:rFonts w:hint="eastAsia"/>
                <w:color w:val="auto"/>
                <w:sz w:val="19"/>
                <w:szCs w:val="19"/>
              </w:rPr>
              <w:t>分</w:t>
            </w:r>
            <w:r>
              <w:rPr>
                <w:rFonts w:hint="eastAsia"/>
                <w:color w:val="auto"/>
                <w:sz w:val="19"/>
                <w:szCs w:val="19"/>
                <w:lang w:eastAsia="zh-CN"/>
              </w:rPr>
              <w:t>；</w:t>
            </w:r>
            <w:r>
              <w:rPr>
                <w:rFonts w:hint="eastAsia"/>
                <w:color w:val="auto"/>
                <w:sz w:val="19"/>
                <w:szCs w:val="19"/>
                <w:lang w:val="en-US" w:eastAsia="zh-CN"/>
              </w:rPr>
              <w:t>3项记15</w:t>
            </w:r>
            <w:r>
              <w:rPr>
                <w:rFonts w:hint="eastAsia"/>
                <w:color w:val="auto"/>
                <w:sz w:val="19"/>
                <w:szCs w:val="19"/>
              </w:rPr>
              <w:t>分</w:t>
            </w:r>
            <w:r>
              <w:rPr>
                <w:rFonts w:hint="eastAsia"/>
                <w:color w:val="auto"/>
                <w:sz w:val="19"/>
                <w:szCs w:val="19"/>
                <w:lang w:eastAsia="zh-CN"/>
              </w:rPr>
              <w:t>。</w:t>
            </w:r>
          </w:p>
          <w:p w14:paraId="60B9B021">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lang w:val="en-US" w:eastAsia="en-US"/>
              </w:rPr>
            </w:pPr>
            <w:r>
              <w:rPr>
                <w:rFonts w:hint="eastAsia"/>
                <w:color w:val="auto"/>
                <w:spacing w:val="3"/>
                <w:sz w:val="19"/>
                <w:szCs w:val="19"/>
                <w:lang w:val="en-US" w:eastAsia="zh-CN"/>
              </w:rPr>
              <w:t>助理研究员：</w:t>
            </w:r>
            <w:r>
              <w:rPr>
                <w:rFonts w:hint="eastAsia"/>
                <w:color w:val="auto"/>
                <w:sz w:val="19"/>
                <w:szCs w:val="19"/>
                <w:lang w:eastAsia="zh-CN"/>
              </w:rPr>
              <w:t>参与撰写本地区</w:t>
            </w:r>
            <w:r>
              <w:rPr>
                <w:rFonts w:hint="eastAsia"/>
                <w:color w:val="auto"/>
                <w:sz w:val="19"/>
                <w:szCs w:val="19"/>
              </w:rPr>
              <w:t>重要教育事业发展规划</w:t>
            </w:r>
            <w:r>
              <w:rPr>
                <w:rFonts w:hint="eastAsia"/>
                <w:color w:val="auto"/>
                <w:sz w:val="19"/>
                <w:szCs w:val="19"/>
                <w:lang w:eastAsia="zh-CN"/>
              </w:rPr>
              <w:t>，与申报</w:t>
            </w:r>
            <w:r>
              <w:rPr>
                <w:rFonts w:hint="eastAsia"/>
                <w:color w:val="auto"/>
                <w:spacing w:val="3"/>
                <w:sz w:val="19"/>
                <w:szCs w:val="19"/>
                <w:lang w:val="en-US" w:eastAsia="zh-CN"/>
              </w:rPr>
              <w:t>副研究员同等赋分但排名均放宽至前二</w:t>
            </w:r>
            <w:r>
              <w:rPr>
                <w:rFonts w:hint="eastAsia"/>
                <w:color w:val="auto"/>
                <w:sz w:val="19"/>
                <w:szCs w:val="19"/>
                <w:lang w:eastAsia="zh-CN"/>
              </w:rPr>
              <w:t>。</w:t>
            </w:r>
          </w:p>
        </w:tc>
        <w:tc>
          <w:tcPr>
            <w:tcW w:w="2789" w:type="dxa"/>
            <w:vAlign w:val="center"/>
          </w:tcPr>
          <w:p w14:paraId="7DBB093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190" w:firstLineChars="100"/>
              <w:jc w:val="both"/>
              <w:textAlignment w:val="auto"/>
              <w:rPr>
                <w:rFonts w:hint="eastAsia" w:ascii="宋体" w:hAnsi="宋体" w:eastAsia="宋体" w:cs="宋体"/>
                <w:color w:val="auto"/>
                <w:kern w:val="2"/>
                <w:sz w:val="19"/>
                <w:szCs w:val="19"/>
                <w:lang w:val="en-US" w:eastAsia="zh-CN" w:bidi="ar-SA"/>
              </w:rPr>
            </w:pPr>
            <w:r>
              <w:rPr>
                <w:rFonts w:hint="eastAsia"/>
                <w:color w:val="auto"/>
                <w:sz w:val="19"/>
                <w:szCs w:val="19"/>
              </w:rPr>
              <w:t>任管理岗位以来，本项目以</w:t>
            </w:r>
            <w:r>
              <w:rPr>
                <w:rFonts w:hint="eastAsia"/>
                <w:color w:val="auto"/>
                <w:sz w:val="19"/>
                <w:szCs w:val="19"/>
                <w:lang w:eastAsia="zh-CN"/>
              </w:rPr>
              <w:t>教育行政部门出具的</w:t>
            </w:r>
            <w:r>
              <w:rPr>
                <w:rFonts w:hint="eastAsia"/>
                <w:color w:val="auto"/>
                <w:sz w:val="19"/>
                <w:szCs w:val="19"/>
                <w:lang w:val="en-US" w:eastAsia="zh-CN"/>
              </w:rPr>
              <w:t>证明材料</w:t>
            </w:r>
            <w:r>
              <w:rPr>
                <w:rFonts w:hint="eastAsia"/>
                <w:color w:val="auto"/>
                <w:sz w:val="19"/>
                <w:szCs w:val="19"/>
              </w:rPr>
              <w:t>作为佐证</w:t>
            </w:r>
            <w:r>
              <w:rPr>
                <w:rFonts w:hint="eastAsia"/>
                <w:color w:val="auto"/>
                <w:sz w:val="19"/>
                <w:szCs w:val="19"/>
                <w:lang w:eastAsia="zh-CN"/>
              </w:rPr>
              <w:t>依据</w:t>
            </w:r>
            <w:r>
              <w:rPr>
                <w:rFonts w:hint="eastAsia"/>
                <w:color w:val="auto"/>
                <w:sz w:val="19"/>
                <w:szCs w:val="19"/>
              </w:rPr>
              <w:t>。多人撰写，第一作者记70%</w:t>
            </w:r>
            <w:r>
              <w:rPr>
                <w:rFonts w:hint="eastAsia"/>
                <w:color w:val="auto"/>
                <w:sz w:val="19"/>
                <w:szCs w:val="19"/>
                <w:lang w:eastAsia="zh-CN"/>
              </w:rPr>
              <w:t>，</w:t>
            </w:r>
            <w:r>
              <w:rPr>
                <w:rFonts w:hint="eastAsia"/>
                <w:color w:val="auto"/>
                <w:sz w:val="19"/>
                <w:szCs w:val="19"/>
              </w:rPr>
              <w:t>第二作者记50%</w:t>
            </w:r>
            <w:r>
              <w:rPr>
                <w:rFonts w:hint="eastAsia"/>
                <w:color w:val="auto"/>
                <w:sz w:val="19"/>
                <w:szCs w:val="19"/>
                <w:lang w:eastAsia="zh-CN"/>
              </w:rPr>
              <w:t>。</w:t>
            </w:r>
          </w:p>
        </w:tc>
      </w:tr>
      <w:tr w14:paraId="3B500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3" w:hRule="atLeast"/>
        </w:trPr>
        <w:tc>
          <w:tcPr>
            <w:tcW w:w="1248" w:type="dxa"/>
            <w:vMerge w:val="continue"/>
            <w:tcBorders>
              <w:bottom w:val="single" w:color="auto" w:sz="4" w:space="0"/>
            </w:tcBorders>
            <w:vAlign w:val="top"/>
          </w:tcPr>
          <w:p w14:paraId="0D95B724">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tcBorders>
              <w:bottom w:val="single" w:color="auto" w:sz="4" w:space="0"/>
            </w:tcBorders>
            <w:shd w:val="clear" w:color="auto" w:fill="auto"/>
            <w:vAlign w:val="center"/>
          </w:tcPr>
          <w:p w14:paraId="0B0A947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spacing w:val="-2"/>
                <w:kern w:val="2"/>
                <w:sz w:val="19"/>
                <w:szCs w:val="19"/>
                <w:lang w:val="en-US" w:eastAsia="zh-CN" w:bidi="ar-SA"/>
              </w:rPr>
            </w:pPr>
            <w:r>
              <w:rPr>
                <w:rFonts w:hint="eastAsia"/>
                <w:color w:val="auto"/>
                <w:spacing w:val="-2"/>
                <w:sz w:val="19"/>
                <w:szCs w:val="19"/>
                <w:lang w:eastAsia="zh-CN"/>
              </w:rPr>
              <w:t>规范性文件起草</w:t>
            </w:r>
          </w:p>
        </w:tc>
        <w:tc>
          <w:tcPr>
            <w:tcW w:w="768" w:type="dxa"/>
            <w:shd w:val="clear" w:color="auto" w:fill="auto"/>
            <w:vAlign w:val="center"/>
          </w:tcPr>
          <w:p w14:paraId="18106BAC">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kern w:val="2"/>
                <w:sz w:val="19"/>
                <w:szCs w:val="19"/>
                <w:lang w:val="en-US" w:eastAsia="zh-CN" w:bidi="ar-SA"/>
              </w:rPr>
            </w:pPr>
            <w:r>
              <w:rPr>
                <w:rFonts w:hint="eastAsia"/>
                <w:color w:val="auto"/>
                <w:sz w:val="19"/>
                <w:szCs w:val="19"/>
                <w:lang w:val="en-US" w:eastAsia="zh-CN"/>
              </w:rPr>
              <w:t>6</w:t>
            </w:r>
          </w:p>
        </w:tc>
        <w:tc>
          <w:tcPr>
            <w:tcW w:w="5035" w:type="dxa"/>
            <w:shd w:val="clear" w:color="auto" w:fill="auto"/>
            <w:vAlign w:val="center"/>
          </w:tcPr>
          <w:p w14:paraId="62EA60D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rPr>
            </w:pPr>
            <w:r>
              <w:rPr>
                <w:rFonts w:hint="eastAsia"/>
                <w:color w:val="auto"/>
                <w:spacing w:val="3"/>
                <w:sz w:val="19"/>
                <w:szCs w:val="19"/>
                <w:lang w:val="en-US" w:eastAsia="zh-CN"/>
              </w:rPr>
              <w:t>副研究员：</w:t>
            </w:r>
            <w:r>
              <w:rPr>
                <w:rFonts w:hint="eastAsia"/>
                <w:color w:val="auto"/>
                <w:sz w:val="19"/>
                <w:szCs w:val="19"/>
                <w:lang w:eastAsia="zh-CN"/>
              </w:rPr>
              <w:t>主持并</w:t>
            </w:r>
            <w:r>
              <w:rPr>
                <w:rFonts w:hint="eastAsia"/>
                <w:color w:val="auto"/>
                <w:sz w:val="19"/>
                <w:szCs w:val="19"/>
              </w:rPr>
              <w:t>完成</w:t>
            </w:r>
            <w:r>
              <w:rPr>
                <w:rFonts w:hint="eastAsia"/>
                <w:color w:val="auto"/>
                <w:sz w:val="19"/>
                <w:szCs w:val="19"/>
                <w:lang w:eastAsia="zh-CN"/>
              </w:rPr>
              <w:t>本地区</w:t>
            </w:r>
            <w:r>
              <w:rPr>
                <w:rFonts w:hint="eastAsia"/>
                <w:color w:val="auto"/>
                <w:sz w:val="19"/>
                <w:szCs w:val="19"/>
              </w:rPr>
              <w:t>及以上党委、政府教育管理相关规范性文件起草2项</w:t>
            </w:r>
            <w:r>
              <w:rPr>
                <w:rFonts w:hint="eastAsia"/>
                <w:color w:val="auto"/>
                <w:sz w:val="19"/>
                <w:szCs w:val="19"/>
                <w:lang w:val="en-US" w:eastAsia="zh-CN"/>
              </w:rPr>
              <w:t>记1</w:t>
            </w:r>
            <w:r>
              <w:rPr>
                <w:rFonts w:hint="eastAsia"/>
                <w:color w:val="auto"/>
                <w:sz w:val="19"/>
                <w:szCs w:val="19"/>
              </w:rPr>
              <w:t>分</w:t>
            </w:r>
            <w:r>
              <w:rPr>
                <w:rFonts w:hint="eastAsia"/>
                <w:color w:val="auto"/>
                <w:sz w:val="19"/>
                <w:szCs w:val="19"/>
                <w:lang w:eastAsia="zh-CN"/>
              </w:rPr>
              <w:t>；</w:t>
            </w:r>
            <w:r>
              <w:rPr>
                <w:rFonts w:hint="eastAsia"/>
                <w:color w:val="auto"/>
                <w:sz w:val="19"/>
                <w:szCs w:val="19"/>
                <w:lang w:val="en-US" w:eastAsia="zh-CN"/>
              </w:rPr>
              <w:t>之后每增加1项记1分，满分为6分</w:t>
            </w:r>
            <w:r>
              <w:rPr>
                <w:rFonts w:hint="eastAsia"/>
                <w:color w:val="auto"/>
                <w:sz w:val="19"/>
                <w:szCs w:val="19"/>
              </w:rPr>
              <w:t>。</w:t>
            </w:r>
          </w:p>
          <w:p w14:paraId="584A9812">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eastAsia="宋体"/>
                <w:color w:val="auto"/>
                <w:sz w:val="19"/>
                <w:szCs w:val="19"/>
                <w:lang w:val="en-US" w:eastAsia="zh-CN"/>
              </w:rPr>
            </w:pPr>
            <w:r>
              <w:rPr>
                <w:rFonts w:hint="eastAsia"/>
                <w:color w:val="auto"/>
                <w:spacing w:val="3"/>
                <w:sz w:val="19"/>
                <w:szCs w:val="19"/>
                <w:lang w:val="en-US" w:eastAsia="zh-CN"/>
              </w:rPr>
              <w:t>助理研究员：</w:t>
            </w:r>
            <w:r>
              <w:rPr>
                <w:rFonts w:hint="eastAsia"/>
                <w:color w:val="auto"/>
                <w:sz w:val="19"/>
                <w:szCs w:val="19"/>
                <w:lang w:eastAsia="zh-CN"/>
              </w:rPr>
              <w:t>参与并</w:t>
            </w:r>
            <w:r>
              <w:rPr>
                <w:rFonts w:hint="eastAsia"/>
                <w:color w:val="auto"/>
                <w:sz w:val="19"/>
                <w:szCs w:val="19"/>
              </w:rPr>
              <w:t>完成市级及以上党委、政府教育管理相关规范性文件起草</w:t>
            </w:r>
            <w:r>
              <w:rPr>
                <w:rFonts w:hint="eastAsia"/>
                <w:color w:val="auto"/>
                <w:sz w:val="19"/>
                <w:szCs w:val="19"/>
                <w:lang w:eastAsia="zh-CN"/>
              </w:rPr>
              <w:t>，与申报</w:t>
            </w:r>
            <w:r>
              <w:rPr>
                <w:rFonts w:hint="eastAsia"/>
                <w:color w:val="auto"/>
                <w:spacing w:val="3"/>
                <w:sz w:val="19"/>
                <w:szCs w:val="19"/>
                <w:lang w:val="en-US" w:eastAsia="zh-CN"/>
              </w:rPr>
              <w:t>副研究员同等赋分但排名均放宽至前二</w:t>
            </w:r>
            <w:r>
              <w:rPr>
                <w:rFonts w:hint="eastAsia"/>
                <w:color w:val="auto"/>
                <w:sz w:val="19"/>
                <w:szCs w:val="19"/>
                <w:lang w:eastAsia="zh-CN"/>
              </w:rPr>
              <w:t>。</w:t>
            </w:r>
          </w:p>
        </w:tc>
        <w:tc>
          <w:tcPr>
            <w:tcW w:w="2789" w:type="dxa"/>
            <w:shd w:val="clear" w:color="auto" w:fill="auto"/>
            <w:vAlign w:val="center"/>
          </w:tcPr>
          <w:p w14:paraId="3F22E45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rightChars="0" w:firstLine="190" w:firstLineChars="100"/>
              <w:jc w:val="both"/>
              <w:textAlignment w:val="auto"/>
              <w:rPr>
                <w:rFonts w:hint="eastAsia" w:ascii="宋体" w:hAnsi="宋体" w:eastAsia="宋体" w:cs="宋体"/>
                <w:color w:val="auto"/>
                <w:kern w:val="2"/>
                <w:sz w:val="19"/>
                <w:szCs w:val="19"/>
                <w:lang w:val="en-US" w:eastAsia="zh-CN" w:bidi="ar-SA"/>
              </w:rPr>
            </w:pPr>
            <w:r>
              <w:rPr>
                <w:rFonts w:hint="eastAsia"/>
                <w:color w:val="auto"/>
                <w:sz w:val="19"/>
                <w:szCs w:val="19"/>
              </w:rPr>
              <w:t>任管理岗位以来，本项目以</w:t>
            </w:r>
            <w:r>
              <w:rPr>
                <w:rFonts w:hint="eastAsia"/>
                <w:color w:val="auto"/>
                <w:sz w:val="19"/>
                <w:szCs w:val="19"/>
                <w:lang w:eastAsia="zh-CN"/>
              </w:rPr>
              <w:t>教育行政部门出具的</w:t>
            </w:r>
            <w:r>
              <w:rPr>
                <w:rFonts w:hint="eastAsia"/>
                <w:color w:val="auto"/>
                <w:sz w:val="19"/>
                <w:szCs w:val="19"/>
                <w:lang w:val="en-US" w:eastAsia="zh-CN"/>
              </w:rPr>
              <w:t>证明材料</w:t>
            </w:r>
            <w:r>
              <w:rPr>
                <w:rFonts w:hint="eastAsia"/>
                <w:color w:val="auto"/>
                <w:sz w:val="19"/>
                <w:szCs w:val="19"/>
              </w:rPr>
              <w:t>作为佐证</w:t>
            </w:r>
            <w:r>
              <w:rPr>
                <w:rFonts w:hint="eastAsia"/>
                <w:color w:val="auto"/>
                <w:sz w:val="19"/>
                <w:szCs w:val="19"/>
                <w:lang w:eastAsia="zh-CN"/>
              </w:rPr>
              <w:t>依据</w:t>
            </w:r>
            <w:r>
              <w:rPr>
                <w:rFonts w:hint="eastAsia"/>
                <w:color w:val="auto"/>
                <w:sz w:val="19"/>
                <w:szCs w:val="19"/>
              </w:rPr>
              <w:t>。多人撰写，第一作者记70%</w:t>
            </w:r>
            <w:r>
              <w:rPr>
                <w:rFonts w:hint="eastAsia"/>
                <w:color w:val="auto"/>
                <w:sz w:val="19"/>
                <w:szCs w:val="19"/>
                <w:lang w:eastAsia="zh-CN"/>
              </w:rPr>
              <w:t>，</w:t>
            </w:r>
            <w:r>
              <w:rPr>
                <w:rFonts w:hint="eastAsia"/>
                <w:color w:val="auto"/>
                <w:sz w:val="19"/>
                <w:szCs w:val="19"/>
              </w:rPr>
              <w:t>第二作者记50%</w:t>
            </w:r>
            <w:r>
              <w:rPr>
                <w:rFonts w:hint="eastAsia"/>
                <w:color w:val="auto"/>
                <w:sz w:val="19"/>
                <w:szCs w:val="19"/>
                <w:lang w:eastAsia="zh-CN"/>
              </w:rPr>
              <w:t>。</w:t>
            </w:r>
          </w:p>
        </w:tc>
      </w:tr>
      <w:tr w14:paraId="28F6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1248" w:type="dxa"/>
            <w:vMerge w:val="restart"/>
            <w:tcBorders>
              <w:top w:val="single" w:color="auto" w:sz="4" w:space="0"/>
            </w:tcBorders>
            <w:vAlign w:val="center"/>
          </w:tcPr>
          <w:p w14:paraId="2E2B3359">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pacing w:val="8"/>
                <w:sz w:val="19"/>
                <w:szCs w:val="19"/>
                <w:lang w:eastAsia="zh-CN"/>
              </w:rPr>
            </w:pPr>
            <w:r>
              <w:rPr>
                <w:rFonts w:hint="eastAsia"/>
                <w:color w:val="auto"/>
                <w:spacing w:val="8"/>
                <w:sz w:val="19"/>
                <w:szCs w:val="19"/>
                <w:lang w:eastAsia="zh-CN"/>
              </w:rPr>
              <w:t>理论水平</w:t>
            </w:r>
          </w:p>
          <w:p w14:paraId="72D10C43">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r>
              <w:rPr>
                <w:color w:val="auto"/>
                <w:spacing w:val="8"/>
                <w:sz w:val="19"/>
                <w:szCs w:val="19"/>
              </w:rPr>
              <w:t>(</w:t>
            </w:r>
            <w:r>
              <w:rPr>
                <w:rFonts w:hint="eastAsia"/>
                <w:color w:val="auto"/>
                <w:spacing w:val="8"/>
                <w:sz w:val="19"/>
                <w:szCs w:val="19"/>
                <w:lang w:val="en-US" w:eastAsia="zh-CN"/>
              </w:rPr>
              <w:t>20</w:t>
            </w:r>
            <w:r>
              <w:rPr>
                <w:color w:val="auto"/>
                <w:spacing w:val="8"/>
                <w:sz w:val="19"/>
                <w:szCs w:val="19"/>
              </w:rPr>
              <w:t>分)</w:t>
            </w:r>
          </w:p>
        </w:tc>
        <w:tc>
          <w:tcPr>
            <w:tcW w:w="864" w:type="dxa"/>
            <w:tcBorders>
              <w:top w:val="single" w:color="auto" w:sz="4" w:space="0"/>
            </w:tcBorders>
            <w:shd w:val="clear" w:color="auto" w:fill="auto"/>
            <w:vAlign w:val="center"/>
          </w:tcPr>
          <w:p w14:paraId="4C48DEFE">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Arial"/>
                <w:color w:val="auto"/>
                <w:sz w:val="21"/>
              </w:rPr>
            </w:pPr>
          </w:p>
          <w:p w14:paraId="3092C65C">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宋体" w:hAnsi="宋体" w:eastAsia="宋体" w:cs="宋体"/>
                <w:color w:val="auto"/>
                <w:kern w:val="2"/>
                <w:sz w:val="19"/>
                <w:szCs w:val="19"/>
                <w:lang w:val="en-US" w:eastAsia="zh-CN" w:bidi="ar-SA"/>
              </w:rPr>
            </w:pPr>
            <w:r>
              <w:rPr>
                <w:rFonts w:hint="eastAsia"/>
                <w:color w:val="auto"/>
                <w:spacing w:val="-2"/>
                <w:sz w:val="19"/>
                <w:szCs w:val="19"/>
                <w:lang w:eastAsia="zh-CN"/>
              </w:rPr>
              <w:t>科研论文</w:t>
            </w:r>
          </w:p>
        </w:tc>
        <w:tc>
          <w:tcPr>
            <w:tcW w:w="768" w:type="dxa"/>
            <w:shd w:val="clear" w:color="auto" w:fill="auto"/>
            <w:vAlign w:val="center"/>
          </w:tcPr>
          <w:p w14:paraId="51FC6AAE">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Theme="majorEastAsia" w:hAnsiTheme="majorEastAsia" w:eastAsiaTheme="majorEastAsia" w:cstheme="majorEastAsia"/>
                <w:b w:val="0"/>
                <w:bCs w:val="0"/>
                <w:color w:val="auto"/>
                <w:sz w:val="19"/>
                <w:szCs w:val="19"/>
                <w:lang w:val="en-US" w:eastAsia="zh-CN"/>
              </w:rPr>
            </w:pPr>
          </w:p>
          <w:p w14:paraId="1321E3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jc w:val="center"/>
              <w:textAlignment w:val="auto"/>
              <w:rPr>
                <w:rFonts w:hint="default" w:asciiTheme="majorEastAsia" w:hAnsiTheme="majorEastAsia" w:eastAsiaTheme="majorEastAsia" w:cstheme="majorEastAsia"/>
                <w:b w:val="0"/>
                <w:bCs w:val="0"/>
                <w:color w:val="auto"/>
                <w:kern w:val="2"/>
                <w:sz w:val="19"/>
                <w:szCs w:val="19"/>
                <w:lang w:val="en-US" w:eastAsia="zh-CN" w:bidi="ar-SA"/>
              </w:rPr>
            </w:pPr>
            <w:r>
              <w:rPr>
                <w:rFonts w:hint="eastAsia" w:asciiTheme="majorEastAsia" w:hAnsiTheme="majorEastAsia" w:eastAsiaTheme="majorEastAsia" w:cstheme="majorEastAsia"/>
                <w:b w:val="0"/>
                <w:bCs w:val="0"/>
                <w:color w:val="auto"/>
                <w:sz w:val="19"/>
                <w:szCs w:val="19"/>
                <w:lang w:val="en-US" w:eastAsia="zh-CN"/>
              </w:rPr>
              <w:t>10</w:t>
            </w:r>
          </w:p>
        </w:tc>
        <w:tc>
          <w:tcPr>
            <w:tcW w:w="5035" w:type="dxa"/>
            <w:shd w:val="clear" w:color="auto" w:fill="auto"/>
            <w:vAlign w:val="center"/>
          </w:tcPr>
          <w:p w14:paraId="1BD2FEC3">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rPr>
            </w:pPr>
            <w:r>
              <w:rPr>
                <w:rFonts w:hint="eastAsia"/>
                <w:color w:val="auto"/>
                <w:spacing w:val="3"/>
                <w:sz w:val="19"/>
                <w:szCs w:val="19"/>
                <w:lang w:val="en-US" w:eastAsia="zh-CN"/>
              </w:rPr>
              <w:t>副研究员：</w:t>
            </w:r>
            <w:r>
              <w:rPr>
                <w:rFonts w:hint="eastAsia"/>
                <w:color w:val="auto"/>
                <w:sz w:val="19"/>
                <w:szCs w:val="19"/>
              </w:rPr>
              <w:t>参加由各级行政或业务部门组织的管理研究论文评比获县（区）级一等奖或获市级二等奖或省级三等奖记1分；获市级一等奖或省级二等奖记</w:t>
            </w:r>
            <w:r>
              <w:rPr>
                <w:rFonts w:hint="eastAsia"/>
                <w:color w:val="auto"/>
                <w:sz w:val="19"/>
                <w:szCs w:val="19"/>
                <w:lang w:val="en-US" w:eastAsia="zh-CN"/>
              </w:rPr>
              <w:t>3</w:t>
            </w:r>
            <w:r>
              <w:rPr>
                <w:rFonts w:hint="eastAsia"/>
                <w:color w:val="auto"/>
                <w:sz w:val="19"/>
                <w:szCs w:val="19"/>
              </w:rPr>
              <w:t>分；获省级一等奖记</w:t>
            </w:r>
            <w:r>
              <w:rPr>
                <w:rFonts w:hint="eastAsia"/>
                <w:color w:val="auto"/>
                <w:sz w:val="19"/>
                <w:szCs w:val="19"/>
                <w:lang w:val="en-US" w:eastAsia="zh-CN"/>
              </w:rPr>
              <w:t>5</w:t>
            </w:r>
            <w:r>
              <w:rPr>
                <w:rFonts w:hint="eastAsia"/>
                <w:color w:val="auto"/>
                <w:sz w:val="19"/>
                <w:szCs w:val="19"/>
              </w:rPr>
              <w:t>分；撰写的管理研究论文在一般公开发行的教育类期刊、报纸或《舟山教育》上发表，每篇记2分；在省级教育类刊物上发表，每篇记3分；在教育类核心期刊发表，每篇记</w:t>
            </w:r>
            <w:r>
              <w:rPr>
                <w:rFonts w:hint="eastAsia"/>
                <w:color w:val="auto"/>
                <w:sz w:val="19"/>
                <w:szCs w:val="19"/>
                <w:lang w:val="en-US" w:eastAsia="zh-CN"/>
              </w:rPr>
              <w:t>5</w:t>
            </w:r>
            <w:r>
              <w:rPr>
                <w:rFonts w:hint="eastAsia"/>
                <w:color w:val="auto"/>
                <w:sz w:val="19"/>
                <w:szCs w:val="19"/>
              </w:rPr>
              <w:t>分。</w:t>
            </w:r>
          </w:p>
          <w:p w14:paraId="3EE5747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ascii="宋体" w:hAnsi="宋体" w:eastAsia="宋体" w:cs="宋体"/>
                <w:color w:val="auto"/>
                <w:kern w:val="2"/>
                <w:sz w:val="19"/>
                <w:szCs w:val="19"/>
                <w:lang w:val="en-US" w:eastAsia="en-US" w:bidi="ar-SA"/>
              </w:rPr>
            </w:pPr>
            <w:r>
              <w:rPr>
                <w:rFonts w:hint="eastAsia"/>
                <w:color w:val="auto"/>
                <w:spacing w:val="3"/>
                <w:sz w:val="19"/>
                <w:szCs w:val="19"/>
                <w:lang w:val="en-US" w:eastAsia="zh-CN"/>
              </w:rPr>
              <w:t>助理研究员：</w:t>
            </w:r>
            <w:r>
              <w:rPr>
                <w:rFonts w:hint="eastAsia"/>
                <w:color w:val="auto"/>
                <w:sz w:val="19"/>
                <w:szCs w:val="19"/>
              </w:rPr>
              <w:t>参加由各级行政或业务部门组织的管理研究论文评比获县（区）级</w:t>
            </w:r>
            <w:r>
              <w:rPr>
                <w:rFonts w:hint="eastAsia"/>
                <w:color w:val="auto"/>
                <w:sz w:val="19"/>
                <w:szCs w:val="19"/>
                <w:lang w:eastAsia="zh-CN"/>
              </w:rPr>
              <w:t>二</w:t>
            </w:r>
            <w:r>
              <w:rPr>
                <w:rFonts w:hint="eastAsia"/>
                <w:color w:val="auto"/>
                <w:sz w:val="19"/>
                <w:szCs w:val="19"/>
              </w:rPr>
              <w:t>等奖或获市级</w:t>
            </w:r>
            <w:r>
              <w:rPr>
                <w:rFonts w:hint="eastAsia"/>
                <w:color w:val="auto"/>
                <w:sz w:val="19"/>
                <w:szCs w:val="19"/>
                <w:lang w:eastAsia="zh-CN"/>
              </w:rPr>
              <w:t>三</w:t>
            </w:r>
            <w:r>
              <w:rPr>
                <w:rFonts w:hint="eastAsia"/>
                <w:color w:val="auto"/>
                <w:sz w:val="19"/>
                <w:szCs w:val="19"/>
              </w:rPr>
              <w:t>等奖记</w:t>
            </w:r>
            <w:r>
              <w:rPr>
                <w:rFonts w:hint="eastAsia"/>
                <w:color w:val="auto"/>
                <w:sz w:val="19"/>
                <w:szCs w:val="19"/>
                <w:lang w:val="en-US" w:eastAsia="zh-CN"/>
              </w:rPr>
              <w:t>0.5</w:t>
            </w:r>
            <w:r>
              <w:rPr>
                <w:rFonts w:hint="eastAsia"/>
                <w:color w:val="auto"/>
                <w:sz w:val="19"/>
                <w:szCs w:val="19"/>
              </w:rPr>
              <w:t>分</w:t>
            </w:r>
            <w:r>
              <w:rPr>
                <w:rFonts w:hint="eastAsia"/>
                <w:color w:val="auto"/>
                <w:sz w:val="19"/>
                <w:szCs w:val="19"/>
                <w:lang w:eastAsia="zh-CN"/>
              </w:rPr>
              <w:t>，</w:t>
            </w:r>
            <w:r>
              <w:rPr>
                <w:rFonts w:hint="eastAsia" w:ascii="宋体" w:hAnsi="宋体" w:eastAsia="宋体" w:cs="宋体"/>
                <w:color w:val="auto"/>
                <w:spacing w:val="3"/>
                <w:sz w:val="19"/>
                <w:szCs w:val="19"/>
                <w:lang w:val="en-US" w:eastAsia="zh-CN"/>
              </w:rPr>
              <w:t>其余与申报副研究员同等赋分但排名均放宽至前二。</w:t>
            </w:r>
          </w:p>
        </w:tc>
        <w:tc>
          <w:tcPr>
            <w:tcW w:w="2789" w:type="dxa"/>
            <w:shd w:val="clear" w:color="auto" w:fill="auto"/>
            <w:vAlign w:val="center"/>
          </w:tcPr>
          <w:p w14:paraId="46F813BB">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0" w:firstLineChars="100"/>
              <w:jc w:val="both"/>
              <w:textAlignment w:val="auto"/>
              <w:rPr>
                <w:rFonts w:hint="eastAsia" w:ascii="宋体" w:hAnsi="宋体" w:eastAsia="宋体" w:cs="宋体"/>
                <w:color w:val="auto"/>
                <w:kern w:val="2"/>
                <w:sz w:val="19"/>
                <w:szCs w:val="19"/>
                <w:lang w:val="en-US" w:eastAsia="en-US" w:bidi="ar-SA"/>
              </w:rPr>
            </w:pPr>
            <w:r>
              <w:rPr>
                <w:rFonts w:hint="eastAsia"/>
                <w:color w:val="auto"/>
                <w:sz w:val="19"/>
                <w:szCs w:val="19"/>
              </w:rPr>
              <w:t>任管理岗位以来，各级教育行政或业务部门组织的管理研究调研报告、案例等评审活动获奖，等同论文获奖。论文按得分最多的两篇进行记分，刊物的主管部门为省级教育行政部门视为省级教育类期刊，核心期刊认定以北京大学每年发布的核心期刊目录为准；论文内容必须为教育管理类论文。论文由多人完成，第一作者按70%进行记分。</w:t>
            </w:r>
          </w:p>
        </w:tc>
      </w:tr>
      <w:tr w14:paraId="06C6A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4" w:hRule="atLeast"/>
        </w:trPr>
        <w:tc>
          <w:tcPr>
            <w:tcW w:w="1248" w:type="dxa"/>
            <w:vMerge w:val="continue"/>
            <w:tcBorders>
              <w:bottom w:val="nil"/>
            </w:tcBorders>
            <w:vAlign w:val="top"/>
          </w:tcPr>
          <w:p w14:paraId="57836C08">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Arial"/>
                <w:color w:val="auto"/>
                <w:sz w:val="21"/>
              </w:rPr>
            </w:pPr>
          </w:p>
        </w:tc>
        <w:tc>
          <w:tcPr>
            <w:tcW w:w="864" w:type="dxa"/>
            <w:vAlign w:val="center"/>
          </w:tcPr>
          <w:p w14:paraId="0965034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pacing w:val="-2"/>
                <w:sz w:val="19"/>
                <w:szCs w:val="19"/>
                <w:lang w:eastAsia="zh-CN"/>
              </w:rPr>
            </w:pPr>
            <w:r>
              <w:rPr>
                <w:rFonts w:hint="eastAsia"/>
                <w:color w:val="auto"/>
                <w:spacing w:val="-2"/>
                <w:sz w:val="19"/>
                <w:szCs w:val="19"/>
                <w:lang w:eastAsia="zh-CN"/>
              </w:rPr>
              <w:t>学术专著</w:t>
            </w:r>
          </w:p>
        </w:tc>
        <w:tc>
          <w:tcPr>
            <w:tcW w:w="768" w:type="dxa"/>
            <w:vAlign w:val="center"/>
          </w:tcPr>
          <w:p w14:paraId="5E57E772">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color w:val="auto"/>
                <w:sz w:val="19"/>
                <w:szCs w:val="19"/>
                <w:lang w:val="en-US" w:eastAsia="zh-CN"/>
              </w:rPr>
            </w:pPr>
            <w:r>
              <w:rPr>
                <w:rFonts w:hint="eastAsia"/>
                <w:color w:val="auto"/>
                <w:sz w:val="19"/>
                <w:szCs w:val="19"/>
                <w:lang w:val="en-US" w:eastAsia="zh-CN"/>
              </w:rPr>
              <w:t>10</w:t>
            </w:r>
          </w:p>
        </w:tc>
        <w:tc>
          <w:tcPr>
            <w:tcW w:w="5035" w:type="dxa"/>
            <w:vAlign w:val="center"/>
          </w:tcPr>
          <w:p w14:paraId="3999536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color w:val="auto"/>
                <w:sz w:val="19"/>
                <w:szCs w:val="19"/>
                <w:lang w:eastAsia="zh-CN"/>
              </w:rPr>
            </w:pPr>
            <w:r>
              <w:rPr>
                <w:rFonts w:hint="eastAsia"/>
                <w:color w:val="auto"/>
                <w:spacing w:val="3"/>
                <w:sz w:val="19"/>
                <w:szCs w:val="19"/>
                <w:lang w:val="en-US" w:eastAsia="zh-CN"/>
              </w:rPr>
              <w:t>副研究员：</w:t>
            </w:r>
            <w:r>
              <w:rPr>
                <w:rFonts w:hint="eastAsia"/>
                <w:color w:val="auto"/>
                <w:sz w:val="19"/>
                <w:szCs w:val="19"/>
                <w:lang w:eastAsia="zh-CN"/>
              </w:rPr>
              <w:t>主持</w:t>
            </w:r>
            <w:r>
              <w:rPr>
                <w:rFonts w:hint="eastAsia"/>
                <w:color w:val="auto"/>
                <w:sz w:val="19"/>
                <w:szCs w:val="19"/>
              </w:rPr>
              <w:t>撰写教育管理</w:t>
            </w:r>
            <w:r>
              <w:rPr>
                <w:rFonts w:hint="eastAsia"/>
                <w:color w:val="auto"/>
                <w:sz w:val="19"/>
                <w:szCs w:val="19"/>
                <w:lang w:eastAsia="zh-CN"/>
              </w:rPr>
              <w:t>研究学术</w:t>
            </w:r>
            <w:r>
              <w:rPr>
                <w:rFonts w:hint="eastAsia"/>
                <w:color w:val="auto"/>
                <w:sz w:val="19"/>
                <w:szCs w:val="19"/>
              </w:rPr>
              <w:t>著作</w:t>
            </w:r>
            <w:r>
              <w:rPr>
                <w:rFonts w:hint="eastAsia"/>
                <w:color w:val="auto"/>
                <w:sz w:val="19"/>
                <w:szCs w:val="19"/>
                <w:lang w:val="en-US" w:eastAsia="zh-CN"/>
              </w:rPr>
              <w:t>3万字以上</w:t>
            </w:r>
            <w:r>
              <w:rPr>
                <w:rFonts w:hint="eastAsia"/>
                <w:color w:val="auto"/>
                <w:sz w:val="19"/>
                <w:szCs w:val="19"/>
                <w:lang w:eastAsia="zh-CN"/>
              </w:rPr>
              <w:t>，并公开出版</w:t>
            </w:r>
            <w:r>
              <w:rPr>
                <w:rFonts w:hint="eastAsia"/>
                <w:color w:val="auto"/>
                <w:sz w:val="19"/>
                <w:szCs w:val="19"/>
              </w:rPr>
              <w:t>。独立撰写著作记10分</w:t>
            </w:r>
            <w:r>
              <w:rPr>
                <w:rFonts w:hint="eastAsia"/>
                <w:color w:val="auto"/>
                <w:sz w:val="19"/>
                <w:szCs w:val="19"/>
                <w:lang w:eastAsia="zh-CN"/>
              </w:rPr>
              <w:t>；</w:t>
            </w:r>
            <w:r>
              <w:rPr>
                <w:rFonts w:hint="eastAsia"/>
                <w:color w:val="auto"/>
                <w:sz w:val="19"/>
                <w:szCs w:val="19"/>
              </w:rPr>
              <w:t>多人撰写，第一作者记70%</w:t>
            </w:r>
            <w:r>
              <w:rPr>
                <w:rFonts w:hint="eastAsia"/>
                <w:color w:val="auto"/>
                <w:sz w:val="19"/>
                <w:szCs w:val="19"/>
                <w:lang w:eastAsia="zh-CN"/>
              </w:rPr>
              <w:t>。</w:t>
            </w:r>
          </w:p>
          <w:p w14:paraId="77B2DF7F">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6" w:firstLineChars="100"/>
              <w:jc w:val="both"/>
              <w:textAlignment w:val="auto"/>
              <w:rPr>
                <w:rFonts w:hint="eastAsia" w:eastAsia="宋体"/>
                <w:color w:val="auto"/>
                <w:sz w:val="19"/>
                <w:szCs w:val="19"/>
                <w:lang w:eastAsia="zh-CN"/>
              </w:rPr>
            </w:pPr>
            <w:r>
              <w:rPr>
                <w:rFonts w:hint="eastAsia"/>
                <w:color w:val="auto"/>
                <w:spacing w:val="3"/>
                <w:sz w:val="19"/>
                <w:szCs w:val="19"/>
                <w:lang w:val="en-US" w:eastAsia="zh-CN"/>
              </w:rPr>
              <w:t>助理研究员：</w:t>
            </w:r>
            <w:r>
              <w:rPr>
                <w:rFonts w:hint="eastAsia"/>
                <w:color w:val="auto"/>
                <w:sz w:val="19"/>
                <w:szCs w:val="19"/>
                <w:lang w:eastAsia="zh-CN"/>
              </w:rPr>
              <w:t>参与</w:t>
            </w:r>
            <w:r>
              <w:rPr>
                <w:rFonts w:hint="eastAsia"/>
                <w:color w:val="auto"/>
                <w:sz w:val="19"/>
                <w:szCs w:val="19"/>
              </w:rPr>
              <w:t>撰写教育管理</w:t>
            </w:r>
            <w:r>
              <w:rPr>
                <w:rFonts w:hint="eastAsia"/>
                <w:color w:val="auto"/>
                <w:sz w:val="19"/>
                <w:szCs w:val="19"/>
                <w:lang w:eastAsia="zh-CN"/>
              </w:rPr>
              <w:t>研究学术</w:t>
            </w:r>
            <w:r>
              <w:rPr>
                <w:rFonts w:hint="eastAsia"/>
                <w:color w:val="auto"/>
                <w:sz w:val="19"/>
                <w:szCs w:val="19"/>
              </w:rPr>
              <w:t>著作</w:t>
            </w:r>
            <w:r>
              <w:rPr>
                <w:rFonts w:hint="eastAsia"/>
                <w:color w:val="auto"/>
                <w:sz w:val="19"/>
                <w:szCs w:val="19"/>
                <w:lang w:eastAsia="zh-CN"/>
              </w:rPr>
              <w:t>，并公开出版</w:t>
            </w:r>
            <w:r>
              <w:rPr>
                <w:rFonts w:hint="eastAsia"/>
                <w:color w:val="auto"/>
                <w:sz w:val="19"/>
                <w:szCs w:val="19"/>
              </w:rPr>
              <w:t>。独立撰写著作记10分</w:t>
            </w:r>
            <w:r>
              <w:rPr>
                <w:rFonts w:hint="eastAsia"/>
                <w:color w:val="auto"/>
                <w:sz w:val="19"/>
                <w:szCs w:val="19"/>
                <w:lang w:eastAsia="zh-CN"/>
              </w:rPr>
              <w:t>；</w:t>
            </w:r>
            <w:r>
              <w:rPr>
                <w:rFonts w:hint="eastAsia"/>
                <w:color w:val="auto"/>
                <w:sz w:val="19"/>
                <w:szCs w:val="19"/>
              </w:rPr>
              <w:t>多人撰写，第一作者记70%</w:t>
            </w:r>
            <w:r>
              <w:rPr>
                <w:rFonts w:hint="eastAsia"/>
                <w:color w:val="auto"/>
                <w:sz w:val="19"/>
                <w:szCs w:val="19"/>
                <w:lang w:eastAsia="zh-CN"/>
              </w:rPr>
              <w:t>，</w:t>
            </w:r>
            <w:r>
              <w:rPr>
                <w:rFonts w:hint="eastAsia"/>
                <w:color w:val="auto"/>
                <w:sz w:val="19"/>
                <w:szCs w:val="19"/>
              </w:rPr>
              <w:t>第二作者记50%，其他记30%</w:t>
            </w:r>
            <w:r>
              <w:rPr>
                <w:rFonts w:hint="eastAsia"/>
                <w:color w:val="auto"/>
                <w:sz w:val="19"/>
                <w:szCs w:val="19"/>
                <w:lang w:eastAsia="zh-CN"/>
              </w:rPr>
              <w:t>。</w:t>
            </w:r>
          </w:p>
        </w:tc>
        <w:tc>
          <w:tcPr>
            <w:tcW w:w="2789" w:type="dxa"/>
            <w:vAlign w:val="center"/>
          </w:tcPr>
          <w:p w14:paraId="67DAB1D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0" w:firstLineChars="100"/>
              <w:jc w:val="both"/>
              <w:textAlignment w:val="auto"/>
              <w:rPr>
                <w:rFonts w:hint="eastAsia"/>
                <w:color w:val="auto"/>
                <w:sz w:val="19"/>
                <w:szCs w:val="19"/>
              </w:rPr>
            </w:pPr>
            <w:r>
              <w:rPr>
                <w:rFonts w:hint="eastAsia"/>
                <w:color w:val="auto"/>
                <w:sz w:val="19"/>
                <w:szCs w:val="19"/>
              </w:rPr>
              <w:t>任管理岗位以来，撰写人员最多不超过5位。</w:t>
            </w:r>
          </w:p>
        </w:tc>
      </w:tr>
      <w:tr w14:paraId="15A7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248" w:type="dxa"/>
            <w:tcBorders>
              <w:top w:val="single" w:color="auto" w:sz="4" w:space="0"/>
              <w:left w:val="single" w:color="auto" w:sz="4" w:space="0"/>
              <w:bottom w:val="single" w:color="auto" w:sz="4" w:space="0"/>
              <w:right w:val="single" w:color="auto" w:sz="4" w:space="0"/>
            </w:tcBorders>
            <w:vAlign w:val="center"/>
          </w:tcPr>
          <w:p w14:paraId="78E0A179">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pacing w:val="8"/>
                <w:sz w:val="19"/>
                <w:szCs w:val="19"/>
                <w:lang w:eastAsia="zh-CN"/>
              </w:rPr>
            </w:pPr>
            <w:r>
              <w:rPr>
                <w:rFonts w:hint="eastAsia"/>
                <w:color w:val="auto"/>
                <w:spacing w:val="8"/>
                <w:sz w:val="19"/>
                <w:szCs w:val="19"/>
                <w:lang w:eastAsia="zh-CN"/>
              </w:rPr>
              <w:t>综合评价</w:t>
            </w:r>
          </w:p>
          <w:p w14:paraId="33838C1A">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Arial" w:eastAsiaTheme="minorEastAsia"/>
                <w:color w:val="auto"/>
                <w:sz w:val="21"/>
                <w:lang w:eastAsia="zh-CN"/>
              </w:rPr>
            </w:pPr>
            <w:r>
              <w:rPr>
                <w:color w:val="auto"/>
                <w:spacing w:val="8"/>
                <w:sz w:val="19"/>
                <w:szCs w:val="19"/>
              </w:rPr>
              <w:t>(</w:t>
            </w:r>
            <w:r>
              <w:rPr>
                <w:rFonts w:hint="eastAsia"/>
                <w:color w:val="auto"/>
                <w:spacing w:val="8"/>
                <w:sz w:val="19"/>
                <w:szCs w:val="19"/>
                <w:lang w:val="en-US" w:eastAsia="zh-CN"/>
              </w:rPr>
              <w:t>20</w:t>
            </w:r>
            <w:r>
              <w:rPr>
                <w:color w:val="auto"/>
                <w:spacing w:val="8"/>
                <w:sz w:val="19"/>
                <w:szCs w:val="19"/>
              </w:rPr>
              <w:t>分)</w:t>
            </w:r>
          </w:p>
        </w:tc>
        <w:tc>
          <w:tcPr>
            <w:tcW w:w="864" w:type="dxa"/>
            <w:tcBorders>
              <w:top w:val="single" w:color="auto" w:sz="4" w:space="0"/>
              <w:left w:val="single" w:color="auto" w:sz="4" w:space="0"/>
              <w:bottom w:val="single" w:color="auto" w:sz="4" w:space="0"/>
              <w:right w:val="single" w:color="auto" w:sz="4" w:space="0"/>
            </w:tcBorders>
            <w:vAlign w:val="center"/>
          </w:tcPr>
          <w:p w14:paraId="24B57CD7">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color w:val="auto"/>
                <w:spacing w:val="-2"/>
                <w:sz w:val="19"/>
                <w:szCs w:val="19"/>
                <w:lang w:eastAsia="zh-CN"/>
              </w:rPr>
            </w:pPr>
            <w:r>
              <w:rPr>
                <w:rFonts w:hint="eastAsia"/>
                <w:color w:val="auto"/>
                <w:spacing w:val="-2"/>
                <w:sz w:val="19"/>
                <w:szCs w:val="19"/>
                <w:lang w:eastAsia="zh-CN"/>
              </w:rPr>
              <w:t>综合评议</w:t>
            </w:r>
          </w:p>
        </w:tc>
        <w:tc>
          <w:tcPr>
            <w:tcW w:w="768" w:type="dxa"/>
            <w:tcBorders>
              <w:left w:val="single" w:color="auto" w:sz="4" w:space="0"/>
            </w:tcBorders>
            <w:vAlign w:val="center"/>
          </w:tcPr>
          <w:p w14:paraId="38221AD4">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default"/>
                <w:color w:val="auto"/>
                <w:sz w:val="19"/>
                <w:szCs w:val="19"/>
                <w:lang w:val="en-US" w:eastAsia="zh-CN"/>
              </w:rPr>
            </w:pPr>
            <w:r>
              <w:rPr>
                <w:rFonts w:hint="eastAsia"/>
                <w:color w:val="auto"/>
                <w:sz w:val="19"/>
                <w:szCs w:val="19"/>
                <w:lang w:val="en-US" w:eastAsia="zh-CN"/>
              </w:rPr>
              <w:t>20</w:t>
            </w:r>
          </w:p>
        </w:tc>
        <w:tc>
          <w:tcPr>
            <w:tcW w:w="5035" w:type="dxa"/>
            <w:vAlign w:val="center"/>
          </w:tcPr>
          <w:p w14:paraId="7F0E0C70">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0" w:firstLineChars="100"/>
              <w:jc w:val="both"/>
              <w:textAlignment w:val="auto"/>
              <w:rPr>
                <w:rFonts w:hint="eastAsia"/>
                <w:color w:val="auto"/>
                <w:sz w:val="19"/>
                <w:szCs w:val="19"/>
              </w:rPr>
            </w:pPr>
            <w:r>
              <w:rPr>
                <w:rFonts w:hint="eastAsia"/>
                <w:color w:val="auto"/>
                <w:sz w:val="19"/>
                <w:szCs w:val="19"/>
              </w:rPr>
              <w:t>管理研究学科组对申报人的能力和业绩进行综合评价，由专家按照优秀（记</w:t>
            </w:r>
            <w:r>
              <w:rPr>
                <w:rFonts w:hint="eastAsia"/>
                <w:color w:val="auto"/>
                <w:sz w:val="19"/>
                <w:szCs w:val="19"/>
                <w:lang w:val="en-US" w:eastAsia="zh-CN"/>
              </w:rPr>
              <w:t>17</w:t>
            </w:r>
            <w:r>
              <w:rPr>
                <w:rFonts w:hint="eastAsia"/>
                <w:color w:val="auto"/>
                <w:sz w:val="19"/>
                <w:szCs w:val="19"/>
              </w:rPr>
              <w:t>-</w:t>
            </w:r>
            <w:r>
              <w:rPr>
                <w:rFonts w:hint="eastAsia"/>
                <w:color w:val="auto"/>
                <w:sz w:val="19"/>
                <w:szCs w:val="19"/>
                <w:lang w:val="en-US" w:eastAsia="zh-CN"/>
              </w:rPr>
              <w:t>20</w:t>
            </w:r>
            <w:r>
              <w:rPr>
                <w:rFonts w:hint="eastAsia"/>
                <w:color w:val="auto"/>
                <w:sz w:val="19"/>
                <w:szCs w:val="19"/>
              </w:rPr>
              <w:t>分）、良好（记</w:t>
            </w:r>
            <w:r>
              <w:rPr>
                <w:rFonts w:hint="eastAsia"/>
                <w:color w:val="auto"/>
                <w:sz w:val="19"/>
                <w:szCs w:val="19"/>
                <w:lang w:val="en-US" w:eastAsia="zh-CN"/>
              </w:rPr>
              <w:t>13</w:t>
            </w:r>
            <w:r>
              <w:rPr>
                <w:rFonts w:hint="eastAsia"/>
                <w:color w:val="auto"/>
                <w:sz w:val="19"/>
                <w:szCs w:val="19"/>
              </w:rPr>
              <w:t>-</w:t>
            </w:r>
            <w:r>
              <w:rPr>
                <w:rFonts w:hint="eastAsia"/>
                <w:color w:val="auto"/>
                <w:sz w:val="19"/>
                <w:szCs w:val="19"/>
                <w:lang w:val="en-US" w:eastAsia="zh-CN"/>
              </w:rPr>
              <w:t>16</w:t>
            </w:r>
            <w:r>
              <w:rPr>
                <w:rFonts w:hint="eastAsia"/>
                <w:color w:val="auto"/>
                <w:sz w:val="19"/>
                <w:szCs w:val="19"/>
              </w:rPr>
              <w:t>分）、一般（记</w:t>
            </w:r>
            <w:r>
              <w:rPr>
                <w:rFonts w:hint="eastAsia"/>
                <w:color w:val="auto"/>
                <w:sz w:val="19"/>
                <w:szCs w:val="19"/>
                <w:lang w:val="en-US" w:eastAsia="zh-CN"/>
              </w:rPr>
              <w:t>12</w:t>
            </w:r>
            <w:r>
              <w:rPr>
                <w:rFonts w:hint="eastAsia"/>
                <w:color w:val="auto"/>
                <w:sz w:val="19"/>
                <w:szCs w:val="19"/>
              </w:rPr>
              <w:t>分以下）三挡进行独立赋分，取平均分作为申报人该项目的实际得分。</w:t>
            </w:r>
          </w:p>
        </w:tc>
        <w:tc>
          <w:tcPr>
            <w:tcW w:w="2789" w:type="dxa"/>
            <w:vAlign w:val="center"/>
          </w:tcPr>
          <w:p w14:paraId="57541339">
            <w:pPr>
              <w:pStyle w:val="7"/>
              <w:keepNext w:val="0"/>
              <w:keepLines w:val="0"/>
              <w:pageBreakBefore w:val="0"/>
              <w:widowControl w:val="0"/>
              <w:kinsoku/>
              <w:wordWrap/>
              <w:overflowPunct/>
              <w:topLinePunct w:val="0"/>
              <w:autoSpaceDE/>
              <w:autoSpaceDN/>
              <w:bidi w:val="0"/>
              <w:adjustRightInd w:val="0"/>
              <w:snapToGrid w:val="0"/>
              <w:spacing w:line="240" w:lineRule="auto"/>
              <w:ind w:left="0" w:right="0" w:firstLine="190" w:firstLineChars="100"/>
              <w:jc w:val="both"/>
              <w:textAlignment w:val="auto"/>
              <w:rPr>
                <w:rFonts w:hint="eastAsia"/>
                <w:color w:val="auto"/>
                <w:sz w:val="19"/>
                <w:szCs w:val="19"/>
              </w:rPr>
            </w:pPr>
          </w:p>
        </w:tc>
      </w:tr>
    </w:tbl>
    <w:p w14:paraId="14E65F1E">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color w:val="auto"/>
        </w:rPr>
      </w:pPr>
    </w:p>
    <w:p w14:paraId="2CD2AF93">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sectPr>
      <w:headerReference r:id="rId3" w:type="default"/>
      <w:footerReference r:id="rId4" w:type="default"/>
      <w:pgSz w:w="11906" w:h="16838"/>
      <w:pgMar w:top="1440" w:right="1746" w:bottom="1440" w:left="17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浠垮畫_GB2312">
    <w:altName w:val="Segoe Print"/>
    <w:panose1 w:val="00000000000000000000"/>
    <w:charset w:val="00"/>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75CB">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2DF8A">
    <w:pPr>
      <w:pStyle w:val="4"/>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E095"/>
    <w:multiLevelType w:val="singleLevel"/>
    <w:tmpl w:val="E99BE0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A49CE"/>
    <w:rsid w:val="0D4602C7"/>
    <w:rsid w:val="1AD02149"/>
    <w:rsid w:val="1F923E71"/>
    <w:rsid w:val="280653FC"/>
    <w:rsid w:val="2F826D50"/>
    <w:rsid w:val="38C7135E"/>
    <w:rsid w:val="39F33B9C"/>
    <w:rsid w:val="3A9F71FC"/>
    <w:rsid w:val="46CA49CE"/>
    <w:rsid w:val="4785076D"/>
    <w:rsid w:val="488E0DCA"/>
    <w:rsid w:val="4E2A3343"/>
    <w:rsid w:val="515A3F3F"/>
    <w:rsid w:val="54C142D5"/>
    <w:rsid w:val="555D3FFE"/>
    <w:rsid w:val="597638E0"/>
    <w:rsid w:val="5B1433B1"/>
    <w:rsid w:val="5E4E6BDA"/>
    <w:rsid w:val="63100901"/>
    <w:rsid w:val="64744EC0"/>
    <w:rsid w:val="6775D37F"/>
    <w:rsid w:val="6BE7241B"/>
    <w:rsid w:val="787047F0"/>
    <w:rsid w:val="7C1F175E"/>
    <w:rsid w:val="BFF58B69"/>
    <w:rsid w:val="F9AF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18"/>
      <w:szCs w:val="18"/>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6218</Words>
  <Characters>6312</Characters>
  <Lines>0</Lines>
  <Paragraphs>0</Paragraphs>
  <TotalTime>3</TotalTime>
  <ScaleCrop>false</ScaleCrop>
  <LinksUpToDate>false</LinksUpToDate>
  <CharactersWithSpaces>6425</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2025-04-01T18:04:00Z</dcterms:created>
  <dc:creator>Admin</dc:creator>
  <cp:lastModifiedBy>屠永岚</cp:lastModifiedBy>
  <cp:lastPrinted>2025-04-01T19:14:00Z</cp:lastPrinted>
  <dcterms:modified xsi:type="dcterms:W3CDTF">2025-04-24T09:08:47Z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76D4B7BBD48F450095E2C6618CDB3E19_13</vt:lpwstr>
  </property>
  <property fmtid="{D5CDD505-2E9C-101B-9397-08002B2CF9AE}" pid="4" name="KSOTemplateDocerSaveRecord">
    <vt:lpwstr>eyJoZGlkIjoiYzhkMzY5OWZlZjVkYzFmN2JhMDM2ZWYyOWZmY2NkMzkiLCJ1c2VySWQiOiIxNjc0OTE3OTc0In0=</vt:lpwstr>
  </property>
</Properties>
</file>