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745EB">
      <w:pPr>
        <w:widowControl w:val="0"/>
        <w:wordWrap/>
        <w:adjustRightInd w:val="0"/>
        <w:snapToGrid/>
        <w:spacing w:line="240" w:lineRule="auto"/>
        <w:jc w:val="center"/>
        <w:textAlignment w:val="auto"/>
        <w:rPr>
          <w:rFonts w:hint="eastAsia" w:ascii="方正小标宋_GBK" w:hAnsi="方正小标宋_GBK" w:eastAsia="方正小标宋_GBK" w:cs="方正小标宋_GBK"/>
          <w:sz w:val="40"/>
          <w:szCs w:val="40"/>
          <w:lang w:val="en-US" w:eastAsia="zh-CN"/>
        </w:rPr>
      </w:pPr>
    </w:p>
    <w:p w14:paraId="59687A01">
      <w:pPr>
        <w:widowControl w:val="0"/>
        <w:wordWrap/>
        <w:adjustRightInd w:val="0"/>
        <w:snapToGrid/>
        <w:spacing w:line="240" w:lineRule="auto"/>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关于</w:t>
      </w:r>
      <w:r>
        <w:rPr>
          <w:rFonts w:hint="eastAsia" w:ascii="方正小标宋_GBK" w:hAnsi="方正小标宋_GBK" w:eastAsia="方正小标宋_GBK" w:cs="方正小标宋_GBK"/>
          <w:sz w:val="40"/>
          <w:szCs w:val="40"/>
          <w:lang w:eastAsia="zh-CN"/>
        </w:rPr>
        <w:t>推动城市社区</w:t>
      </w:r>
      <w:r>
        <w:rPr>
          <w:rFonts w:hint="eastAsia" w:ascii="方正小标宋_GBK" w:hAnsi="方正小标宋_GBK" w:eastAsia="方正小标宋_GBK" w:cs="方正小标宋_GBK"/>
          <w:sz w:val="40"/>
          <w:szCs w:val="40"/>
          <w:lang w:val="en-US" w:eastAsia="zh-CN"/>
        </w:rPr>
        <w:t>老年助餐服务可持续发展的实施意见</w:t>
      </w:r>
    </w:p>
    <w:p w14:paraId="1814832A">
      <w:pPr>
        <w:widowControl w:val="0"/>
        <w:wordWrap/>
        <w:adjustRightInd w:val="0"/>
        <w:snapToGrid w:val="0"/>
        <w:spacing w:afterLines="0" w:line="560" w:lineRule="exact"/>
        <w:ind w:firstLine="0" w:firstLineChars="0"/>
        <w:jc w:val="center"/>
        <w:textAlignment w:val="auto"/>
        <w:rPr>
          <w:rFonts w:hint="eastAsia" w:ascii="楷体_GB2312" w:hAnsi="楷体_GB2312" w:eastAsia="楷体_GB2312" w:cs="楷体_GB2312"/>
          <w:color w:val="auto"/>
          <w:spacing w:val="0"/>
          <w:kern w:val="2"/>
          <w:sz w:val="32"/>
          <w:szCs w:val="32"/>
          <w:lang w:val="en-US" w:eastAsia="zh-CN" w:bidi="ar-SA"/>
        </w:rPr>
      </w:pPr>
      <w:r>
        <w:rPr>
          <w:rFonts w:hint="eastAsia" w:ascii="楷体_GB2312" w:hAnsi="楷体_GB2312" w:eastAsia="楷体_GB2312" w:cs="楷体_GB2312"/>
          <w:color w:val="auto"/>
          <w:spacing w:val="0"/>
          <w:kern w:val="2"/>
          <w:sz w:val="32"/>
          <w:szCs w:val="32"/>
          <w:lang w:val="en-US" w:eastAsia="zh-CN" w:bidi="ar-SA"/>
        </w:rPr>
        <w:t>（征求意见稿）</w:t>
      </w:r>
    </w:p>
    <w:p w14:paraId="2E404E13">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p>
    <w:p w14:paraId="13DBAF81">
      <w:pPr>
        <w:widowControl w:val="0"/>
        <w:wordWrap/>
        <w:adjustRightInd w:val="0"/>
        <w:snapToGrid w:val="0"/>
        <w:spacing w:afterLines="0" w:line="560" w:lineRule="exact"/>
        <w:ind w:firstLine="640" w:firstLineChars="200"/>
        <w:jc w:val="both"/>
        <w:textAlignment w:val="auto"/>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2003年，在时任浙江省委书记习近平同志亲自推动下，全省首家老年食堂在我市西湖区翠苑一区建成。20多年来，杭州市牢记嘱托，坚持人民至上，坚持“民呼我为”，持续推进老年助餐工作。为深入贯彻落实国家《积极发展老年助餐服务行动方案》和省、市委</w:t>
      </w:r>
      <w:bookmarkStart w:id="0" w:name="_GoBack"/>
      <w:bookmarkEnd w:id="0"/>
      <w:r>
        <w:rPr>
          <w:rFonts w:hint="eastAsia" w:ascii="仿宋_GB2312" w:hAnsi="仿宋_GB2312" w:eastAsia="仿宋_GB2312" w:cs="仿宋_GB2312"/>
          <w:color w:val="auto"/>
          <w:spacing w:val="0"/>
          <w:kern w:val="2"/>
          <w:sz w:val="32"/>
          <w:szCs w:val="32"/>
          <w:lang w:val="en-US" w:eastAsia="zh-CN" w:bidi="ar-SA"/>
        </w:rPr>
        <w:t>决策部署，推动老年助餐服务可持续发展，</w:t>
      </w:r>
      <w:r>
        <w:rPr>
          <w:rFonts w:hint="default" w:ascii="仿宋_GB2312" w:hAnsi="仿宋_GB2312" w:eastAsia="仿宋_GB2312" w:cs="仿宋_GB2312"/>
          <w:color w:val="auto"/>
          <w:spacing w:val="0"/>
          <w:kern w:val="2"/>
          <w:sz w:val="32"/>
          <w:szCs w:val="32"/>
          <w:lang w:val="en-US" w:eastAsia="zh-CN" w:bidi="ar-SA"/>
        </w:rPr>
        <w:t>切实增强广大老年人的获得感和幸福感，制定本实施</w:t>
      </w:r>
      <w:r>
        <w:rPr>
          <w:rFonts w:hint="eastAsia" w:ascii="仿宋_GB2312" w:hAnsi="仿宋_GB2312" w:eastAsia="仿宋_GB2312" w:cs="仿宋_GB2312"/>
          <w:color w:val="auto"/>
          <w:spacing w:val="0"/>
          <w:kern w:val="2"/>
          <w:sz w:val="32"/>
          <w:szCs w:val="32"/>
          <w:lang w:val="en-US" w:eastAsia="zh-CN" w:bidi="ar-SA"/>
        </w:rPr>
        <w:t>意见。</w:t>
      </w:r>
    </w:p>
    <w:p w14:paraId="469CD13B">
      <w:pPr>
        <w:widowControl w:val="0"/>
        <w:numPr>
          <w:ilvl w:val="0"/>
          <w:numId w:val="0"/>
        </w:numPr>
        <w:wordWrap/>
        <w:adjustRightInd w:val="0"/>
        <w:snapToGrid w:val="0"/>
        <w:spacing w:afterLines="0" w:line="560" w:lineRule="exact"/>
        <w:ind w:firstLine="640" w:firstLineChars="200"/>
        <w:jc w:val="both"/>
        <w:textAlignment w:val="auto"/>
        <w:rPr>
          <w:rFonts w:hint="default" w:ascii="黑体" w:hAnsi="宋体" w:eastAsia="黑体" w:cs="黑体"/>
          <w:i w:val="0"/>
          <w:caps w:val="0"/>
          <w:color w:val="000000"/>
          <w:spacing w:val="0"/>
          <w:kern w:val="0"/>
          <w:sz w:val="32"/>
          <w:szCs w:val="32"/>
          <w:shd w:val="clear" w:color="auto" w:fill="FFFFFF"/>
          <w:lang w:val="en-US" w:eastAsia="zh-CN"/>
        </w:rPr>
      </w:pPr>
      <w:r>
        <w:rPr>
          <w:rFonts w:hint="default" w:ascii="黑体" w:hAnsi="宋体" w:eastAsia="黑体" w:cs="黑体"/>
          <w:i w:val="0"/>
          <w:caps w:val="0"/>
          <w:color w:val="000000"/>
          <w:spacing w:val="0"/>
          <w:kern w:val="0"/>
          <w:sz w:val="32"/>
          <w:szCs w:val="32"/>
          <w:shd w:val="clear" w:color="auto" w:fill="FFFFFF"/>
          <w:lang w:val="en-US" w:eastAsia="zh-CN"/>
        </w:rPr>
        <w:t>一、总体要求</w:t>
      </w:r>
    </w:p>
    <w:p w14:paraId="5984711F">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以习近平新时代中国特色社会主义思想为指导，全面贯彻落实党的二十大精神，坚持以人民为中心的发展思想，聚焦老年人就餐需求，立足老年助餐服务可持续发展，坚持政府引导、市场运作，着力优化整合各类服务资源，激发老年助餐服务市场活力，不断完善布局均衡、方便可及、</w:t>
      </w:r>
      <w:r>
        <w:rPr>
          <w:rFonts w:hint="default" w:ascii="仿宋_GB2312" w:hAnsi="仿宋_GB2312" w:eastAsia="仿宋_GB2312" w:cs="仿宋_GB2312"/>
          <w:color w:val="auto"/>
          <w:spacing w:val="0"/>
          <w:kern w:val="2"/>
          <w:sz w:val="32"/>
          <w:szCs w:val="32"/>
          <w:shd w:val="clear" w:color="auto" w:fill="auto"/>
          <w:lang w:val="en-US" w:eastAsia="zh-CN" w:bidi="ar-SA"/>
        </w:rPr>
        <w:t>优质安全、经济实惠</w:t>
      </w:r>
      <w:r>
        <w:rPr>
          <w:rFonts w:hint="eastAsia" w:ascii="仿宋_GB2312" w:hAnsi="仿宋_GB2312" w:eastAsia="仿宋_GB2312" w:cs="仿宋_GB2312"/>
          <w:color w:val="auto"/>
          <w:spacing w:val="0"/>
          <w:kern w:val="2"/>
          <w:sz w:val="32"/>
          <w:szCs w:val="32"/>
          <w:lang w:val="en-US" w:eastAsia="zh-CN" w:bidi="ar-SA"/>
        </w:rPr>
        <w:t>的老年助餐服务体系，办好惠民利民实事，确保工作有实效、</w:t>
      </w:r>
      <w:r>
        <w:rPr>
          <w:rFonts w:hint="default" w:ascii="仿宋_GB2312" w:hAnsi="仿宋_GB2312" w:eastAsia="仿宋_GB2312" w:cs="仿宋_GB2312"/>
          <w:color w:val="auto"/>
          <w:spacing w:val="0"/>
          <w:kern w:val="2"/>
          <w:sz w:val="32"/>
          <w:szCs w:val="32"/>
          <w:shd w:val="clear" w:color="auto" w:fill="auto"/>
          <w:lang w:val="en-US" w:eastAsia="zh-CN" w:bidi="ar-SA"/>
        </w:rPr>
        <w:t>发展</w:t>
      </w:r>
      <w:r>
        <w:rPr>
          <w:rFonts w:hint="eastAsia" w:ascii="仿宋_GB2312" w:hAnsi="仿宋_GB2312" w:eastAsia="仿宋_GB2312" w:cs="仿宋_GB2312"/>
          <w:color w:val="auto"/>
          <w:spacing w:val="0"/>
          <w:kern w:val="2"/>
          <w:sz w:val="32"/>
          <w:szCs w:val="32"/>
          <w:lang w:val="en-US" w:eastAsia="zh-CN" w:bidi="ar-SA"/>
        </w:rPr>
        <w:t>可持续、服务有口碑、</w:t>
      </w:r>
      <w:r>
        <w:rPr>
          <w:rFonts w:hint="default" w:ascii="仿宋_GB2312" w:hAnsi="仿宋_GB2312" w:eastAsia="仿宋_GB2312" w:cs="仿宋_GB2312"/>
          <w:color w:val="auto"/>
          <w:spacing w:val="0"/>
          <w:kern w:val="2"/>
          <w:sz w:val="32"/>
          <w:szCs w:val="32"/>
          <w:shd w:val="clear" w:color="auto" w:fill="auto"/>
          <w:lang w:val="en-US" w:eastAsia="zh-CN" w:bidi="ar-SA"/>
        </w:rPr>
        <w:t>老人</w:t>
      </w:r>
      <w:r>
        <w:rPr>
          <w:rFonts w:hint="eastAsia" w:ascii="仿宋_GB2312" w:hAnsi="仿宋_GB2312" w:eastAsia="仿宋_GB2312" w:cs="仿宋_GB2312"/>
          <w:color w:val="auto"/>
          <w:spacing w:val="0"/>
          <w:kern w:val="2"/>
          <w:sz w:val="32"/>
          <w:szCs w:val="32"/>
          <w:lang w:val="en-US" w:eastAsia="zh-CN" w:bidi="ar-SA"/>
        </w:rPr>
        <w:t>得实惠。</w:t>
      </w:r>
      <w:r>
        <w:rPr>
          <w:rFonts w:hint="eastAsia" w:ascii="仿宋_GB2312" w:hAnsi="仿宋_GB2312" w:eastAsia="仿宋_GB2312" w:cs="仿宋_GB2312"/>
          <w:b w:val="0"/>
          <w:bCs w:val="0"/>
          <w:color w:val="auto"/>
          <w:spacing w:val="0"/>
          <w:kern w:val="2"/>
          <w:sz w:val="32"/>
          <w:szCs w:val="32"/>
          <w:lang w:val="en-US" w:eastAsia="zh-CN" w:bidi="ar-SA"/>
        </w:rPr>
        <w:t>到2026年底，城市社区老年助餐设施布局进一步优化，服务网络进一步完善，</w:t>
      </w:r>
      <w:r>
        <w:rPr>
          <w:rFonts w:hint="eastAsia" w:ascii="仿宋_GB2312" w:hAnsi="仿宋_GB2312" w:eastAsia="仿宋_GB2312" w:cs="仿宋_GB2312"/>
          <w:color w:val="auto"/>
          <w:spacing w:val="0"/>
          <w:kern w:val="2"/>
          <w:sz w:val="32"/>
          <w:szCs w:val="32"/>
          <w:lang w:val="en-US" w:eastAsia="zh-CN" w:bidi="ar-SA"/>
        </w:rPr>
        <w:t>服务监管更有力度，</w:t>
      </w:r>
      <w:r>
        <w:rPr>
          <w:rFonts w:hint="eastAsia" w:ascii="仿宋_GB2312" w:hAnsi="仿宋_GB2312" w:eastAsia="仿宋_GB2312" w:cs="仿宋_GB2312"/>
          <w:b w:val="0"/>
          <w:bCs w:val="0"/>
          <w:color w:val="auto"/>
          <w:spacing w:val="0"/>
          <w:kern w:val="2"/>
          <w:sz w:val="32"/>
          <w:szCs w:val="32"/>
          <w:lang w:val="en-US" w:eastAsia="zh-CN" w:bidi="ar-SA"/>
        </w:rPr>
        <w:t>助餐服务市场活力更加显现，</w:t>
      </w:r>
      <w:r>
        <w:rPr>
          <w:rFonts w:hint="default" w:ascii="仿宋_GB2312" w:hAnsi="仿宋_GB2312" w:eastAsia="仿宋_GB2312" w:cs="仿宋_GB2312"/>
          <w:b w:val="0"/>
          <w:bCs w:val="0"/>
          <w:color w:val="auto"/>
          <w:spacing w:val="0"/>
          <w:kern w:val="2"/>
          <w:sz w:val="32"/>
          <w:szCs w:val="32"/>
          <w:shd w:val="clear" w:color="auto" w:fill="auto"/>
          <w:lang w:val="en-US" w:eastAsia="zh-CN" w:bidi="ar-SA"/>
        </w:rPr>
        <w:t>基本</w:t>
      </w:r>
      <w:r>
        <w:rPr>
          <w:rFonts w:hint="eastAsia" w:ascii="仿宋_GB2312" w:hAnsi="仿宋_GB2312" w:eastAsia="仿宋_GB2312" w:cs="仿宋_GB2312"/>
          <w:b w:val="0"/>
          <w:bCs w:val="0"/>
          <w:color w:val="auto"/>
          <w:spacing w:val="0"/>
          <w:kern w:val="2"/>
          <w:sz w:val="32"/>
          <w:szCs w:val="32"/>
          <w:lang w:val="en-US" w:eastAsia="zh-CN" w:bidi="ar-SA"/>
        </w:rPr>
        <w:t>实现“15分钟公共服务圈”老年助餐服务设施全覆盖，</w:t>
      </w:r>
      <w:r>
        <w:rPr>
          <w:rFonts w:hint="eastAsia" w:ascii="仿宋_GB2312" w:hAnsi="仿宋_GB2312" w:eastAsia="仿宋_GB2312" w:cs="仿宋_GB2312"/>
          <w:color w:val="auto"/>
          <w:spacing w:val="0"/>
          <w:kern w:val="2"/>
          <w:sz w:val="32"/>
          <w:szCs w:val="32"/>
          <w:lang w:val="en-US" w:eastAsia="zh-CN" w:bidi="ar-SA"/>
        </w:rPr>
        <w:t>老年人对助餐服务的获得感、满意度持续提升，形成具有杭州辨识度的共同富裕标志性成果，</w:t>
      </w:r>
      <w:r>
        <w:rPr>
          <w:rFonts w:hint="eastAsia" w:ascii="仿宋_GB2312" w:hAnsi="仿宋_GB2312" w:eastAsia="仿宋_GB2312" w:cs="仿宋_GB2312"/>
          <w:color w:val="auto"/>
          <w:spacing w:val="0"/>
          <w:kern w:val="2"/>
          <w:sz w:val="32"/>
          <w:szCs w:val="32"/>
          <w:shd w:val="clear" w:color="auto" w:fill="auto"/>
          <w:lang w:val="en-US" w:eastAsia="zh-CN" w:bidi="ar-SA"/>
        </w:rPr>
        <w:t>着力打造杭州城市发展的“金名片”</w:t>
      </w:r>
      <w:r>
        <w:rPr>
          <w:rFonts w:hint="eastAsia" w:ascii="仿宋_GB2312" w:hAnsi="仿宋_GB2312" w:eastAsia="仿宋_GB2312" w:cs="仿宋_GB2312"/>
          <w:color w:val="auto"/>
          <w:spacing w:val="0"/>
          <w:kern w:val="2"/>
          <w:sz w:val="32"/>
          <w:szCs w:val="32"/>
          <w:lang w:val="en-US" w:eastAsia="zh-CN" w:bidi="ar-SA"/>
        </w:rPr>
        <w:t>。</w:t>
      </w:r>
    </w:p>
    <w:p w14:paraId="62D3F96A">
      <w:pPr>
        <w:widowControl w:val="0"/>
        <w:numPr>
          <w:ilvl w:val="0"/>
          <w:numId w:val="0"/>
        </w:numPr>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——坚持区县统筹、通盘推进。落实区县主体责任，加大对老年助餐服务的资源配置和支持引导力度，通盘考虑，整体规划，系统推进</w:t>
      </w:r>
      <w:r>
        <w:rPr>
          <w:rFonts w:hint="eastAsia" w:ascii="仿宋_GB2312" w:hAnsi="仿宋_GB2312" w:eastAsia="仿宋_GB2312" w:cs="仿宋_GB2312"/>
          <w:spacing w:val="0"/>
          <w:sz w:val="32"/>
          <w:szCs w:val="32"/>
          <w:lang w:val="en-US" w:eastAsia="zh-CN"/>
        </w:rPr>
        <w:t>。</w:t>
      </w:r>
    </w:p>
    <w:p w14:paraId="35054864">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spacing w:val="0"/>
          <w:sz w:val="32"/>
          <w:szCs w:val="32"/>
          <w:lang w:val="en-US" w:eastAsia="zh-CN"/>
        </w:rPr>
        <w:t>——坚持市场主体、激发活力。</w:t>
      </w:r>
      <w:r>
        <w:rPr>
          <w:rFonts w:hint="eastAsia" w:ascii="仿宋_GB2312" w:hAnsi="仿宋_GB2312" w:eastAsia="仿宋_GB2312" w:cs="仿宋_GB2312"/>
          <w:color w:val="auto"/>
          <w:spacing w:val="0"/>
          <w:kern w:val="2"/>
          <w:sz w:val="32"/>
          <w:szCs w:val="32"/>
          <w:lang w:val="en-US" w:eastAsia="zh-CN" w:bidi="ar-SA"/>
        </w:rPr>
        <w:t>充分发挥市场资源配置作用，</w:t>
      </w:r>
      <w:r>
        <w:rPr>
          <w:rFonts w:hint="eastAsia" w:ascii="仿宋_GB2312" w:hAnsi="仿宋_GB2312" w:eastAsia="仿宋_GB2312" w:cs="仿宋_GB2312"/>
          <w:color w:val="auto"/>
          <w:spacing w:val="0"/>
          <w:kern w:val="2"/>
          <w:sz w:val="32"/>
          <w:szCs w:val="32"/>
          <w:shd w:val="clear" w:color="auto" w:fill="auto"/>
          <w:lang w:val="en-US" w:eastAsia="zh-CN" w:bidi="ar-SA"/>
        </w:rPr>
        <w:t>丰富公办民营、民办公助等多元供给模式，鼓励连锁经营、全龄服务，</w:t>
      </w:r>
      <w:r>
        <w:rPr>
          <w:rFonts w:hint="eastAsia" w:ascii="仿宋_GB2312" w:hAnsi="仿宋_GB2312" w:eastAsia="仿宋_GB2312" w:cs="仿宋_GB2312"/>
          <w:sz w:val="32"/>
          <w:szCs w:val="32"/>
          <w:shd w:val="clear" w:color="auto" w:fill="auto"/>
          <w:lang w:val="en-US" w:eastAsia="zh-CN"/>
        </w:rPr>
        <w:t>发挥规模效应，</w:t>
      </w:r>
      <w:r>
        <w:rPr>
          <w:rFonts w:hint="eastAsia" w:ascii="仿宋_GB2312" w:hAnsi="仿宋_GB2312" w:eastAsia="仿宋_GB2312" w:cs="仿宋_GB2312"/>
          <w:color w:val="auto"/>
          <w:spacing w:val="0"/>
          <w:kern w:val="2"/>
          <w:sz w:val="32"/>
          <w:szCs w:val="32"/>
          <w:lang w:val="en-US" w:eastAsia="zh-CN" w:bidi="ar-SA"/>
        </w:rPr>
        <w:t>实现可持续发展。</w:t>
      </w:r>
    </w:p>
    <w:p w14:paraId="460FBEEB">
      <w:pPr>
        <w:widowControl w:val="0"/>
        <w:wordWrap/>
        <w:adjustRightInd w:val="0"/>
        <w:snapToGrid w:val="0"/>
        <w:spacing w:afterLines="0" w:line="560" w:lineRule="exact"/>
        <w:ind w:firstLine="640" w:firstLineChars="200"/>
        <w:jc w:val="both"/>
        <w:textAlignment w:val="auto"/>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——坚持需求导向、注重实效。坚持尊重实际、按需供给，因地制宜发展多种形态、多种模式的老年助餐服务，有效提升覆盖面和便利度。</w:t>
      </w:r>
    </w:p>
    <w:p w14:paraId="4C9F42EA">
      <w:pPr>
        <w:widowControl w:val="0"/>
        <w:wordWrap/>
        <w:adjustRightInd w:val="0"/>
        <w:snapToGrid w:val="0"/>
        <w:spacing w:afterLines="0" w:line="560" w:lineRule="exact"/>
        <w:ind w:firstLine="640" w:firstLineChars="200"/>
        <w:jc w:val="both"/>
        <w:textAlignment w:val="auto"/>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——坚持尽力而为、量力而行。立足保基本、兜底线，优先为“不能烧、不敢烧、不会烧”的</w:t>
      </w:r>
      <w:r>
        <w:rPr>
          <w:rFonts w:hint="eastAsia" w:ascii="仿宋_GB2312" w:hAnsi="仿宋_GB2312" w:eastAsia="仿宋_GB2312" w:cs="仿宋_GB2312"/>
          <w:sz w:val="32"/>
          <w:szCs w:val="32"/>
        </w:rPr>
        <w:t>老年</w:t>
      </w:r>
      <w:r>
        <w:rPr>
          <w:rFonts w:hint="eastAsia" w:ascii="仿宋_GB2312" w:hAnsi="仿宋_GB2312" w:eastAsia="仿宋_GB2312" w:cs="仿宋_GB2312"/>
          <w:sz w:val="32"/>
          <w:szCs w:val="32"/>
          <w:lang w:eastAsia="zh-CN"/>
        </w:rPr>
        <w:t>群体</w:t>
      </w:r>
      <w:r>
        <w:rPr>
          <w:rFonts w:hint="eastAsia" w:ascii="仿宋_GB2312" w:hAnsi="仿宋_GB2312" w:eastAsia="仿宋_GB2312" w:cs="仿宋_GB2312"/>
          <w:sz w:val="32"/>
          <w:szCs w:val="32"/>
        </w:rPr>
        <w:t>提供助餐</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color w:val="auto"/>
          <w:spacing w:val="0"/>
          <w:kern w:val="2"/>
          <w:sz w:val="32"/>
          <w:szCs w:val="32"/>
          <w:lang w:val="en-US" w:eastAsia="zh-CN" w:bidi="ar-SA"/>
        </w:rPr>
        <w:t>统筹考虑经济社会发展水平、财政保障能力、要素资源供给等，灵活多样解决老年人助餐服务需求。</w:t>
      </w:r>
    </w:p>
    <w:p w14:paraId="03018CFD">
      <w:pPr>
        <w:pStyle w:val="3"/>
        <w:widowControl w:val="0"/>
        <w:wordWrap/>
        <w:spacing w:after="0" w:afterLines="0" w:line="560" w:lineRule="exact"/>
        <w:ind w:left="0" w:leftChars="0" w:right="0" w:firstLine="640" w:firstLineChars="200"/>
        <w:jc w:val="both"/>
        <w:textAlignment w:val="auto"/>
        <w:outlineLvl w:val="9"/>
        <w:rPr>
          <w:rFonts w:hint="eastAsia" w:ascii="黑体" w:hAnsi="宋体" w:eastAsia="黑体" w:cs="黑体"/>
          <w:i w:val="0"/>
          <w:caps w:val="0"/>
          <w:color w:val="000000"/>
          <w:spacing w:val="0"/>
          <w:kern w:val="0"/>
          <w:sz w:val="32"/>
          <w:szCs w:val="32"/>
          <w:shd w:val="clear" w:color="auto" w:fill="FFFFFF"/>
          <w:lang w:val="en-US" w:eastAsia="zh-CN"/>
        </w:rPr>
      </w:pPr>
      <w:r>
        <w:rPr>
          <w:rFonts w:hint="eastAsia" w:ascii="黑体" w:hAnsi="宋体" w:eastAsia="黑体" w:cs="黑体"/>
          <w:i w:val="0"/>
          <w:caps w:val="0"/>
          <w:color w:val="000000"/>
          <w:spacing w:val="0"/>
          <w:kern w:val="0"/>
          <w:sz w:val="32"/>
          <w:szCs w:val="32"/>
          <w:shd w:val="clear" w:color="auto" w:fill="FFFFFF"/>
          <w:lang w:val="en-US" w:eastAsia="zh-CN"/>
        </w:rPr>
        <w:t>二、构建</w:t>
      </w:r>
      <w:r>
        <w:rPr>
          <w:rFonts w:hint="default" w:ascii="黑体" w:hAnsi="宋体" w:eastAsia="黑体" w:cs="黑体"/>
          <w:i w:val="0"/>
          <w:caps w:val="0"/>
          <w:color w:val="000000"/>
          <w:spacing w:val="0"/>
          <w:kern w:val="0"/>
          <w:sz w:val="32"/>
          <w:szCs w:val="32"/>
          <w:shd w:val="clear" w:color="auto" w:fill="FFFFFF"/>
          <w:lang w:val="en-US" w:eastAsia="zh-CN"/>
        </w:rPr>
        <w:t>可持续综合运营体系</w:t>
      </w:r>
    </w:p>
    <w:p w14:paraId="25167D99">
      <w:pPr>
        <w:widowControl w:val="0"/>
        <w:wordWrap/>
        <w:adjustRightInd w:val="0"/>
        <w:snapToGrid w:val="0"/>
        <w:spacing w:line="560" w:lineRule="exact"/>
        <w:ind w:left="0" w:leftChars="0" w:right="0" w:firstLine="640" w:firstLineChars="200"/>
        <w:jc w:val="both"/>
        <w:textAlignment w:val="auto"/>
        <w:outlineLvl w:val="9"/>
        <w:rPr>
          <w:rFonts w:hint="eastAsia" w:ascii="楷体" w:hAnsi="楷体" w:eastAsia="楷体" w:cs="楷体"/>
          <w:i w:val="0"/>
          <w:caps w:val="0"/>
          <w:color w:val="000000"/>
          <w:spacing w:val="0"/>
          <w:kern w:val="0"/>
          <w:sz w:val="32"/>
          <w:szCs w:val="32"/>
          <w:shd w:val="clear" w:color="auto" w:fill="FFFFFF"/>
          <w:lang w:val="en-US" w:eastAsia="zh-CN"/>
        </w:rPr>
      </w:pPr>
      <w:r>
        <w:rPr>
          <w:rFonts w:hint="eastAsia" w:ascii="楷体" w:hAnsi="楷体" w:eastAsia="楷体" w:cs="楷体"/>
          <w:i w:val="0"/>
          <w:caps w:val="0"/>
          <w:color w:val="000000"/>
          <w:spacing w:val="0"/>
          <w:kern w:val="0"/>
          <w:sz w:val="32"/>
          <w:szCs w:val="32"/>
          <w:shd w:val="clear" w:color="auto" w:fill="FFFFFF"/>
          <w:lang w:val="en-US" w:eastAsia="zh-CN"/>
        </w:rPr>
        <w:t>（一）推动服务供给更可持续</w:t>
      </w:r>
    </w:p>
    <w:p w14:paraId="7DC9D04F">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合理规划设施布局。将老年助餐设施纳入城市15分钟居家养老服务圈、15分钟生活圈建设，综合考虑区域老年人口规模、助餐服务需求、服务半径、服务安全等因素，以老年人高密度居住地区为重点，以交通便利、临街地段选址为宜，通过整合现有资源改建一批、合作社会力量发展一批、因地制宜适当新建一批、配送餐服务覆盖一批等“四个一批”的方式，进一步优化老年助餐服务设施布点布局。各地应结合实际做好本区域布局规划，探索推行“中心食堂+区域食堂+特色门店”的布局模式，把握公益属性，鼓励市场参与，形成老年助餐设施的有效覆盖和差异化经营。</w:t>
      </w:r>
    </w:p>
    <w:p w14:paraId="344393C5">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kern w:val="2"/>
          <w:sz w:val="32"/>
          <w:szCs w:val="32"/>
          <w:lang w:val="en-US" w:eastAsia="zh-CN" w:bidi="ar-SA"/>
        </w:rPr>
        <w:t>2.丰富多样化</w:t>
      </w:r>
      <w:r>
        <w:rPr>
          <w:rFonts w:hint="eastAsia" w:ascii="仿宋_GB2312" w:hAnsi="仿宋_GB2312" w:eastAsia="仿宋_GB2312" w:cs="仿宋_GB2312"/>
          <w:color w:val="auto"/>
          <w:spacing w:val="0"/>
          <w:kern w:val="2"/>
          <w:sz w:val="32"/>
          <w:szCs w:val="32"/>
          <w:shd w:val="clear" w:color="auto" w:fill="auto"/>
          <w:lang w:val="en-US" w:eastAsia="zh-CN" w:bidi="ar-SA"/>
        </w:rPr>
        <w:t>供给模式。鼓励</w:t>
      </w:r>
      <w:r>
        <w:rPr>
          <w:rFonts w:hint="eastAsia" w:ascii="仿宋_GB2312" w:hAnsi="仿宋_GB2312" w:eastAsia="仿宋_GB2312" w:cs="仿宋_GB2312"/>
          <w:b w:val="0"/>
          <w:bCs w:val="0"/>
          <w:color w:val="auto"/>
          <w:spacing w:val="0"/>
          <w:kern w:val="2"/>
          <w:sz w:val="32"/>
          <w:szCs w:val="32"/>
          <w:shd w:val="clear" w:color="auto" w:fill="auto"/>
          <w:lang w:val="en-US" w:eastAsia="zh-CN" w:bidi="ar-SA"/>
        </w:rPr>
        <w:t>老年人口密集、用餐需求较大的街道（乡镇）可设置中心食堂，</w:t>
      </w:r>
      <w:r>
        <w:rPr>
          <w:rFonts w:hint="eastAsia" w:ascii="仿宋_GB2312" w:hAnsi="仿宋_GB2312" w:eastAsia="仿宋_GB2312" w:cs="仿宋_GB2312"/>
          <w:color w:val="auto"/>
          <w:spacing w:val="0"/>
          <w:kern w:val="2"/>
          <w:sz w:val="32"/>
          <w:szCs w:val="32"/>
          <w:shd w:val="clear" w:color="auto" w:fill="auto"/>
          <w:lang w:val="en-US" w:eastAsia="zh-CN" w:bidi="ar-SA"/>
        </w:rPr>
        <w:t>服务辐射周边多个社区，形成规模化、集约</w:t>
      </w:r>
      <w:r>
        <w:rPr>
          <w:rFonts w:hint="eastAsia" w:ascii="仿宋_GB2312" w:hAnsi="仿宋_GB2312" w:eastAsia="仿宋_GB2312" w:cs="仿宋_GB2312"/>
          <w:color w:val="auto"/>
          <w:spacing w:val="0"/>
          <w:kern w:val="2"/>
          <w:sz w:val="32"/>
          <w:szCs w:val="32"/>
          <w:lang w:val="en-US" w:eastAsia="zh-CN" w:bidi="ar-SA"/>
        </w:rPr>
        <w:t>化效应。以中心食堂为圆心，按照“15分钟公共服务圈”的要求，合理布局一批区域性老年食堂或助餐点，为老年人就近取餐、用餐和送餐进小区提供便利。积极动员整合社会餐饮服务资源，选择一批诚信经营、管理规范的社会餐饮企业，挂牌一批“老年餐桌”特色门店。</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社区嵌入式</w:t>
      </w:r>
      <w:r>
        <w:rPr>
          <w:rFonts w:hint="eastAsia" w:ascii="仿宋_GB2312" w:hAnsi="仿宋_GB2312" w:eastAsia="仿宋_GB2312" w:cs="仿宋_GB2312"/>
          <w:sz w:val="32"/>
          <w:szCs w:val="32"/>
        </w:rPr>
        <w:t>养老机构</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社区老年人提供助餐服务。</w:t>
      </w:r>
      <w:r>
        <w:rPr>
          <w:rFonts w:hint="eastAsia" w:ascii="仿宋_GB2312" w:hAnsi="仿宋_GB2312" w:eastAsia="仿宋_GB2312" w:cs="仿宋_GB2312"/>
          <w:sz w:val="32"/>
          <w:szCs w:val="32"/>
          <w:lang w:eastAsia="zh-CN"/>
        </w:rPr>
        <w:t>鼓励国有企业以共建共享、承接运营、提供优惠等多样化方式参与老年助餐工作。</w:t>
      </w:r>
      <w:r>
        <w:rPr>
          <w:rFonts w:hint="eastAsia" w:ascii="仿宋_GB2312" w:hAnsi="仿宋_GB2312" w:eastAsia="仿宋_GB2312" w:cs="仿宋_GB2312"/>
          <w:sz w:val="32"/>
          <w:szCs w:val="32"/>
          <w:shd w:val="clear" w:color="auto" w:fill="auto"/>
        </w:rPr>
        <w:t>鼓励有条件</w:t>
      </w:r>
      <w:r>
        <w:rPr>
          <w:rFonts w:hint="eastAsia" w:ascii="仿宋_GB2312" w:hAnsi="仿宋_GB2312" w:eastAsia="仿宋_GB2312" w:cs="仿宋_GB2312"/>
          <w:sz w:val="32"/>
          <w:szCs w:val="32"/>
          <w:shd w:val="clear" w:color="auto" w:fill="auto"/>
          <w:lang w:eastAsia="zh-CN"/>
        </w:rPr>
        <w:t>的</w:t>
      </w:r>
      <w:r>
        <w:rPr>
          <w:rFonts w:hint="eastAsia" w:ascii="仿宋_GB2312" w:hAnsi="仿宋_GB2312" w:eastAsia="仿宋_GB2312" w:cs="仿宋_GB2312"/>
          <w:sz w:val="32"/>
          <w:szCs w:val="32"/>
          <w:shd w:val="clear" w:color="auto" w:fill="auto"/>
        </w:rPr>
        <w:t>单位食堂</w:t>
      </w:r>
      <w:r>
        <w:rPr>
          <w:rFonts w:hint="eastAsia" w:ascii="仿宋_GB2312" w:hAnsi="仿宋_GB2312" w:eastAsia="仿宋_GB2312" w:cs="仿宋_GB2312"/>
          <w:sz w:val="32"/>
          <w:szCs w:val="32"/>
        </w:rPr>
        <w:t>对外部老年人开放，扩大服务供给。</w:t>
      </w:r>
    </w:p>
    <w:p w14:paraId="112B916D">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提升配送餐服务能力。各地可依托中心食堂、区域食堂等服务设施，在符合食品安全要求前提下，为社区老年人提供餐食配送服务。探索“市场+公益”的老年送餐可持续运行机制。充分利用互联网平台、物流网络为老年人送餐，鼓励助餐服务机构与互联网电商平台合作，</w:t>
      </w:r>
      <w:r>
        <w:rPr>
          <w:rFonts w:hint="eastAsia" w:ascii="仿宋_GB2312" w:hAnsi="仿宋_GB2312" w:eastAsia="仿宋_GB2312" w:cs="仿宋_GB2312"/>
          <w:sz w:val="32"/>
          <w:szCs w:val="32"/>
          <w:lang w:val="en-US" w:eastAsia="zh-CN"/>
        </w:rPr>
        <w:t>上线服务专区，</w:t>
      </w:r>
      <w:r>
        <w:rPr>
          <w:rFonts w:hint="eastAsia" w:ascii="仿宋_GB2312" w:hAnsi="仿宋_GB2312" w:eastAsia="仿宋_GB2312" w:cs="仿宋_GB2312"/>
          <w:color w:val="auto"/>
          <w:spacing w:val="0"/>
          <w:kern w:val="2"/>
          <w:sz w:val="32"/>
          <w:szCs w:val="32"/>
          <w:lang w:val="en-US" w:eastAsia="zh-CN" w:bidi="ar-SA"/>
        </w:rPr>
        <w:t>为老年人提供市场化点餐服务，丰富消费体验。鼓励社区</w:t>
      </w:r>
      <w:r>
        <w:rPr>
          <w:rFonts w:hint="eastAsia" w:ascii="仿宋_GB2312" w:hAnsi="仿宋_GB2312" w:eastAsia="仿宋_GB2312" w:cs="仿宋_GB2312"/>
          <w:sz w:val="32"/>
          <w:szCs w:val="32"/>
          <w:lang w:val="en-US" w:eastAsia="zh-CN"/>
        </w:rPr>
        <w:t>培育发展老年助餐志愿服务队伍，重点为有需要的高龄、空巢独居、失能失智等特殊老年人同步提供送餐和探访关爱服务。</w:t>
      </w:r>
    </w:p>
    <w:p w14:paraId="48EE37F9">
      <w:pPr>
        <w:widowControl w:val="0"/>
        <w:wordWrap/>
        <w:adjustRightInd w:val="0"/>
        <w:snapToGrid w:val="0"/>
        <w:spacing w:afterLines="0" w:line="560" w:lineRule="exact"/>
        <w:ind w:firstLine="640" w:firstLineChars="200"/>
        <w:jc w:val="both"/>
        <w:textAlignment w:val="auto"/>
        <w:rPr>
          <w:rFonts w:hint="default" w:ascii="楷体" w:hAnsi="楷体" w:eastAsia="楷体" w:cs="楷体"/>
          <w:i w:val="0"/>
          <w:caps w:val="0"/>
          <w:color w:val="000000"/>
          <w:spacing w:val="0"/>
          <w:kern w:val="0"/>
          <w:sz w:val="32"/>
          <w:szCs w:val="32"/>
          <w:shd w:val="clear" w:color="auto" w:fill="FFFFFF"/>
          <w:lang w:val="en-US" w:eastAsia="zh-CN"/>
        </w:rPr>
      </w:pPr>
      <w:r>
        <w:rPr>
          <w:rFonts w:hint="eastAsia" w:ascii="楷体" w:hAnsi="楷体" w:eastAsia="楷体" w:cs="楷体"/>
          <w:i w:val="0"/>
          <w:caps w:val="0"/>
          <w:color w:val="000000"/>
          <w:spacing w:val="0"/>
          <w:kern w:val="0"/>
          <w:sz w:val="32"/>
          <w:szCs w:val="32"/>
          <w:shd w:val="clear" w:color="auto" w:fill="FFFFFF"/>
          <w:lang w:val="en-US" w:eastAsia="zh-CN"/>
        </w:rPr>
        <w:t>（二）推动机构运营更可持续</w:t>
      </w:r>
    </w:p>
    <w:p w14:paraId="56FD5A47">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4.全面推行市场化</w:t>
      </w:r>
      <w:r>
        <w:rPr>
          <w:rFonts w:hint="default" w:ascii="仿宋_GB2312" w:hAnsi="仿宋_GB2312" w:eastAsia="仿宋_GB2312" w:cs="仿宋_GB2312"/>
          <w:color w:val="auto"/>
          <w:spacing w:val="0"/>
          <w:kern w:val="2"/>
          <w:sz w:val="32"/>
          <w:szCs w:val="32"/>
          <w:lang w:val="en-US" w:eastAsia="zh-CN" w:bidi="ar-SA"/>
        </w:rPr>
        <w:t>运营。</w:t>
      </w:r>
      <w:r>
        <w:rPr>
          <w:rFonts w:hint="eastAsia" w:ascii="仿宋_GB2312" w:hAnsi="仿宋_GB2312" w:eastAsia="仿宋_GB2312" w:cs="仿宋_GB2312"/>
          <w:color w:val="auto"/>
          <w:spacing w:val="0"/>
          <w:kern w:val="2"/>
          <w:sz w:val="32"/>
          <w:szCs w:val="32"/>
          <w:lang w:val="en-US" w:eastAsia="zh-CN" w:bidi="ar-SA"/>
        </w:rPr>
        <w:t>城市社区老年助餐服务机构原则上实行市场化运营，</w:t>
      </w:r>
      <w:r>
        <w:rPr>
          <w:rFonts w:hint="default" w:ascii="仿宋_GB2312" w:hAnsi="仿宋_GB2312" w:eastAsia="仿宋_GB2312" w:cs="仿宋_GB2312"/>
          <w:b w:val="0"/>
          <w:bCs w:val="0"/>
          <w:color w:val="auto"/>
          <w:spacing w:val="0"/>
          <w:kern w:val="2"/>
          <w:sz w:val="32"/>
          <w:szCs w:val="32"/>
          <w:lang w:val="en-US" w:eastAsia="zh-CN" w:bidi="ar-SA"/>
        </w:rPr>
        <w:t>因地制宜探索公办民营、民办公助等</w:t>
      </w:r>
      <w:r>
        <w:rPr>
          <w:rFonts w:hint="eastAsia" w:ascii="仿宋_GB2312" w:hAnsi="仿宋_GB2312" w:eastAsia="仿宋_GB2312" w:cs="仿宋_GB2312"/>
          <w:b w:val="0"/>
          <w:bCs w:val="0"/>
          <w:color w:val="auto"/>
          <w:spacing w:val="0"/>
          <w:kern w:val="2"/>
          <w:sz w:val="32"/>
          <w:szCs w:val="32"/>
          <w:lang w:val="en-US" w:eastAsia="zh-CN" w:bidi="ar-SA"/>
        </w:rPr>
        <w:t>市场化</w:t>
      </w:r>
      <w:r>
        <w:rPr>
          <w:rFonts w:hint="default" w:ascii="仿宋_GB2312" w:hAnsi="仿宋_GB2312" w:eastAsia="仿宋_GB2312" w:cs="仿宋_GB2312"/>
          <w:b w:val="0"/>
          <w:bCs w:val="0"/>
          <w:color w:val="auto"/>
          <w:spacing w:val="0"/>
          <w:kern w:val="2"/>
          <w:sz w:val="32"/>
          <w:szCs w:val="32"/>
          <w:lang w:val="en-US" w:eastAsia="zh-CN" w:bidi="ar-SA"/>
        </w:rPr>
        <w:t>运营路径</w:t>
      </w:r>
      <w:r>
        <w:rPr>
          <w:rFonts w:hint="eastAsia" w:ascii="仿宋_GB2312" w:hAnsi="仿宋_GB2312" w:eastAsia="仿宋_GB2312" w:cs="仿宋_GB2312"/>
          <w:b w:val="0"/>
          <w:bCs w:val="0"/>
          <w:color w:val="auto"/>
          <w:spacing w:val="0"/>
          <w:kern w:val="2"/>
          <w:sz w:val="32"/>
          <w:szCs w:val="32"/>
          <w:lang w:val="en-US" w:eastAsia="zh-CN" w:bidi="ar-SA"/>
        </w:rPr>
        <w:t>，</w:t>
      </w:r>
      <w:r>
        <w:rPr>
          <w:rFonts w:hint="default" w:ascii="仿宋_GB2312" w:hAnsi="仿宋_GB2312" w:eastAsia="仿宋_GB2312" w:cs="仿宋_GB2312"/>
          <w:color w:val="auto"/>
          <w:spacing w:val="0"/>
          <w:kern w:val="2"/>
          <w:sz w:val="32"/>
          <w:szCs w:val="32"/>
          <w:lang w:val="en-US" w:eastAsia="zh-CN" w:bidi="ar-SA"/>
        </w:rPr>
        <w:t>鼓励优质社会餐饮企业参与</w:t>
      </w:r>
      <w:r>
        <w:rPr>
          <w:rFonts w:hint="eastAsia" w:ascii="仿宋_GB2312" w:hAnsi="仿宋_GB2312" w:eastAsia="仿宋_GB2312" w:cs="仿宋_GB2312"/>
          <w:color w:val="auto"/>
          <w:spacing w:val="0"/>
          <w:kern w:val="2"/>
          <w:sz w:val="32"/>
          <w:szCs w:val="32"/>
          <w:lang w:val="en-US" w:eastAsia="zh-CN" w:bidi="ar-SA"/>
        </w:rPr>
        <w:t>老年助餐服务设施</w:t>
      </w:r>
      <w:r>
        <w:rPr>
          <w:rFonts w:hint="default" w:ascii="仿宋_GB2312" w:hAnsi="仿宋_GB2312" w:eastAsia="仿宋_GB2312" w:cs="仿宋_GB2312"/>
          <w:color w:val="auto"/>
          <w:spacing w:val="0"/>
          <w:kern w:val="2"/>
          <w:sz w:val="32"/>
          <w:szCs w:val="32"/>
          <w:lang w:val="en-US" w:eastAsia="zh-CN" w:bidi="ar-SA"/>
        </w:rPr>
        <w:t>建设、运营和服务，提供价格优惠、品种多样的助餐服务。</w:t>
      </w:r>
      <w:r>
        <w:rPr>
          <w:rFonts w:hint="eastAsia" w:ascii="仿宋_GB2312" w:hAnsi="仿宋_GB2312" w:eastAsia="仿宋_GB2312" w:cs="仿宋_GB2312"/>
          <w:b w:val="0"/>
          <w:bCs w:val="0"/>
          <w:color w:val="auto"/>
          <w:spacing w:val="0"/>
          <w:kern w:val="2"/>
          <w:sz w:val="32"/>
          <w:szCs w:val="32"/>
          <w:lang w:val="en-US" w:eastAsia="zh-CN" w:bidi="ar-SA"/>
        </w:rPr>
        <w:t>鼓励片区式、</w:t>
      </w:r>
      <w:r>
        <w:rPr>
          <w:rFonts w:hint="default" w:ascii="仿宋_GB2312" w:hAnsi="仿宋_GB2312" w:eastAsia="仿宋_GB2312" w:cs="仿宋_GB2312"/>
          <w:b w:val="0"/>
          <w:bCs w:val="0"/>
          <w:color w:val="auto"/>
          <w:spacing w:val="0"/>
          <w:kern w:val="2"/>
          <w:sz w:val="32"/>
          <w:szCs w:val="32"/>
          <w:lang w:val="en-US" w:eastAsia="zh-CN" w:bidi="ar-SA"/>
        </w:rPr>
        <w:t>连锁化、规模化</w:t>
      </w:r>
      <w:r>
        <w:rPr>
          <w:rFonts w:hint="eastAsia" w:ascii="仿宋_GB2312" w:hAnsi="仿宋_GB2312" w:eastAsia="仿宋_GB2312" w:cs="仿宋_GB2312"/>
          <w:b w:val="0"/>
          <w:bCs w:val="0"/>
          <w:color w:val="auto"/>
          <w:spacing w:val="0"/>
          <w:kern w:val="2"/>
          <w:sz w:val="32"/>
          <w:szCs w:val="32"/>
          <w:lang w:val="en-US" w:eastAsia="zh-CN" w:bidi="ar-SA"/>
        </w:rPr>
        <w:t>、品牌化</w:t>
      </w:r>
      <w:r>
        <w:rPr>
          <w:rFonts w:hint="default" w:ascii="仿宋_GB2312" w:hAnsi="仿宋_GB2312" w:eastAsia="仿宋_GB2312" w:cs="仿宋_GB2312"/>
          <w:b w:val="0"/>
          <w:bCs w:val="0"/>
          <w:color w:val="auto"/>
          <w:spacing w:val="0"/>
          <w:kern w:val="2"/>
          <w:sz w:val="32"/>
          <w:szCs w:val="32"/>
          <w:lang w:val="en-US" w:eastAsia="zh-CN" w:bidi="ar-SA"/>
        </w:rPr>
        <w:t>运营，降低成本，</w:t>
      </w:r>
      <w:r>
        <w:rPr>
          <w:rFonts w:hint="eastAsia" w:ascii="仿宋_GB2312" w:hAnsi="仿宋_GB2312" w:eastAsia="仿宋_GB2312" w:cs="仿宋_GB2312"/>
          <w:b w:val="0"/>
          <w:bCs w:val="0"/>
          <w:color w:val="auto"/>
          <w:spacing w:val="0"/>
          <w:kern w:val="2"/>
          <w:sz w:val="32"/>
          <w:szCs w:val="32"/>
          <w:lang w:val="en-US" w:eastAsia="zh-CN" w:bidi="ar-SA"/>
        </w:rPr>
        <w:t>提升</w:t>
      </w:r>
      <w:r>
        <w:rPr>
          <w:rFonts w:hint="default" w:ascii="仿宋_GB2312" w:hAnsi="仿宋_GB2312" w:eastAsia="仿宋_GB2312" w:cs="仿宋_GB2312"/>
          <w:b w:val="0"/>
          <w:bCs w:val="0"/>
          <w:color w:val="auto"/>
          <w:spacing w:val="0"/>
          <w:kern w:val="2"/>
          <w:sz w:val="32"/>
          <w:szCs w:val="32"/>
          <w:lang w:val="en-US" w:eastAsia="zh-CN" w:bidi="ar-SA"/>
        </w:rPr>
        <w:t>经营</w:t>
      </w:r>
      <w:r>
        <w:rPr>
          <w:rFonts w:hint="eastAsia" w:ascii="仿宋_GB2312" w:hAnsi="仿宋_GB2312" w:eastAsia="仿宋_GB2312" w:cs="仿宋_GB2312"/>
          <w:b w:val="0"/>
          <w:bCs w:val="0"/>
          <w:color w:val="auto"/>
          <w:spacing w:val="0"/>
          <w:kern w:val="2"/>
          <w:sz w:val="32"/>
          <w:szCs w:val="32"/>
          <w:lang w:val="en-US" w:eastAsia="zh-CN" w:bidi="ar-SA"/>
        </w:rPr>
        <w:t>效率</w:t>
      </w:r>
      <w:r>
        <w:rPr>
          <w:rFonts w:hint="default" w:ascii="仿宋_GB2312" w:hAnsi="仿宋_GB2312" w:eastAsia="仿宋_GB2312" w:cs="仿宋_GB2312"/>
          <w:b w:val="0"/>
          <w:bCs w:val="0"/>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zh-CN" w:bidi="ar-SA"/>
        </w:rPr>
        <w:t>鼓励物业服务企业参与助餐服务，以公益性项目和经营性项目综合打包的形式，探索整体经营、资源共享、优势互补的运作机制。</w:t>
      </w:r>
    </w:p>
    <w:p w14:paraId="2B83B179">
      <w:pPr>
        <w:widowControl w:val="0"/>
        <w:wordWrap/>
        <w:adjustRightInd w:val="0"/>
        <w:snapToGrid w:val="0"/>
        <w:spacing w:afterLines="0" w:line="560" w:lineRule="exact"/>
        <w:ind w:firstLine="640" w:firstLineChars="200"/>
        <w:jc w:val="both"/>
        <w:textAlignment w:val="auto"/>
        <w:rPr>
          <w:rFonts w:hint="eastAsia" w:ascii="楷体" w:hAnsi="楷体" w:eastAsia="楷体" w:cs="楷体"/>
          <w:b w:val="0"/>
          <w:bCs w:val="0"/>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5.积极推行多元经营</w:t>
      </w:r>
      <w:r>
        <w:rPr>
          <w:rFonts w:hint="eastAsia" w:ascii="仿宋_GB2312" w:hAnsi="仿宋_GB2312" w:eastAsia="仿宋_GB2312" w:cs="仿宋_GB2312"/>
          <w:color w:val="auto"/>
          <w:spacing w:val="0"/>
          <w:kern w:val="2"/>
          <w:sz w:val="32"/>
          <w:szCs w:val="32"/>
          <w:shd w:val="clear" w:color="auto" w:fill="auto"/>
          <w:lang w:val="en-US" w:eastAsia="zh-CN" w:bidi="ar-SA"/>
        </w:rPr>
        <w:t>和全龄服务</w:t>
      </w:r>
      <w:r>
        <w:rPr>
          <w:rFonts w:hint="eastAsia" w:ascii="仿宋_GB2312" w:hAnsi="仿宋_GB2312" w:eastAsia="仿宋_GB2312" w:cs="仿宋_GB2312"/>
          <w:color w:val="auto"/>
          <w:spacing w:val="0"/>
          <w:kern w:val="2"/>
          <w:sz w:val="32"/>
          <w:szCs w:val="32"/>
          <w:lang w:val="en-US" w:eastAsia="zh-CN" w:bidi="ar-SA"/>
        </w:rPr>
        <w:t>。主动回应居民群众各类就餐需求</w:t>
      </w:r>
      <w:r>
        <w:rPr>
          <w:rFonts w:hint="eastAsia" w:ascii="仿宋_GB2312" w:hAnsi="仿宋_GB2312" w:eastAsia="仿宋_GB2312" w:cs="仿宋_GB2312"/>
          <w:b w:val="0"/>
          <w:bCs w:val="0"/>
          <w:color w:val="auto"/>
          <w:spacing w:val="0"/>
          <w:kern w:val="2"/>
          <w:sz w:val="32"/>
          <w:szCs w:val="32"/>
          <w:lang w:val="en-US" w:eastAsia="zh-CN" w:bidi="ar-SA"/>
        </w:rPr>
        <w:t>，推动城市社区老年食堂向社区食堂转型升级，在优先满足老年人就餐需求的基础上</w:t>
      </w:r>
      <w:r>
        <w:rPr>
          <w:rFonts w:hint="eastAsia" w:ascii="仿宋_GB2312" w:hAnsi="仿宋_GB2312" w:eastAsia="仿宋_GB2312" w:cs="仿宋_GB2312"/>
          <w:i w:val="0"/>
          <w:iCs w:val="0"/>
          <w:color w:val="auto"/>
          <w:spacing w:val="0"/>
          <w:kern w:val="2"/>
          <w:sz w:val="32"/>
          <w:szCs w:val="32"/>
          <w:u w:val="none"/>
          <w:lang w:val="en-US" w:eastAsia="zh-CN" w:bidi="ar-SA"/>
        </w:rPr>
        <w:t>，面向市民公众开放</w:t>
      </w:r>
      <w:r>
        <w:rPr>
          <w:rFonts w:hint="eastAsia" w:ascii="仿宋_GB2312" w:hAnsi="仿宋_GB2312" w:eastAsia="仿宋_GB2312" w:cs="仿宋_GB2312"/>
          <w:b w:val="0"/>
          <w:bCs w:val="0"/>
          <w:color w:val="auto"/>
          <w:spacing w:val="0"/>
          <w:kern w:val="2"/>
          <w:sz w:val="32"/>
          <w:szCs w:val="32"/>
          <w:lang w:val="en-US" w:eastAsia="zh-CN" w:bidi="ar-SA"/>
        </w:rPr>
        <w:t>，</w:t>
      </w:r>
      <w:r>
        <w:rPr>
          <w:rFonts w:hint="eastAsia" w:ascii="仿宋_GB2312" w:hAnsi="仿宋_GB2312" w:eastAsia="仿宋_GB2312" w:cs="仿宋_GB2312"/>
          <w:i w:val="0"/>
          <w:iCs w:val="0"/>
          <w:color w:val="auto"/>
          <w:spacing w:val="0"/>
          <w:kern w:val="2"/>
          <w:sz w:val="32"/>
          <w:szCs w:val="32"/>
          <w:u w:val="none"/>
          <w:lang w:val="en-US" w:eastAsia="zh-CN" w:bidi="ar-SA"/>
        </w:rPr>
        <w:t>开展多时段经营，</w:t>
      </w:r>
      <w:r>
        <w:rPr>
          <w:rFonts w:hint="eastAsia" w:ascii="仿宋_GB2312" w:hAnsi="仿宋_GB2312" w:eastAsia="仿宋_GB2312" w:cs="仿宋_GB2312"/>
          <w:b w:val="0"/>
          <w:bCs w:val="0"/>
          <w:color w:val="auto"/>
          <w:spacing w:val="0"/>
          <w:kern w:val="2"/>
          <w:sz w:val="32"/>
          <w:szCs w:val="32"/>
          <w:lang w:val="en-US" w:eastAsia="zh-CN" w:bidi="ar-SA"/>
        </w:rPr>
        <w:t>提供“全龄友好、普惠优享”的便民助餐服务。</w:t>
      </w:r>
      <w:r>
        <w:rPr>
          <w:rFonts w:hint="eastAsia" w:ascii="仿宋_GB2312" w:hAnsi="仿宋_GB2312" w:eastAsia="仿宋_GB2312" w:cs="仿宋_GB2312"/>
          <w:color w:val="auto"/>
          <w:spacing w:val="0"/>
          <w:kern w:val="2"/>
          <w:sz w:val="32"/>
          <w:szCs w:val="32"/>
          <w:lang w:val="en-US" w:eastAsia="zh-CN" w:bidi="ar-SA"/>
        </w:rPr>
        <w:t>鼓励利用场地空间销售农副产品、净菜等，与各类生活</w:t>
      </w:r>
      <w:r>
        <w:rPr>
          <w:rFonts w:hint="default" w:ascii="仿宋_GB2312" w:hAnsi="仿宋_GB2312" w:eastAsia="仿宋_GB2312" w:cs="仿宋_GB2312"/>
          <w:color w:val="auto"/>
          <w:spacing w:val="0"/>
          <w:kern w:val="2"/>
          <w:sz w:val="32"/>
          <w:szCs w:val="32"/>
          <w:lang w:val="en-US" w:eastAsia="zh-CN" w:bidi="ar-SA"/>
        </w:rPr>
        <w:t>场景充分融合</w:t>
      </w:r>
      <w:r>
        <w:rPr>
          <w:rFonts w:hint="eastAsia" w:ascii="仿宋_GB2312" w:hAnsi="仿宋_GB2312" w:eastAsia="仿宋_GB2312" w:cs="仿宋_GB2312"/>
          <w:color w:val="auto"/>
          <w:spacing w:val="0"/>
          <w:kern w:val="2"/>
          <w:sz w:val="32"/>
          <w:szCs w:val="32"/>
          <w:lang w:val="en-US" w:eastAsia="zh-CN" w:bidi="ar-SA"/>
        </w:rPr>
        <w:t>，持续提升服务吸引力。积极拓展休闲、烘焙、微超等功能，丰富经营业态，推动差异化、特色化发展。</w:t>
      </w:r>
      <w:r>
        <w:rPr>
          <w:rFonts w:hint="eastAsia" w:ascii="仿宋_GB2312" w:hAnsi="仿宋_GB2312" w:eastAsia="仿宋_GB2312" w:cs="仿宋_GB2312"/>
          <w:i w:val="0"/>
          <w:caps w:val="0"/>
          <w:color w:val="000000"/>
          <w:spacing w:val="0"/>
          <w:sz w:val="32"/>
          <w:szCs w:val="32"/>
          <w:lang w:val="en-US" w:eastAsia="zh-CN"/>
        </w:rPr>
        <w:t>鼓励老年助餐服务机构助力“春雨计划”，通过一定的优惠折扣或特色套餐等形式，扩大服务吸引力。</w:t>
      </w:r>
    </w:p>
    <w:p w14:paraId="194305B0">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6.鼓励多方参与联动。</w:t>
      </w:r>
      <w:r>
        <w:rPr>
          <w:rFonts w:hint="default" w:ascii="仿宋_GB2312" w:hAnsi="仿宋_GB2312" w:eastAsia="仿宋_GB2312" w:cs="仿宋_GB2312"/>
          <w:color w:val="auto"/>
          <w:spacing w:val="0"/>
          <w:kern w:val="2"/>
          <w:sz w:val="32"/>
          <w:szCs w:val="32"/>
          <w:lang w:val="en-US" w:eastAsia="zh-CN" w:bidi="ar-SA"/>
        </w:rPr>
        <w:t>全</w:t>
      </w:r>
      <w:r>
        <w:rPr>
          <w:rFonts w:hint="default" w:ascii="仿宋_GB2312" w:hAnsi="仿宋_GB2312" w:eastAsia="仿宋_GB2312" w:cs="仿宋_GB2312"/>
          <w:b w:val="0"/>
          <w:bCs w:val="0"/>
          <w:color w:val="auto"/>
          <w:spacing w:val="0"/>
          <w:kern w:val="2"/>
          <w:sz w:val="32"/>
          <w:szCs w:val="32"/>
          <w:lang w:val="en-US" w:eastAsia="zh-CN" w:bidi="ar-SA"/>
        </w:rPr>
        <w:t>面推行养老服务</w:t>
      </w:r>
      <w:r>
        <w:rPr>
          <w:rFonts w:hint="eastAsia" w:ascii="仿宋_GB2312" w:hAnsi="仿宋_GB2312" w:eastAsia="仿宋_GB2312" w:cs="仿宋_GB2312"/>
          <w:b w:val="0"/>
          <w:bCs w:val="0"/>
          <w:color w:val="auto"/>
          <w:spacing w:val="0"/>
          <w:kern w:val="2"/>
          <w:sz w:val="32"/>
          <w:szCs w:val="32"/>
          <w:lang w:val="en-US" w:eastAsia="zh-CN" w:bidi="ar-SA"/>
        </w:rPr>
        <w:t>“爱心卡”，通过财政投一点、集体担一点、社会捐一点、家庭出一点的模式，加强助餐资源统筹。</w:t>
      </w:r>
      <w:r>
        <w:rPr>
          <w:rFonts w:hint="eastAsia" w:ascii="仿宋_GB2312" w:hAnsi="仿宋_GB2312" w:eastAsia="仿宋_GB2312" w:cs="仿宋_GB2312"/>
          <w:color w:val="auto"/>
          <w:spacing w:val="0"/>
          <w:kern w:val="2"/>
          <w:sz w:val="32"/>
          <w:szCs w:val="32"/>
          <w:lang w:val="en-US" w:eastAsia="zh-CN" w:bidi="ar-SA"/>
        </w:rPr>
        <w:t>整合大型农产品生产基地、供应仓储、“嵌入式”公益性共富菜市等资源，为有需要的老年助餐服务机构提供集中供应链，利用集采优势降本增效。积极发挥餐饮协会等行业组织作用，在选址布局、餐品指导、资源链接、质量监督、星级评价等方面为老年助餐工作提供支持。发挥家庭基础作用，鼓励子女通过包餐制、线上点单等形式为老年人购买助餐服务。</w:t>
      </w:r>
    </w:p>
    <w:p w14:paraId="1FF30212">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7.培育优质服务品牌。强化</w:t>
      </w:r>
      <w:r>
        <w:rPr>
          <w:rFonts w:hint="eastAsia" w:ascii="仿宋_GB2312" w:hAnsi="仿宋_GB2312" w:eastAsia="仿宋_GB2312" w:cs="仿宋_GB2312"/>
          <w:color w:val="auto"/>
          <w:spacing w:val="0"/>
          <w:kern w:val="2"/>
          <w:sz w:val="32"/>
          <w:szCs w:val="32"/>
          <w:lang w:val="en-US" w:eastAsia="zh-CN" w:bidi="ar-SA"/>
        </w:rPr>
        <w:t>品牌管理</w:t>
      </w:r>
      <w:r>
        <w:rPr>
          <w:rFonts w:hint="eastAsia" w:ascii="仿宋_GB2312" w:hAnsi="仿宋_GB2312" w:eastAsia="仿宋_GB2312" w:cs="仿宋_GB2312"/>
          <w:b w:val="0"/>
          <w:bCs w:val="0"/>
          <w:color w:val="auto"/>
          <w:spacing w:val="0"/>
          <w:kern w:val="2"/>
          <w:sz w:val="32"/>
          <w:szCs w:val="32"/>
          <w:lang w:val="en-US" w:eastAsia="zh-CN" w:bidi="ar-SA"/>
        </w:rPr>
        <w:t>，全市老年助餐服务机构统一“百膳惠老</w:t>
      </w:r>
      <w:r>
        <w:rPr>
          <w:rFonts w:hint="eastAsia" w:ascii="仿宋" w:hAnsi="仿宋" w:eastAsia="仿宋" w:cs="仿宋"/>
          <w:b w:val="0"/>
          <w:bCs w:val="0"/>
          <w:color w:val="auto"/>
          <w:spacing w:val="0"/>
          <w:kern w:val="2"/>
          <w:sz w:val="32"/>
          <w:szCs w:val="32"/>
          <w:lang w:val="en-US" w:eastAsia="zh-CN" w:bidi="ar-SA"/>
        </w:rPr>
        <w:t>·</w:t>
      </w:r>
      <w:r>
        <w:rPr>
          <w:rFonts w:hint="eastAsia" w:ascii="仿宋_GB2312" w:hAnsi="仿宋_GB2312" w:eastAsia="仿宋_GB2312" w:cs="仿宋_GB2312"/>
          <w:b w:val="0"/>
          <w:bCs w:val="0"/>
          <w:color w:val="auto"/>
          <w:spacing w:val="0"/>
          <w:kern w:val="2"/>
          <w:sz w:val="32"/>
          <w:szCs w:val="32"/>
          <w:lang w:val="en-US" w:eastAsia="zh-CN" w:bidi="ar-SA"/>
        </w:rPr>
        <w:t>杭州</w:t>
      </w:r>
      <w:r>
        <w:rPr>
          <w:rFonts w:hint="eastAsia" w:ascii="仿宋_GB2312" w:hAnsi="仿宋_GB2312" w:eastAsia="仿宋_GB2312" w:cs="仿宋_GB2312"/>
          <w:b w:val="0"/>
          <w:bCs w:val="0"/>
          <w:color w:val="auto"/>
          <w:spacing w:val="0"/>
          <w:kern w:val="2"/>
          <w:sz w:val="32"/>
          <w:szCs w:val="32"/>
          <w:shd w:val="clear" w:color="auto" w:fill="auto"/>
          <w:lang w:val="en-US" w:eastAsia="zh-CN" w:bidi="ar-SA"/>
        </w:rPr>
        <w:t>老年助餐”的品牌标识和LOGO。积极培育和打造特色鲜明、带动力强、示范效应突出的老年助餐品牌机构，加强宣传推介，扩大品牌知名度和社会</w:t>
      </w:r>
      <w:r>
        <w:rPr>
          <w:rFonts w:hint="eastAsia" w:ascii="仿宋_GB2312" w:hAnsi="仿宋_GB2312" w:eastAsia="仿宋_GB2312" w:cs="仿宋_GB2312"/>
          <w:b w:val="0"/>
          <w:bCs w:val="0"/>
          <w:color w:val="auto"/>
          <w:spacing w:val="0"/>
          <w:kern w:val="2"/>
          <w:sz w:val="32"/>
          <w:szCs w:val="32"/>
          <w:lang w:val="en-US" w:eastAsia="zh-CN" w:bidi="ar-SA"/>
        </w:rPr>
        <w:t>影响力。加大与互联网生活平台合作，通过助餐设施点位上图等工作，形成“助餐服务一张图”，让居民群众能够更加方便快捷地“知道、找到”，不断提升服务可感性和可及度。</w:t>
      </w:r>
    </w:p>
    <w:p w14:paraId="38054230">
      <w:pPr>
        <w:widowControl w:val="0"/>
        <w:wordWrap/>
        <w:adjustRightInd w:val="0"/>
        <w:snapToGrid w:val="0"/>
        <w:spacing w:afterLines="0" w:line="560" w:lineRule="exact"/>
        <w:ind w:firstLine="640" w:firstLineChars="200"/>
        <w:jc w:val="both"/>
        <w:textAlignment w:val="auto"/>
        <w:rPr>
          <w:rFonts w:hint="eastAsia" w:ascii="楷体" w:hAnsi="楷体" w:eastAsia="楷体" w:cs="楷体"/>
          <w:i w:val="0"/>
          <w:caps w:val="0"/>
          <w:color w:val="000000"/>
          <w:spacing w:val="0"/>
          <w:kern w:val="0"/>
          <w:sz w:val="32"/>
          <w:szCs w:val="32"/>
          <w:shd w:val="clear" w:color="auto" w:fill="FFFFFF"/>
          <w:lang w:val="en-US" w:eastAsia="zh-CN"/>
        </w:rPr>
      </w:pPr>
      <w:r>
        <w:rPr>
          <w:rFonts w:hint="eastAsia" w:ascii="楷体" w:hAnsi="楷体" w:eastAsia="楷体" w:cs="楷体"/>
          <w:i w:val="0"/>
          <w:caps w:val="0"/>
          <w:color w:val="000000"/>
          <w:spacing w:val="0"/>
          <w:kern w:val="0"/>
          <w:sz w:val="32"/>
          <w:szCs w:val="32"/>
          <w:shd w:val="clear" w:color="auto" w:fill="FFFFFF"/>
          <w:lang w:val="en-US" w:eastAsia="zh-CN"/>
        </w:rPr>
        <w:t>（三）推动服务质量更可持续</w:t>
      </w:r>
    </w:p>
    <w:p w14:paraId="308F32D1">
      <w:pPr>
        <w:pStyle w:val="3"/>
        <w:wordWrap/>
        <w:adjustRightInd w:val="0"/>
        <w:snapToGrid w:val="0"/>
        <w:spacing w:after="0" w:line="560" w:lineRule="exac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xml:space="preserve">    8.实行准入和赋星管理。实行老年助餐准入机制，拟开设老年助餐服务的机构必须具备独立法人资格、食品经营许可、消防安全等资质，符合条件的单位向所在地街道（乡镇）提出申请，经县级市场监管、民政等部门共同实地验收后可认定为助餐服务机构，并向社会公布。</w:t>
      </w:r>
      <w:r>
        <w:rPr>
          <w:rFonts w:hint="eastAsia" w:ascii="仿宋_GB2312" w:hAnsi="仿宋_GB2312" w:eastAsia="仿宋_GB2312" w:cs="仿宋_GB2312"/>
          <w:b w:val="0"/>
          <w:bCs w:val="0"/>
          <w:color w:val="auto"/>
          <w:spacing w:val="0"/>
          <w:kern w:val="2"/>
          <w:sz w:val="32"/>
          <w:szCs w:val="32"/>
          <w:lang w:val="en-US" w:eastAsia="zh-CN" w:bidi="ar-SA"/>
        </w:rPr>
        <w:t>建立健全全市统一的赋星管理机制，由属地民政部门牵头，联合市场监管、卫生健康等部门和市民代表，对老年助餐服务机构进行动态星级管理，并形成有序退出机制，挂星等级与政府扶持政策挂钩。</w:t>
      </w:r>
    </w:p>
    <w:p w14:paraId="79C8D4AA">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9.实行综合监管机制。老年助餐服务机构要严格落实食品安全各项制度，执行餐饮服务食品安全操作规范，完善原材料溯源机制，对工作人员进行食品安全培训，相关的证照、制度上墙公示，鼓励建设“阳光厨房”系统。市场监管等部门要加强食品安全、</w:t>
      </w:r>
      <w:r>
        <w:rPr>
          <w:rFonts w:hint="eastAsia" w:ascii="仿宋_GB2312" w:hAnsi="仿宋_GB2312" w:eastAsia="仿宋_GB2312" w:cs="仿宋_GB2312"/>
          <w:color w:val="auto"/>
          <w:spacing w:val="0"/>
          <w:kern w:val="2"/>
          <w:sz w:val="32"/>
          <w:szCs w:val="32"/>
          <w:shd w:val="clear" w:color="auto" w:fill="auto"/>
          <w:lang w:val="en-US" w:eastAsia="zh-CN" w:bidi="ar-SA"/>
        </w:rPr>
        <w:t>价格监管</w:t>
      </w:r>
      <w:r>
        <w:rPr>
          <w:rFonts w:hint="eastAsia" w:ascii="仿宋_GB2312" w:hAnsi="仿宋_GB2312" w:eastAsia="仿宋_GB2312" w:cs="仿宋_GB2312"/>
          <w:color w:val="auto"/>
          <w:spacing w:val="0"/>
          <w:kern w:val="2"/>
          <w:sz w:val="32"/>
          <w:szCs w:val="32"/>
          <w:lang w:val="en-US" w:eastAsia="zh-CN" w:bidi="ar-SA"/>
        </w:rPr>
        <w:t>等监督监测力度，联动相关部门开展检查，及时通报监督监测情况，并依法查处违法经营行为，保障安全、有序经营。强化属地相关部门与街道（乡镇）协同，落实属地化管理责任，共同做好房屋安全、食品安全、人身安全、运营安全、服务安全、燃气安全、消防安全等管理监督工作。老年助餐服务机构原则上应购买相关责任保险。</w:t>
      </w:r>
    </w:p>
    <w:p w14:paraId="5615B215">
      <w:pPr>
        <w:widowControl w:val="0"/>
        <w:wordWrap/>
        <w:adjustRightInd w:val="0"/>
        <w:snapToGrid w:val="0"/>
        <w:spacing w:afterLines="0" w:line="560" w:lineRule="exact"/>
        <w:ind w:firstLine="640" w:firstLineChars="200"/>
        <w:jc w:val="both"/>
        <w:textAlignment w:val="auto"/>
        <w:rPr>
          <w:rFonts w:hint="default"/>
          <w:lang w:val="en-US" w:eastAsia="zh-CN"/>
        </w:rPr>
      </w:pPr>
      <w:r>
        <w:rPr>
          <w:rFonts w:hint="eastAsia" w:ascii="仿宋_GB2312" w:hAnsi="仿宋_GB2312" w:eastAsia="仿宋_GB2312" w:cs="仿宋_GB2312"/>
          <w:color w:val="auto"/>
          <w:spacing w:val="0"/>
          <w:kern w:val="2"/>
          <w:sz w:val="32"/>
          <w:szCs w:val="32"/>
          <w:lang w:val="en-US" w:eastAsia="zh-CN" w:bidi="ar-SA"/>
        </w:rPr>
        <w:t>10.优化助餐服务场景。</w:t>
      </w:r>
      <w:r>
        <w:rPr>
          <w:rFonts w:hint="default" w:ascii="仿宋_GB2312" w:hAnsi="仿宋_GB2312" w:eastAsia="仿宋_GB2312" w:cs="仿宋_GB2312"/>
          <w:color w:val="auto"/>
          <w:spacing w:val="0"/>
          <w:kern w:val="2"/>
          <w:sz w:val="32"/>
          <w:szCs w:val="32"/>
          <w:lang w:val="en-US" w:eastAsia="zh-CN" w:bidi="ar-SA"/>
        </w:rPr>
        <w:t>老年助餐服务场所应在硬件设施、场地环境、餐食供应等方面</w:t>
      </w:r>
      <w:r>
        <w:rPr>
          <w:rFonts w:hint="eastAsia" w:ascii="仿宋_GB2312" w:hAnsi="仿宋_GB2312" w:eastAsia="仿宋_GB2312" w:cs="仿宋_GB2312"/>
          <w:color w:val="auto"/>
          <w:spacing w:val="0"/>
          <w:kern w:val="2"/>
          <w:sz w:val="32"/>
          <w:szCs w:val="32"/>
          <w:lang w:val="en-US" w:eastAsia="zh-CN" w:bidi="ar-SA"/>
        </w:rPr>
        <w:t>满足</w:t>
      </w:r>
      <w:r>
        <w:rPr>
          <w:rFonts w:hint="default" w:ascii="仿宋_GB2312" w:hAnsi="仿宋_GB2312" w:eastAsia="仿宋_GB2312" w:cs="仿宋_GB2312"/>
          <w:color w:val="auto"/>
          <w:spacing w:val="0"/>
          <w:kern w:val="2"/>
          <w:sz w:val="32"/>
          <w:szCs w:val="32"/>
          <w:lang w:val="en-US" w:eastAsia="zh-CN" w:bidi="ar-SA"/>
        </w:rPr>
        <w:t>适老化</w:t>
      </w:r>
      <w:r>
        <w:rPr>
          <w:rFonts w:hint="eastAsia" w:ascii="仿宋_GB2312" w:hAnsi="仿宋_GB2312" w:eastAsia="仿宋_GB2312" w:cs="仿宋_GB2312"/>
          <w:color w:val="auto"/>
          <w:spacing w:val="0"/>
          <w:kern w:val="2"/>
          <w:sz w:val="32"/>
          <w:szCs w:val="32"/>
          <w:lang w:val="en-US" w:eastAsia="zh-CN" w:bidi="ar-SA"/>
        </w:rPr>
        <w:t>需求，为老年人提供价格实惠、营养健康的餐食服务。</w:t>
      </w:r>
      <w:r>
        <w:rPr>
          <w:rFonts w:hint="eastAsia" w:ascii="仿宋_GB2312" w:hAnsi="仿宋_GB2312" w:eastAsia="仿宋_GB2312" w:cs="仿宋_GB2312"/>
          <w:b w:val="0"/>
          <w:bCs w:val="0"/>
          <w:color w:val="auto"/>
          <w:spacing w:val="0"/>
          <w:kern w:val="2"/>
          <w:sz w:val="32"/>
          <w:szCs w:val="32"/>
          <w:lang w:val="en-US" w:eastAsia="zh-CN" w:bidi="ar-SA"/>
        </w:rPr>
        <w:t>鼓励老年助餐服务机构加入“全城通”智慧助餐，按照不同年龄段，为老年人提供优惠折扣，推动“全城通吃、优惠通享”。</w:t>
      </w:r>
      <w:r>
        <w:rPr>
          <w:rFonts w:hint="eastAsia" w:ascii="仿宋_GB2312" w:hAnsi="仿宋_GB2312" w:eastAsia="仿宋_GB2312" w:cs="仿宋_GB2312"/>
          <w:color w:val="auto"/>
          <w:spacing w:val="0"/>
          <w:kern w:val="2"/>
          <w:sz w:val="32"/>
          <w:szCs w:val="32"/>
          <w:lang w:val="en-US" w:eastAsia="zh-CN" w:bidi="ar-SA"/>
        </w:rPr>
        <w:t>优化支付场景，在保留现金支付的基础上，推动全市助餐“卡、码、脸”通用，形成助餐结算生态圈系统。结合全省养老服务“爱心卡”制度，</w:t>
      </w:r>
      <w:r>
        <w:rPr>
          <w:rFonts w:hint="eastAsia" w:ascii="仿宋_GB2312" w:hAnsi="仿宋_GB2312" w:eastAsia="仿宋_GB2312" w:cs="仿宋_GB2312"/>
          <w:b w:val="0"/>
          <w:bCs w:val="0"/>
          <w:color w:val="auto"/>
          <w:spacing w:val="0"/>
          <w:kern w:val="2"/>
          <w:sz w:val="32"/>
          <w:szCs w:val="32"/>
          <w:lang w:val="en-US" w:eastAsia="zh-CN" w:bidi="ar-SA"/>
        </w:rPr>
        <w:t>探索以市民卡为载体的“一卡通”模式，推动通吃、通付。</w:t>
      </w:r>
    </w:p>
    <w:p w14:paraId="0EAF2971">
      <w:pPr>
        <w:widowControl w:val="0"/>
        <w:wordWrap/>
        <w:adjustRightInd w:val="0"/>
        <w:snapToGrid w:val="0"/>
        <w:spacing w:afterLines="0" w:line="560" w:lineRule="exact"/>
        <w:ind w:firstLine="640" w:firstLineChars="200"/>
        <w:jc w:val="both"/>
        <w:textAlignment w:val="auto"/>
        <w:rPr>
          <w:rFonts w:hint="default" w:ascii="楷体" w:hAnsi="楷体" w:eastAsia="楷体" w:cs="楷体"/>
          <w:i w:val="0"/>
          <w:caps w:val="0"/>
          <w:color w:val="000000"/>
          <w:spacing w:val="0"/>
          <w:kern w:val="0"/>
          <w:sz w:val="32"/>
          <w:szCs w:val="32"/>
          <w:shd w:val="clear" w:color="auto" w:fill="FFFFFF"/>
          <w:lang w:val="en-US" w:eastAsia="zh-CN"/>
        </w:rPr>
      </w:pPr>
      <w:r>
        <w:rPr>
          <w:rFonts w:hint="eastAsia" w:ascii="楷体" w:hAnsi="楷体" w:eastAsia="楷体" w:cs="楷体"/>
          <w:i w:val="0"/>
          <w:caps w:val="0"/>
          <w:color w:val="000000"/>
          <w:spacing w:val="0"/>
          <w:kern w:val="0"/>
          <w:sz w:val="32"/>
          <w:szCs w:val="32"/>
          <w:shd w:val="clear" w:color="auto" w:fill="FFFFFF"/>
          <w:lang w:val="en-US" w:eastAsia="zh-CN"/>
        </w:rPr>
        <w:t>（四）推动支持保障更可持续</w:t>
      </w:r>
    </w:p>
    <w:p w14:paraId="03621764">
      <w:pPr>
        <w:widowControl w:val="0"/>
        <w:wordWrap/>
        <w:adjustRightInd w:val="0"/>
        <w:snapToGrid w:val="0"/>
        <w:spacing w:afterLines="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0"/>
          <w:kern w:val="0"/>
          <w:sz w:val="32"/>
          <w:szCs w:val="32"/>
          <w:lang w:val="en-US" w:eastAsia="zh-CN" w:bidi="ar-SA"/>
        </w:rPr>
        <w:t>11.优化</w:t>
      </w:r>
      <w:r>
        <w:rPr>
          <w:rFonts w:hint="eastAsia" w:ascii="仿宋_GB2312" w:hAnsi="仿宋_GB2312" w:eastAsia="仿宋_GB2312" w:cs="仿宋_GB2312"/>
          <w:color w:val="000000"/>
          <w:spacing w:val="0"/>
          <w:kern w:val="0"/>
          <w:sz w:val="32"/>
          <w:szCs w:val="32"/>
          <w:shd w:val="clear" w:color="auto" w:fill="auto"/>
          <w:lang w:val="en-US" w:eastAsia="zh-CN" w:bidi="ar-SA"/>
        </w:rPr>
        <w:t>建设和</w:t>
      </w:r>
      <w:r>
        <w:rPr>
          <w:rFonts w:hint="eastAsia" w:ascii="仿宋_GB2312" w:hAnsi="仿宋_GB2312" w:eastAsia="仿宋_GB2312" w:cs="仿宋_GB2312"/>
          <w:color w:val="000000"/>
          <w:spacing w:val="0"/>
          <w:kern w:val="0"/>
          <w:sz w:val="32"/>
          <w:szCs w:val="32"/>
          <w:lang w:val="en-US" w:eastAsia="zh-CN" w:bidi="ar-SA"/>
        </w:rPr>
        <w:t>运营支持政策。对新建</w:t>
      </w:r>
      <w:r>
        <w:rPr>
          <w:rFonts w:hint="eastAsia" w:ascii="仿宋_GB2312" w:hAnsi="仿宋_GB2312" w:eastAsia="仿宋_GB2312" w:cs="仿宋_GB2312"/>
          <w:color w:val="000000"/>
          <w:sz w:val="32"/>
          <w:szCs w:val="32"/>
          <w:lang w:val="en-US" w:eastAsia="zh-CN"/>
        </w:rPr>
        <w:t>、改造提升的老年助餐服务机构，当地财政结合规模、投入等情况给予相应一次性建设补贴和支持，统筹用于配置老年助餐智慧化设备及满足适老化需求。</w:t>
      </w:r>
      <w:r>
        <w:rPr>
          <w:rFonts w:hint="eastAsia" w:ascii="仿宋_GB2312" w:hAnsi="仿宋_GB2312" w:eastAsia="仿宋_GB2312" w:cs="仿宋_GB2312"/>
          <w:b w:val="0"/>
          <w:bCs w:val="0"/>
          <w:color w:val="000000"/>
          <w:sz w:val="32"/>
          <w:szCs w:val="32"/>
          <w:lang w:val="en-US" w:eastAsia="zh-CN"/>
        </w:rPr>
        <w:t>各区、县（市）应建立老年助餐服务运营补贴机制，根据“全城通”智慧助餐情况、星级评价结果，结合供餐能力、实际服务数量、老年人满意度、综合扶持政策等因素给予运营补助，对符合条件的，可采取</w:t>
      </w:r>
      <w:r>
        <w:rPr>
          <w:rFonts w:hint="eastAsia" w:ascii="仿宋_GB2312" w:hAnsi="仿宋_GB2312" w:eastAsia="仿宋_GB2312" w:cs="仿宋_GB2312"/>
          <w:b w:val="0"/>
          <w:bCs w:val="0"/>
          <w:color w:val="000000"/>
          <w:sz w:val="32"/>
          <w:szCs w:val="32"/>
          <w:shd w:val="clear" w:color="auto" w:fill="auto"/>
          <w:lang w:val="en-US" w:eastAsia="zh-CN"/>
        </w:rPr>
        <w:t>按季度预拨、年度予以结算的方式进行补助</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lang w:val="en-US" w:eastAsia="zh-CN"/>
        </w:rPr>
        <w:t>市民政局会同市财政局将各地老年助餐服务情况纳入养老服务补助资金予以适当补助。</w:t>
      </w:r>
    </w:p>
    <w:p w14:paraId="2E659592">
      <w:pPr>
        <w:widowControl w:val="0"/>
        <w:numPr>
          <w:ilvl w:val="0"/>
          <w:numId w:val="0"/>
        </w:numPr>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b w:val="0"/>
          <w:bCs w:val="0"/>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12.加大综合扶持力度。</w:t>
      </w:r>
      <w:r>
        <w:rPr>
          <w:rFonts w:hint="eastAsia" w:ascii="仿宋_GB2312" w:hAnsi="仿宋_GB2312" w:eastAsia="仿宋_GB2312" w:cs="仿宋_GB2312"/>
          <w:color w:val="000000"/>
          <w:sz w:val="32"/>
          <w:szCs w:val="32"/>
        </w:rPr>
        <w:t>推行“两无偿一优先”</w:t>
      </w:r>
      <w:r>
        <w:rPr>
          <w:rFonts w:hint="eastAsia" w:ascii="仿宋_GB2312" w:hAnsi="仿宋_GB2312" w:eastAsia="仿宋_GB2312" w:cs="仿宋_GB2312"/>
          <w:color w:val="000000"/>
          <w:sz w:val="32"/>
          <w:szCs w:val="32"/>
          <w:lang w:val="en-US" w:eastAsia="zh-CN"/>
        </w:rPr>
        <w:t>支持</w:t>
      </w:r>
      <w:r>
        <w:rPr>
          <w:rFonts w:hint="eastAsia" w:ascii="仿宋_GB2312" w:hAnsi="仿宋_GB2312" w:eastAsia="仿宋_GB2312" w:cs="仿宋_GB2312"/>
          <w:color w:val="000000"/>
          <w:sz w:val="32"/>
          <w:szCs w:val="32"/>
        </w:rPr>
        <w:t>老年助餐服务设施，</w:t>
      </w:r>
      <w:r>
        <w:rPr>
          <w:rFonts w:hint="eastAsia" w:ascii="仿宋_GB2312" w:hAnsi="仿宋_GB2312" w:eastAsia="仿宋_GB2312" w:cs="仿宋_GB2312"/>
          <w:i w:val="0"/>
          <w:caps w:val="0"/>
          <w:color w:val="000000"/>
          <w:spacing w:val="0"/>
          <w:sz w:val="32"/>
          <w:szCs w:val="32"/>
          <w:lang w:val="en-US" w:eastAsia="zh-CN"/>
        </w:rPr>
        <w:t>社区配套用房、</w:t>
      </w:r>
      <w:r>
        <w:rPr>
          <w:rFonts w:hint="eastAsia" w:ascii="仿宋_GB2312" w:hAnsi="仿宋_GB2312" w:eastAsia="仿宋_GB2312" w:cs="仿宋_GB2312"/>
          <w:i w:val="0"/>
          <w:caps w:val="0"/>
          <w:color w:val="000000"/>
          <w:spacing w:val="0"/>
          <w:sz w:val="32"/>
          <w:szCs w:val="32"/>
        </w:rPr>
        <w:t>养老服务设施用房用于老年助餐服务的，可交由相关企业或社会组织无偿使用</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rPr>
        <w:t>政府</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lang w:val="en-US" w:eastAsia="zh-CN"/>
        </w:rPr>
        <w:t>国有企事业单位</w:t>
      </w:r>
      <w:r>
        <w:rPr>
          <w:rFonts w:hint="eastAsia" w:ascii="仿宋_GB2312" w:hAnsi="仿宋_GB2312" w:eastAsia="仿宋_GB2312" w:cs="仿宋_GB2312"/>
          <w:b w:val="0"/>
          <w:bCs w:val="0"/>
          <w:i w:val="0"/>
          <w:caps w:val="0"/>
          <w:color w:val="000000"/>
          <w:spacing w:val="0"/>
          <w:sz w:val="32"/>
          <w:szCs w:val="32"/>
        </w:rPr>
        <w:t>闲置房产资源</w:t>
      </w:r>
      <w:r>
        <w:rPr>
          <w:rFonts w:hint="eastAsia" w:ascii="仿宋_GB2312" w:hAnsi="仿宋_GB2312" w:eastAsia="仿宋_GB2312" w:cs="仿宋_GB2312"/>
          <w:b w:val="0"/>
          <w:bCs w:val="0"/>
          <w:i w:val="0"/>
          <w:caps w:val="0"/>
          <w:color w:val="000000"/>
          <w:spacing w:val="0"/>
          <w:sz w:val="32"/>
          <w:szCs w:val="32"/>
          <w:lang w:val="en-US" w:eastAsia="zh-CN"/>
        </w:rPr>
        <w:t>优先用于老年助餐等养老服务，</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鼓励</w:t>
      </w:r>
      <w:r>
        <w:rPr>
          <w:rFonts w:hint="eastAsia" w:ascii="仿宋_GB2312" w:hAnsi="仿宋_GB2312" w:eastAsia="仿宋_GB2312" w:cs="仿宋_GB2312"/>
          <w:b w:val="0"/>
          <w:bCs w:val="0"/>
          <w:i w:val="0"/>
          <w:caps w:val="0"/>
          <w:color w:val="000000"/>
          <w:spacing w:val="0"/>
          <w:sz w:val="32"/>
          <w:szCs w:val="32"/>
          <w:lang w:val="en-US" w:eastAsia="zh-CN"/>
        </w:rPr>
        <w:t>以无偿或低偿等形式</w:t>
      </w:r>
      <w:r>
        <w:rPr>
          <w:rFonts w:hint="eastAsia" w:ascii="仿宋_GB2312" w:hAnsi="仿宋_GB2312" w:eastAsia="仿宋_GB2312" w:cs="仿宋_GB2312"/>
          <w:b w:val="0"/>
          <w:bCs w:val="0"/>
          <w:color w:val="000000"/>
          <w:sz w:val="32"/>
          <w:szCs w:val="32"/>
        </w:rPr>
        <w:t>给予租金减免</w:t>
      </w:r>
      <w:r>
        <w:rPr>
          <w:rFonts w:hint="eastAsia" w:ascii="仿宋_GB2312" w:hAnsi="仿宋_GB2312" w:eastAsia="仿宋_GB2312" w:cs="仿宋_GB2312"/>
          <w:b w:val="0"/>
          <w:bCs w:val="0"/>
          <w:color w:val="000000"/>
          <w:sz w:val="32"/>
          <w:szCs w:val="32"/>
          <w:lang w:eastAsia="zh-CN"/>
        </w:rPr>
        <w:t>。落实就业扶持政策，鼓励支持老年助餐服务机构吸纳重点群体就业，并按规定给予补贴。</w:t>
      </w:r>
      <w:r>
        <w:rPr>
          <w:rFonts w:hint="eastAsia" w:ascii="仿宋_GB2312" w:hAnsi="仿宋_GB2312" w:eastAsia="仿宋_GB2312" w:cs="仿宋_GB2312"/>
          <w:b w:val="0"/>
          <w:bCs w:val="0"/>
          <w:i w:val="0"/>
          <w:caps w:val="0"/>
          <w:color w:val="000000"/>
          <w:spacing w:val="0"/>
          <w:sz w:val="32"/>
          <w:szCs w:val="32"/>
        </w:rPr>
        <w:t>对</w:t>
      </w:r>
      <w:r>
        <w:rPr>
          <w:rFonts w:hint="eastAsia" w:ascii="仿宋_GB2312" w:hAnsi="仿宋_GB2312" w:eastAsia="仿宋_GB2312" w:cs="仿宋_GB2312"/>
          <w:b w:val="0"/>
          <w:bCs w:val="0"/>
          <w:i w:val="0"/>
          <w:caps w:val="0"/>
          <w:color w:val="000000"/>
          <w:spacing w:val="0"/>
          <w:sz w:val="32"/>
          <w:szCs w:val="32"/>
          <w:lang w:eastAsia="zh-CN"/>
        </w:rPr>
        <w:t>经区、县（市）民政部门确认的</w:t>
      </w:r>
      <w:r>
        <w:rPr>
          <w:rFonts w:hint="eastAsia" w:ascii="仿宋_GB2312" w:hAnsi="仿宋_GB2312" w:eastAsia="仿宋_GB2312" w:cs="仿宋_GB2312"/>
          <w:b w:val="0"/>
          <w:bCs w:val="0"/>
          <w:i w:val="0"/>
          <w:caps w:val="0"/>
          <w:color w:val="000000"/>
          <w:spacing w:val="0"/>
          <w:sz w:val="32"/>
          <w:szCs w:val="32"/>
        </w:rPr>
        <w:t>老年助餐服务机构，按规定落实税费优惠政策，用水、用电、用气、用热按规定执行居民生活类价格。</w:t>
      </w:r>
    </w:p>
    <w:p w14:paraId="5E1809AC">
      <w:pPr>
        <w:widowControl w:val="0"/>
        <w:numPr>
          <w:ilvl w:val="0"/>
          <w:numId w:val="0"/>
        </w:numPr>
        <w:wordWrap/>
        <w:adjustRightInd w:val="0"/>
        <w:snapToGrid w:val="0"/>
        <w:spacing w:afterLines="0" w:line="560" w:lineRule="exact"/>
        <w:ind w:firstLine="640" w:firstLineChars="200"/>
        <w:jc w:val="both"/>
        <w:textAlignment w:val="auto"/>
        <w:rPr>
          <w:rFonts w:hint="eastAsia" w:ascii="黑体" w:hAnsi="宋体" w:eastAsia="黑体" w:cs="黑体"/>
          <w:i w:val="0"/>
          <w:caps w:val="0"/>
          <w:color w:val="000000"/>
          <w:spacing w:val="0"/>
          <w:kern w:val="0"/>
          <w:sz w:val="32"/>
          <w:szCs w:val="32"/>
          <w:shd w:val="clear" w:color="auto" w:fill="FFFFFF"/>
          <w:lang w:val="en-US" w:eastAsia="zh-CN"/>
        </w:rPr>
      </w:pPr>
      <w:r>
        <w:rPr>
          <w:rFonts w:hint="eastAsia" w:ascii="黑体" w:hAnsi="宋体" w:eastAsia="黑体" w:cs="黑体"/>
          <w:i w:val="0"/>
          <w:caps w:val="0"/>
          <w:color w:val="000000"/>
          <w:spacing w:val="0"/>
          <w:kern w:val="0"/>
          <w:sz w:val="32"/>
          <w:szCs w:val="32"/>
          <w:shd w:val="clear" w:color="auto" w:fill="FFFFFF"/>
          <w:lang w:val="en-US" w:eastAsia="zh-CN"/>
        </w:rPr>
        <w:t>三、工作要求</w:t>
      </w:r>
    </w:p>
    <w:p w14:paraId="45FCE5C1">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楷体" w:hAnsi="楷体" w:eastAsia="楷体" w:cs="楷体"/>
          <w:b w:val="0"/>
          <w:bCs w:val="0"/>
          <w:color w:val="auto"/>
          <w:spacing w:val="0"/>
          <w:kern w:val="2"/>
          <w:sz w:val="32"/>
          <w:szCs w:val="32"/>
          <w:lang w:val="en-US" w:eastAsia="zh-CN" w:bidi="ar-SA"/>
        </w:rPr>
        <w:t>1.强化组织领导。</w:t>
      </w:r>
      <w:r>
        <w:rPr>
          <w:rFonts w:hint="eastAsia" w:ascii="仿宋_GB2312" w:hAnsi="仿宋_GB2312" w:eastAsia="仿宋_GB2312" w:cs="仿宋_GB2312"/>
          <w:i w:val="0"/>
          <w:caps w:val="0"/>
          <w:color w:val="000000"/>
          <w:spacing w:val="0"/>
          <w:sz w:val="32"/>
          <w:szCs w:val="32"/>
          <w:lang w:val="en-US" w:eastAsia="zh-CN"/>
        </w:rPr>
        <w:t>各地要建立健全党委领导、政府负责、部门协同、社会参与、家庭尽责的老年助餐可持续发展工作机制，并将其纳入“老有康养”优享工程整体部署，纳入高质量共同富裕考核范围统筹推进，着力解决城市社区老年助餐的重点难点问题，有效满足老年人就近就便用餐需求，有力推动城市社区老年助餐可持续发展，切实把好事办好、实事办实。</w:t>
      </w:r>
    </w:p>
    <w:p w14:paraId="2E84AE69">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楷体" w:hAnsi="楷体" w:eastAsia="楷体" w:cs="楷体"/>
          <w:i w:val="0"/>
          <w:caps w:val="0"/>
          <w:color w:val="000000"/>
          <w:spacing w:val="0"/>
          <w:sz w:val="32"/>
          <w:szCs w:val="32"/>
          <w:lang w:val="en-US" w:eastAsia="zh-CN"/>
        </w:rPr>
        <w:t>2.加强部门协同。</w:t>
      </w:r>
      <w:r>
        <w:rPr>
          <w:rFonts w:hint="eastAsia" w:ascii="仿宋_GB2312" w:hAnsi="仿宋_GB2312" w:eastAsia="仿宋_GB2312" w:cs="仿宋_GB2312"/>
          <w:i w:val="0"/>
          <w:caps w:val="0"/>
          <w:color w:val="000000"/>
          <w:spacing w:val="0"/>
          <w:sz w:val="32"/>
          <w:szCs w:val="32"/>
          <w:lang w:val="en-US" w:eastAsia="zh-CN"/>
        </w:rPr>
        <w:t>民政部门要履行好牵头职责，加强组织协调和督促指导，发</w:t>
      </w:r>
      <w:r>
        <w:rPr>
          <w:rFonts w:hint="eastAsia" w:ascii="仿宋_GB2312" w:hAnsi="仿宋_GB2312" w:eastAsia="仿宋_GB2312" w:cs="仿宋_GB2312"/>
          <w:color w:val="auto"/>
          <w:spacing w:val="0"/>
          <w:kern w:val="2"/>
          <w:sz w:val="32"/>
          <w:szCs w:val="32"/>
          <w:lang w:val="en-US" w:eastAsia="zh-CN" w:bidi="ar-SA"/>
        </w:rPr>
        <w:t>改、建委、卫健、商务、财政、税务、农业农村、市场监管、城管、消防等各相关部门要结合各自职责，做好项目支持、财政投入、就业扶持、规划用地、设施配建、企业参与、税收优惠、安全监管等工作，构建共建共治共享的城市社区老年助餐服务新格局。</w:t>
      </w:r>
    </w:p>
    <w:p w14:paraId="620DE372">
      <w:pPr>
        <w:widowControl w:val="0"/>
        <w:wordWrap/>
        <w:adjustRightInd w:val="0"/>
        <w:snapToGrid w:val="0"/>
        <w:spacing w:afterLines="0" w:line="560" w:lineRule="exact"/>
        <w:ind w:firstLine="640" w:firstLineChars="200"/>
        <w:jc w:val="both"/>
        <w:textAlignment w:val="auto"/>
        <w:rPr>
          <w:rFonts w:hint="default" w:ascii="楷体" w:hAnsi="楷体" w:eastAsia="楷体" w:cs="楷体"/>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3.压实主体责任。</w:t>
      </w:r>
      <w:r>
        <w:rPr>
          <w:rFonts w:hint="eastAsia" w:ascii="仿宋_GB2312" w:hAnsi="仿宋_GB2312" w:eastAsia="仿宋_GB2312" w:cs="仿宋_GB2312"/>
          <w:i w:val="0"/>
          <w:caps w:val="0"/>
          <w:color w:val="000000"/>
          <w:spacing w:val="0"/>
          <w:sz w:val="32"/>
          <w:szCs w:val="32"/>
          <w:lang w:val="en-US" w:eastAsia="zh-CN"/>
        </w:rPr>
        <w:t>各区、县（市）政府和各街道（乡镇）负责辖区内资源统筹、组织实施等工作，强化城市社区老年助餐服务设施布局、运营管理、日常监督等。</w:t>
      </w:r>
      <w:r>
        <w:rPr>
          <w:rFonts w:hint="eastAsia" w:ascii="仿宋_GB2312" w:hAnsi="仿宋_GB2312" w:eastAsia="仿宋_GB2312" w:cs="仿宋_GB2312"/>
          <w:color w:val="000000"/>
          <w:sz w:val="32"/>
          <w:szCs w:val="32"/>
        </w:rPr>
        <w:t>各老年助餐服务</w:t>
      </w:r>
      <w:r>
        <w:rPr>
          <w:rFonts w:hint="eastAsia" w:ascii="仿宋_GB2312" w:hAnsi="仿宋_GB2312" w:eastAsia="仿宋_GB2312" w:cs="仿宋_GB2312"/>
          <w:color w:val="000000"/>
          <w:sz w:val="32"/>
          <w:szCs w:val="32"/>
          <w:lang w:val="en-US" w:eastAsia="zh-CN"/>
        </w:rPr>
        <w:t>机构</w:t>
      </w:r>
      <w:r>
        <w:rPr>
          <w:rFonts w:hint="eastAsia" w:ascii="仿宋_GB2312" w:hAnsi="仿宋_GB2312" w:eastAsia="仿宋_GB2312" w:cs="仿宋_GB2312"/>
          <w:color w:val="000000"/>
          <w:sz w:val="32"/>
          <w:szCs w:val="32"/>
        </w:rPr>
        <w:t>应依照法律法规和相关标准开展经营活动，确保助餐服务场所食品、消防、燃气、建筑设施等安全。</w:t>
      </w:r>
    </w:p>
    <w:p w14:paraId="7D938C69">
      <w:pPr>
        <w:widowControl w:val="0"/>
        <w:wordWrap/>
        <w:adjustRightInd w:val="0"/>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楷体" w:hAnsi="楷体" w:eastAsia="楷体" w:cs="楷体"/>
          <w:i w:val="0"/>
          <w:caps w:val="0"/>
          <w:color w:val="000000"/>
          <w:spacing w:val="0"/>
          <w:sz w:val="32"/>
          <w:szCs w:val="32"/>
          <w:lang w:val="en-US" w:eastAsia="zh-CN"/>
        </w:rPr>
        <w:t>4.加强宣传引导。</w:t>
      </w:r>
      <w:r>
        <w:rPr>
          <w:rFonts w:hint="eastAsia" w:ascii="仿宋_GB2312" w:hAnsi="仿宋_GB2312" w:eastAsia="仿宋_GB2312" w:cs="仿宋_GB2312"/>
          <w:color w:val="auto"/>
          <w:spacing w:val="0"/>
          <w:kern w:val="2"/>
          <w:sz w:val="32"/>
          <w:szCs w:val="32"/>
          <w:lang w:val="en-US" w:eastAsia="zh-CN" w:bidi="ar-SA"/>
        </w:rPr>
        <w:t>各地各部门应充分利用各类新闻媒体和网络平台，加大对老年助餐政策和服务的宣传，提升群众知晓度，调动社会力量参与老年助餐服务的积极性，推动形成可持续的城市社区老年助餐服务产业生态链，让更多老年人享受到优质助餐服务。</w:t>
      </w:r>
    </w:p>
    <w:p w14:paraId="054946C8">
      <w:pPr>
        <w:pStyle w:val="4"/>
        <w:wordWrap/>
        <w:adjustRightInd w:val="0"/>
        <w:snapToGrid w:val="0"/>
        <w:spacing w:after="0" w:line="560" w:lineRule="exac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xml:space="preserve"> </w:t>
      </w:r>
    </w:p>
    <w:p w14:paraId="5E09F33C">
      <w:pPr>
        <w:rPr>
          <w:rFonts w:hint="eastAsia" w:ascii="仿宋_GB2312" w:hAnsi="仿宋_GB2312" w:eastAsia="仿宋_GB2312" w:cs="仿宋_GB2312"/>
          <w:color w:val="auto"/>
          <w:spacing w:val="0"/>
          <w:kern w:val="2"/>
          <w:sz w:val="32"/>
          <w:szCs w:val="32"/>
          <w:lang w:val="en-US" w:eastAsia="zh-CN" w:bidi="ar-SA"/>
        </w:rPr>
      </w:pPr>
    </w:p>
    <w:p w14:paraId="04EE7A04">
      <w:pPr>
        <w:pStyle w:val="3"/>
        <w:rPr>
          <w:rFonts w:hint="eastAsia" w:ascii="仿宋_GB2312" w:hAnsi="仿宋_GB2312" w:eastAsia="仿宋_GB2312" w:cs="仿宋_GB2312"/>
          <w:color w:val="auto"/>
          <w:spacing w:val="0"/>
          <w:kern w:val="2"/>
          <w:sz w:val="32"/>
          <w:szCs w:val="32"/>
          <w:lang w:val="en-US" w:eastAsia="zh-CN" w:bidi="ar-SA"/>
        </w:rPr>
      </w:pPr>
    </w:p>
    <w:p w14:paraId="3E14B4F8">
      <w:pPr>
        <w:pStyle w:val="4"/>
        <w:rPr>
          <w:rFonts w:hint="eastAsia" w:ascii="仿宋_GB2312" w:hAnsi="仿宋_GB2312" w:eastAsia="仿宋_GB2312" w:cs="仿宋_GB2312"/>
          <w:color w:val="auto"/>
          <w:spacing w:val="0"/>
          <w:kern w:val="2"/>
          <w:sz w:val="32"/>
          <w:szCs w:val="32"/>
          <w:lang w:val="en-US" w:eastAsia="zh-CN" w:bidi="ar-SA"/>
        </w:rPr>
      </w:pPr>
    </w:p>
    <w:p w14:paraId="48C4BC6E">
      <w:pPr>
        <w:rPr>
          <w:rFonts w:hint="eastAsia" w:ascii="仿宋_GB2312" w:hAnsi="仿宋_GB2312" w:eastAsia="仿宋_GB2312" w:cs="仿宋_GB2312"/>
          <w:color w:val="auto"/>
          <w:spacing w:val="0"/>
          <w:kern w:val="2"/>
          <w:sz w:val="32"/>
          <w:szCs w:val="32"/>
          <w:lang w:val="en-US" w:eastAsia="zh-CN" w:bidi="ar-SA"/>
        </w:rPr>
      </w:pPr>
    </w:p>
    <w:p w14:paraId="5C31DE4A">
      <w:pPr>
        <w:pStyle w:val="3"/>
        <w:rPr>
          <w:rFonts w:hint="eastAsia" w:ascii="仿宋_GB2312" w:hAnsi="仿宋_GB2312" w:eastAsia="仿宋_GB2312" w:cs="仿宋_GB2312"/>
          <w:color w:val="auto"/>
          <w:spacing w:val="0"/>
          <w:kern w:val="2"/>
          <w:sz w:val="32"/>
          <w:szCs w:val="32"/>
          <w:lang w:val="en-US" w:eastAsia="zh-CN" w:bidi="ar-SA"/>
        </w:rPr>
      </w:pPr>
    </w:p>
    <w:sectPr>
      <w:footerReference r:id="rId3" w:type="default"/>
      <w:pgSz w:w="11906"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F25123-38F7-4382-811E-DFE9C4E924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1A4B5D2-5CDA-428C-8201-AEB920C0C145}"/>
  </w:font>
  <w:font w:name="仿宋_GB2312">
    <w:panose1 w:val="02010609030101010101"/>
    <w:charset w:val="86"/>
    <w:family w:val="auto"/>
    <w:pitch w:val="default"/>
    <w:sig w:usb0="00000001" w:usb1="080E0000" w:usb2="00000000" w:usb3="00000000" w:csb0="00040000" w:csb1="00000000"/>
    <w:embedRegular r:id="rId3" w:fontKey="{E798C6E8-CD04-4911-B078-0CC18456EF0A}"/>
  </w:font>
  <w:font w:name="方正小标宋_GBK">
    <w:panose1 w:val="03000509000000000000"/>
    <w:charset w:val="86"/>
    <w:family w:val="auto"/>
    <w:pitch w:val="default"/>
    <w:sig w:usb0="00000001" w:usb1="080E0000" w:usb2="00000000" w:usb3="00000000" w:csb0="00040000" w:csb1="00000000"/>
    <w:embedRegular r:id="rId4" w:fontKey="{4099EB26-B8D5-4945-B932-B5C05A7685DB}"/>
  </w:font>
  <w:font w:name="楷体_GB2312">
    <w:panose1 w:val="02010609030101010101"/>
    <w:charset w:val="86"/>
    <w:family w:val="auto"/>
    <w:pitch w:val="default"/>
    <w:sig w:usb0="00000001" w:usb1="080E0000" w:usb2="00000000" w:usb3="00000000" w:csb0="00040000" w:csb1="00000000"/>
    <w:embedRegular r:id="rId5" w:fontKey="{6BB9EB00-D849-4583-8E5F-A6969EF33536}"/>
  </w:font>
  <w:font w:name="楷体">
    <w:panose1 w:val="02010609060101010101"/>
    <w:charset w:val="86"/>
    <w:family w:val="auto"/>
    <w:pitch w:val="default"/>
    <w:sig w:usb0="800002BF" w:usb1="38CF7CFA" w:usb2="00000016" w:usb3="00000000" w:csb0="00040001" w:csb1="00000000"/>
    <w:embedRegular r:id="rId6" w:fontKey="{3D8E3F85-BF17-4299-BF55-99041C7DB952}"/>
  </w:font>
  <w:font w:name="仿宋">
    <w:panose1 w:val="02010609060101010101"/>
    <w:charset w:val="86"/>
    <w:family w:val="auto"/>
    <w:pitch w:val="default"/>
    <w:sig w:usb0="800002BF" w:usb1="38CF7CFA" w:usb2="00000016" w:usb3="00000000" w:csb0="00040001" w:csb1="00000000"/>
    <w:embedRegular r:id="rId7" w:fontKey="{118F3A02-4397-4C44-B6B1-BAFB9A471DE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9BCE">
    <w:pPr>
      <w:pStyle w:val="6"/>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C89DE5D">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dblS0AAAAAUBAAAPAAAAAAAAAAEAIAAAACIA&#10;AABkcnMvZG93bnJldi54bWxQSwECFAAUAAAACACHTuJAb0EubNgBAAC0AwAADgAAAAAAAAABACAA&#10;AAAfAQAAZHJzL2Uyb0RvYy54bWxQSwUGAAAAAAYABgBZAQAAaQUAAAAA&#10;">
              <v:fill on="f" focussize="0,0"/>
              <v:stroke on="f"/>
              <v:imagedata o:title=""/>
              <o:lock v:ext="edit" aspectratio="f"/>
              <v:textbox inset="0mm,0mm,0mm,0mm" style="mso-fit-shape-to-text:t;">
                <w:txbxContent>
                  <w:p w14:paraId="5C89DE5D">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OWY0YjQ4MWNkNDI5MzU5ZDE0MGM0Njg1ZjI2ZDgifQ=="/>
  </w:docVars>
  <w:rsids>
    <w:rsidRoot w:val="06B366DB"/>
    <w:rsid w:val="025D23AC"/>
    <w:rsid w:val="06B366DB"/>
    <w:rsid w:val="080A3A54"/>
    <w:rsid w:val="0CD82171"/>
    <w:rsid w:val="131F6565"/>
    <w:rsid w:val="14A776D8"/>
    <w:rsid w:val="15CC22D2"/>
    <w:rsid w:val="18A30248"/>
    <w:rsid w:val="29FF65A7"/>
    <w:rsid w:val="2C280231"/>
    <w:rsid w:val="347B64AA"/>
    <w:rsid w:val="35792A59"/>
    <w:rsid w:val="4924673C"/>
    <w:rsid w:val="4A7E52E5"/>
    <w:rsid w:val="4C3B5CCB"/>
    <w:rsid w:val="576E6AFE"/>
    <w:rsid w:val="58707FCD"/>
    <w:rsid w:val="61C26ACD"/>
    <w:rsid w:val="6D285565"/>
    <w:rsid w:val="6FCF0F08"/>
    <w:rsid w:val="72AA72FE"/>
    <w:rsid w:val="77DF650D"/>
    <w:rsid w:val="79516F56"/>
    <w:rsid w:val="AD7717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unhideWhenUsed/>
    <w:qFormat/>
    <w:uiPriority w:val="0"/>
    <w:pPr>
      <w:spacing w:after="120" w:afterLines="0" w:afterAutospacing="0"/>
    </w:pPr>
  </w:style>
  <w:style w:type="paragraph" w:styleId="4">
    <w:name w:val="Body Text First Indent"/>
    <w:basedOn w:val="3"/>
    <w:next w:val="1"/>
    <w:unhideWhenUsed/>
    <w:qFormat/>
    <w:uiPriority w:val="0"/>
    <w:pPr>
      <w:ind w:firstLine="420" w:firstLineChars="100"/>
    </w:pPr>
  </w:style>
  <w:style w:type="paragraph" w:styleId="5">
    <w:name w:val="toc 5"/>
    <w:basedOn w:val="1"/>
    <w:next w:val="1"/>
    <w:unhideWhenUsed/>
    <w:qFormat/>
    <w:uiPriority w:val="39"/>
    <w:pPr>
      <w:widowControl w:val="0"/>
      <w:spacing w:line="560" w:lineRule="exact"/>
      <w:ind w:left="1680" w:leftChars="800" w:firstLine="880" w:firstLineChars="200"/>
      <w:jc w:val="both"/>
    </w:pPr>
    <w:rPr>
      <w:rFonts w:ascii="Calibri" w:hAnsi="Calibri" w:eastAsia="仿宋_GB2312"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Normal Indent1"/>
    <w:basedOn w:val="1"/>
    <w:qFormat/>
    <w:uiPriority w:val="0"/>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4099</Words>
  <Characters>4132</Characters>
  <Lines>0</Lines>
  <Paragraphs>0</Paragraphs>
  <TotalTime>30</TotalTime>
  <ScaleCrop>false</ScaleCrop>
  <LinksUpToDate>false</LinksUpToDate>
  <CharactersWithSpaces>4137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2024-10-15T22:20:00Z</dcterms:created>
  <dc:creator>郦丽</dc:creator>
  <cp:lastModifiedBy>郦丽</cp:lastModifiedBy>
  <cp:lastPrinted>2024-11-28T09:16:00Z</cp:lastPrinted>
  <dcterms:modified xsi:type="dcterms:W3CDTF">2024-11-29T01:44:35Z</dcterms:modified>
  <dc:title>关于城市社区老年助餐服务可持续发展政策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CBB3F66239854AE5A85C01C53E09995A_13</vt:lpwstr>
  </property>
</Properties>
</file>