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5D06D">
      <w:pPr>
        <w:pStyle w:val="2"/>
        <w:keepNext w:val="0"/>
        <w:keepLines w:val="0"/>
        <w:pageBreakBefore w:val="0"/>
        <w:widowControl/>
        <w:kinsoku w:val="0"/>
        <w:wordWrap/>
        <w:overflowPunct/>
        <w:topLinePunct w:val="0"/>
        <w:autoSpaceDE w:val="0"/>
        <w:autoSpaceDN w:val="0"/>
        <w:bidi w:val="0"/>
        <w:adjustRightInd w:val="0"/>
        <w:snapToGrid w:val="0"/>
        <w:spacing w:line="576" w:lineRule="exact"/>
        <w:ind w:right="0"/>
        <w:jc w:val="center"/>
        <w:textAlignment w:val="baseline"/>
        <w:rPr>
          <w:rFonts w:hint="eastAsia" w:ascii="方正小标宋简体" w:hAnsi="方正小标宋简体" w:eastAsia="方正小标宋简体" w:cs="方正小标宋简体"/>
          <w:spacing w:val="9"/>
          <w:sz w:val="44"/>
          <w:szCs w:val="44"/>
          <w:highlight w:val="none"/>
          <w:lang w:eastAsia="zh-CN"/>
        </w:rPr>
      </w:pPr>
      <w:r>
        <w:rPr>
          <w:rFonts w:hint="eastAsia" w:ascii="方正小标宋简体" w:hAnsi="方正小标宋简体" w:eastAsia="方正小标宋简体" w:cs="方正小标宋简体"/>
          <w:spacing w:val="9"/>
          <w:sz w:val="44"/>
          <w:szCs w:val="44"/>
          <w:highlight w:val="none"/>
          <w:lang w:eastAsia="zh-CN"/>
        </w:rPr>
        <w:t>瓯海区区属国有企业产权管理办法（试行）</w:t>
      </w:r>
    </w:p>
    <w:p w14:paraId="7CFFB16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200" w:right="0" w:rightChars="0"/>
        <w:jc w:val="center"/>
        <w:textAlignment w:val="baseline"/>
        <w:rPr>
          <w:rFonts w:ascii="黑体" w:hAnsi="黑体" w:eastAsia="黑体" w:cs="黑体"/>
          <w:spacing w:val="1"/>
          <w:sz w:val="32"/>
          <w:szCs w:val="32"/>
          <w:highlight w:val="none"/>
        </w:rPr>
      </w:pPr>
      <w:r>
        <w:rPr>
          <w:rFonts w:hint="eastAsia" w:ascii="黑体" w:hAnsi="黑体" w:eastAsia="黑体" w:cs="黑体"/>
          <w:spacing w:val="1"/>
          <w:sz w:val="32"/>
          <w:szCs w:val="32"/>
          <w:highlight w:val="none"/>
        </w:rPr>
        <w:t>（征求意见稿）</w:t>
      </w:r>
    </w:p>
    <w:p w14:paraId="319C429F">
      <w:pPr>
        <w:pStyle w:val="2"/>
        <w:keepNext w:val="0"/>
        <w:keepLines w:val="0"/>
        <w:pageBreakBefore w:val="0"/>
        <w:widowControl/>
        <w:kinsoku w:val="0"/>
        <w:wordWrap/>
        <w:overflowPunct/>
        <w:topLinePunct w:val="0"/>
        <w:autoSpaceDE w:val="0"/>
        <w:autoSpaceDN w:val="0"/>
        <w:bidi w:val="0"/>
        <w:adjustRightInd w:val="0"/>
        <w:snapToGrid w:val="0"/>
        <w:spacing w:line="576" w:lineRule="exact"/>
        <w:ind w:right="0"/>
        <w:jc w:val="center"/>
        <w:textAlignment w:val="baseline"/>
        <w:rPr>
          <w:sz w:val="32"/>
          <w:szCs w:val="32"/>
          <w:highlight w:val="none"/>
        </w:rPr>
      </w:pPr>
    </w:p>
    <w:p w14:paraId="5A363EE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6" w:lineRule="exact"/>
        <w:ind w:left="0" w:right="0" w:firstLine="704" w:firstLineChars="200"/>
        <w:jc w:val="center"/>
        <w:textAlignment w:val="baseline"/>
        <w:rPr>
          <w:rFonts w:ascii="黑体" w:hAnsi="黑体" w:eastAsia="黑体" w:cs="黑体"/>
          <w:spacing w:val="1"/>
          <w:sz w:val="32"/>
          <w:szCs w:val="32"/>
          <w:highlight w:val="none"/>
        </w:rPr>
      </w:pPr>
      <w:r>
        <w:rPr>
          <w:rFonts w:ascii="黑体" w:hAnsi="黑体" w:eastAsia="黑体" w:cs="黑体"/>
          <w:spacing w:val="16"/>
          <w:sz w:val="32"/>
          <w:szCs w:val="32"/>
          <w:highlight w:val="none"/>
        </w:rPr>
        <w:t xml:space="preserve"> </w:t>
      </w:r>
      <w:r>
        <w:rPr>
          <w:rFonts w:ascii="黑体" w:hAnsi="黑体" w:eastAsia="黑体" w:cs="黑体"/>
          <w:spacing w:val="1"/>
          <w:sz w:val="32"/>
          <w:szCs w:val="32"/>
          <w:highlight w:val="none"/>
        </w:rPr>
        <w:t>总</w:t>
      </w:r>
      <w:r>
        <w:rPr>
          <w:rFonts w:ascii="黑体" w:hAnsi="黑体" w:eastAsia="黑体" w:cs="黑体"/>
          <w:spacing w:val="10"/>
          <w:sz w:val="32"/>
          <w:szCs w:val="32"/>
          <w:highlight w:val="none"/>
        </w:rPr>
        <w:t xml:space="preserve">  </w:t>
      </w:r>
      <w:r>
        <w:rPr>
          <w:rFonts w:ascii="黑体" w:hAnsi="黑体" w:eastAsia="黑体" w:cs="黑体"/>
          <w:spacing w:val="1"/>
          <w:sz w:val="32"/>
          <w:szCs w:val="32"/>
          <w:highlight w:val="none"/>
        </w:rPr>
        <w:t>则</w:t>
      </w:r>
    </w:p>
    <w:p w14:paraId="59E09E05">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442" w:firstLineChars="200"/>
        <w:jc w:val="both"/>
        <w:textAlignment w:val="baseline"/>
        <w:rPr>
          <w:rFonts w:hint="eastAsia" w:ascii="方正仿宋_GB2312" w:hAnsi="方正仿宋_GB2312" w:eastAsia="方正仿宋_GB2312" w:cs="方正仿宋_GB2312"/>
          <w:b/>
          <w:bCs/>
          <w:spacing w:val="5"/>
          <w:sz w:val="21"/>
          <w:szCs w:val="21"/>
          <w:highlight w:val="none"/>
        </w:rPr>
      </w:pPr>
    </w:p>
    <w:p w14:paraId="2B2E33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right="0" w:rightChars="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eastAsia="zh-CN"/>
        </w:rPr>
        <w:t>第一条</w:t>
      </w:r>
      <w:r>
        <w:rPr>
          <w:rFonts w:hint="eastAsia" w:ascii="方正仿宋_GB2312" w:hAnsi="方正仿宋_GB2312" w:eastAsia="方正仿宋_GB2312" w:cs="方正仿宋_GB2312"/>
          <w:spacing w:val="5"/>
          <w:sz w:val="32"/>
          <w:szCs w:val="32"/>
          <w:highlight w:val="none"/>
          <w:lang w:val="en-US" w:eastAsia="zh-CN"/>
        </w:rPr>
        <w:t xml:space="preserve">  </w:t>
      </w:r>
      <w:r>
        <w:rPr>
          <w:rFonts w:hint="eastAsia" w:ascii="方正仿宋_GB2312" w:hAnsi="方正仿宋_GB2312" w:eastAsia="方正仿宋_GB2312" w:cs="方正仿宋_GB2312"/>
          <w:spacing w:val="5"/>
          <w:sz w:val="32"/>
          <w:szCs w:val="32"/>
          <w:highlight w:val="none"/>
        </w:rPr>
        <w:t>为</w:t>
      </w:r>
      <w:r>
        <w:rPr>
          <w:rFonts w:hint="eastAsia" w:ascii="方正仿宋_GB2312" w:hAnsi="方正仿宋_GB2312" w:eastAsia="方正仿宋_GB2312" w:cs="方正仿宋_GB2312"/>
          <w:spacing w:val="5"/>
          <w:sz w:val="32"/>
          <w:szCs w:val="32"/>
          <w:highlight w:val="none"/>
          <w:lang w:val="en-US" w:eastAsia="zh-CN"/>
        </w:rPr>
        <w:t>进一步加强</w:t>
      </w:r>
      <w:r>
        <w:rPr>
          <w:rFonts w:hint="eastAsia" w:ascii="方正仿宋_GB2312" w:hAnsi="方正仿宋_GB2312" w:eastAsia="方正仿宋_GB2312" w:cs="方正仿宋_GB2312"/>
          <w:spacing w:val="5"/>
          <w:sz w:val="32"/>
          <w:szCs w:val="32"/>
          <w:highlight w:val="none"/>
          <w:lang w:eastAsia="zh-CN"/>
        </w:rPr>
        <w:t>瓯海区区</w:t>
      </w:r>
      <w:r>
        <w:rPr>
          <w:rFonts w:hint="eastAsia" w:ascii="方正仿宋_GB2312" w:hAnsi="方正仿宋_GB2312" w:eastAsia="方正仿宋_GB2312" w:cs="方正仿宋_GB2312"/>
          <w:spacing w:val="5"/>
          <w:sz w:val="32"/>
          <w:szCs w:val="32"/>
          <w:highlight w:val="none"/>
        </w:rPr>
        <w:t>属国有企业</w:t>
      </w:r>
      <w:r>
        <w:rPr>
          <w:rFonts w:hint="eastAsia" w:ascii="方正仿宋_GB2312" w:hAnsi="方正仿宋_GB2312" w:eastAsia="方正仿宋_GB2312" w:cs="方正仿宋_GB2312"/>
          <w:spacing w:val="5"/>
          <w:sz w:val="32"/>
          <w:szCs w:val="32"/>
          <w:highlight w:val="none"/>
          <w:lang w:val="en-US" w:eastAsia="zh-CN"/>
        </w:rPr>
        <w:t>产权管理</w:t>
      </w:r>
      <w:r>
        <w:rPr>
          <w:rFonts w:hint="eastAsia" w:ascii="方正仿宋_GB2312" w:hAnsi="方正仿宋_GB2312" w:eastAsia="方正仿宋_GB2312" w:cs="方正仿宋_GB2312"/>
          <w:spacing w:val="5"/>
          <w:sz w:val="32"/>
          <w:szCs w:val="32"/>
          <w:highlight w:val="none"/>
        </w:rPr>
        <w:t>，根据《公司</w:t>
      </w:r>
      <w:r>
        <w:rPr>
          <w:rFonts w:hint="eastAsia" w:ascii="方正仿宋_GB2312" w:hAnsi="方正仿宋_GB2312" w:eastAsia="方正仿宋_GB2312" w:cs="方正仿宋_GB2312"/>
          <w:spacing w:val="-16"/>
          <w:sz w:val="32"/>
          <w:szCs w:val="32"/>
          <w:highlight w:val="none"/>
        </w:rPr>
        <w:t>法》、</w:t>
      </w:r>
      <w:bookmarkStart w:id="0" w:name="_GoBack"/>
      <w:bookmarkEnd w:id="0"/>
      <w:r>
        <w:rPr>
          <w:rFonts w:hint="eastAsia" w:ascii="方正仿宋_GB2312" w:hAnsi="方正仿宋_GB2312" w:eastAsia="方正仿宋_GB2312" w:cs="方正仿宋_GB2312"/>
          <w:spacing w:val="-16"/>
          <w:sz w:val="32"/>
          <w:szCs w:val="32"/>
          <w:highlight w:val="none"/>
          <w:lang w:eastAsia="zh-CN"/>
        </w:rPr>
        <w:t>《中华人民共和国企业国有资产法》</w:t>
      </w:r>
      <w:r>
        <w:rPr>
          <w:rFonts w:hint="eastAsia" w:ascii="方正仿宋_GB2312" w:hAnsi="方正仿宋_GB2312" w:eastAsia="方正仿宋_GB2312" w:cs="方正仿宋_GB2312"/>
          <w:sz w:val="32"/>
          <w:szCs w:val="32"/>
          <w:highlight w:val="none"/>
        </w:rPr>
        <w:t>、《企业国有资产监督管理暂行条例》</w:t>
      </w:r>
      <w:r>
        <w:rPr>
          <w:rFonts w:hint="eastAsia" w:ascii="方正仿宋_GB2312" w:hAnsi="方正仿宋_GB2312" w:eastAsia="方正仿宋_GB2312" w:cs="方正仿宋_GB2312"/>
          <w:spacing w:val="-6"/>
          <w:sz w:val="32"/>
          <w:szCs w:val="32"/>
          <w:highlight w:val="none"/>
        </w:rPr>
        <w:t>、《企业国有资产交易监督</w:t>
      </w:r>
      <w:r>
        <w:rPr>
          <w:rFonts w:hint="eastAsia" w:ascii="方正仿宋_GB2312" w:hAnsi="方正仿宋_GB2312" w:eastAsia="方正仿宋_GB2312" w:cs="方正仿宋_GB2312"/>
          <w:spacing w:val="11"/>
          <w:sz w:val="32"/>
          <w:szCs w:val="32"/>
          <w:highlight w:val="none"/>
        </w:rPr>
        <w:t>管理办法》</w:t>
      </w:r>
      <w:r>
        <w:rPr>
          <w:rFonts w:hint="eastAsia" w:ascii="方正仿宋_GB2312" w:hAnsi="方正仿宋_GB2312" w:eastAsia="方正仿宋_GB2312" w:cs="方正仿宋_GB2312"/>
          <w:spacing w:val="-2"/>
          <w:sz w:val="32"/>
          <w:szCs w:val="32"/>
          <w:highlight w:val="none"/>
        </w:rPr>
        <w:t>、《企业国有产权交易操作规则》</w:t>
      </w:r>
      <w:r>
        <w:rPr>
          <w:rFonts w:hint="eastAsia" w:ascii="方正仿宋_GB2312" w:hAnsi="方正仿宋_GB2312" w:eastAsia="方正仿宋_GB2312" w:cs="方正仿宋_GB2312"/>
          <w:spacing w:val="-5"/>
          <w:sz w:val="32"/>
          <w:szCs w:val="32"/>
          <w:highlight w:val="none"/>
        </w:rPr>
        <w:t>、《企业国有产权无偿划转管理暂行办法</w:t>
      </w:r>
      <w:r>
        <w:rPr>
          <w:rFonts w:hint="eastAsia" w:ascii="方正仿宋_GB2312" w:hAnsi="方正仿宋_GB2312" w:eastAsia="方正仿宋_GB2312" w:cs="方正仿宋_GB2312"/>
          <w:spacing w:val="-5"/>
          <w:sz w:val="32"/>
          <w:szCs w:val="32"/>
          <w:highlight w:val="none"/>
          <w:lang w:eastAsia="zh-CN"/>
        </w:rPr>
        <w:t>》、</w:t>
      </w:r>
      <w:r>
        <w:rPr>
          <w:rFonts w:hint="eastAsia" w:ascii="方正仿宋_GB2312" w:hAnsi="方正仿宋_GB2312" w:eastAsia="方正仿宋_GB2312" w:cs="方正仿宋_GB2312"/>
          <w:spacing w:val="-5"/>
          <w:sz w:val="32"/>
          <w:szCs w:val="32"/>
          <w:highlight w:val="none"/>
        </w:rPr>
        <w:t>《浙江省企业国有资产监督管理办法》</w:t>
      </w:r>
      <w:r>
        <w:rPr>
          <w:rFonts w:hint="eastAsia" w:ascii="方正仿宋_GB2312" w:hAnsi="方正仿宋_GB2312" w:eastAsia="方正仿宋_GB2312" w:cs="方正仿宋_GB2312"/>
          <w:sz w:val="32"/>
          <w:szCs w:val="32"/>
          <w:highlight w:val="none"/>
          <w:lang w:eastAsia="zh-CN"/>
        </w:rPr>
        <w:t>、《温州市市属国有企业国有资产交易监督管理办法》、</w:t>
      </w:r>
      <w:r>
        <w:rPr>
          <w:rFonts w:hint="eastAsia" w:ascii="方正仿宋_GB2312" w:hAnsi="方正仿宋_GB2312" w:eastAsia="方正仿宋_GB2312" w:cs="方正仿宋_GB2312"/>
          <w:spacing w:val="-2"/>
          <w:sz w:val="32"/>
          <w:szCs w:val="32"/>
          <w:highlight w:val="none"/>
          <w:lang w:val="en-US" w:eastAsia="zh-CN"/>
        </w:rPr>
        <w:t>《温州市市属国有企业产权管理暂行办法》</w:t>
      </w:r>
      <w:r>
        <w:rPr>
          <w:rFonts w:hint="eastAsia" w:ascii="方正仿宋_GB2312" w:hAnsi="方正仿宋_GB2312" w:eastAsia="方正仿宋_GB2312" w:cs="方正仿宋_GB2312"/>
          <w:sz w:val="32"/>
          <w:szCs w:val="32"/>
          <w:highlight w:val="none"/>
        </w:rPr>
        <w:t>等法律、法规、规章</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制定本办法。</w:t>
      </w:r>
    </w:p>
    <w:p w14:paraId="0E059D90">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lang w:eastAsia="zh-CN"/>
        </w:rPr>
      </w:pPr>
      <w:r>
        <w:rPr>
          <w:rFonts w:hint="eastAsia" w:ascii="黑体" w:hAnsi="黑体" w:eastAsia="黑体" w:cs="黑体"/>
          <w:b w:val="0"/>
          <w:bCs w:val="0"/>
          <w:spacing w:val="5"/>
          <w:sz w:val="32"/>
          <w:szCs w:val="32"/>
          <w:highlight w:val="none"/>
          <w:lang w:eastAsia="zh-CN"/>
        </w:rPr>
        <w:t>第二条</w:t>
      </w:r>
      <w:r>
        <w:rPr>
          <w:rFonts w:hint="eastAsia" w:ascii="方正仿宋_GB2312" w:hAnsi="方正仿宋_GB2312" w:eastAsia="方正仿宋_GB2312" w:cs="方正仿宋_GB2312"/>
          <w:b/>
          <w:bCs/>
          <w:spacing w:val="17"/>
          <w:sz w:val="32"/>
          <w:szCs w:val="32"/>
          <w:highlight w:val="none"/>
          <w:lang w:val="en-US" w:eastAsia="zh-CN"/>
        </w:rPr>
        <w:t xml:space="preserve">  </w:t>
      </w:r>
      <w:r>
        <w:rPr>
          <w:rFonts w:hint="eastAsia" w:ascii="方正仿宋_GB2312" w:hAnsi="方正仿宋_GB2312" w:eastAsia="方正仿宋_GB2312" w:cs="方正仿宋_GB2312"/>
          <w:spacing w:val="17"/>
          <w:sz w:val="32"/>
          <w:szCs w:val="32"/>
          <w:highlight w:val="none"/>
        </w:rPr>
        <w:t>本办法适用范围为</w:t>
      </w:r>
      <w:r>
        <w:rPr>
          <w:rFonts w:hint="eastAsia" w:ascii="方正仿宋_GB2312" w:hAnsi="方正仿宋_GB2312" w:eastAsia="方正仿宋_GB2312" w:cs="方正仿宋_GB2312"/>
          <w:spacing w:val="17"/>
          <w:sz w:val="32"/>
          <w:szCs w:val="32"/>
          <w:highlight w:val="none"/>
          <w:lang w:eastAsia="zh-CN"/>
        </w:rPr>
        <w:t>区</w:t>
      </w:r>
      <w:r>
        <w:rPr>
          <w:rFonts w:hint="eastAsia" w:ascii="方正仿宋_GB2312" w:hAnsi="方正仿宋_GB2312" w:eastAsia="方正仿宋_GB2312" w:cs="方正仿宋_GB2312"/>
          <w:spacing w:val="17"/>
          <w:sz w:val="32"/>
          <w:szCs w:val="32"/>
          <w:highlight w:val="none"/>
        </w:rPr>
        <w:t>政府授权</w:t>
      </w:r>
      <w:r>
        <w:rPr>
          <w:rFonts w:hint="eastAsia" w:ascii="方正仿宋_GB2312" w:hAnsi="方正仿宋_GB2312" w:eastAsia="方正仿宋_GB2312" w:cs="方正仿宋_GB2312"/>
          <w:spacing w:val="17"/>
          <w:sz w:val="32"/>
          <w:szCs w:val="32"/>
          <w:highlight w:val="none"/>
          <w:lang w:eastAsia="zh-CN"/>
        </w:rPr>
        <w:t>区</w:t>
      </w:r>
      <w:r>
        <w:rPr>
          <w:rFonts w:hint="eastAsia" w:ascii="方正仿宋_GB2312" w:hAnsi="方正仿宋_GB2312" w:eastAsia="方正仿宋_GB2312" w:cs="方正仿宋_GB2312"/>
          <w:spacing w:val="17"/>
          <w:sz w:val="32"/>
          <w:szCs w:val="32"/>
          <w:highlight w:val="none"/>
        </w:rPr>
        <w:t>国资</w:t>
      </w:r>
      <w:r>
        <w:rPr>
          <w:rFonts w:hint="eastAsia" w:ascii="方正仿宋_GB2312" w:hAnsi="方正仿宋_GB2312" w:eastAsia="方正仿宋_GB2312" w:cs="方正仿宋_GB2312"/>
          <w:spacing w:val="17"/>
          <w:sz w:val="32"/>
          <w:szCs w:val="32"/>
          <w:highlight w:val="none"/>
          <w:lang w:eastAsia="zh-CN"/>
        </w:rPr>
        <w:t>办</w:t>
      </w:r>
      <w:r>
        <w:rPr>
          <w:rFonts w:hint="eastAsia" w:ascii="方正仿宋_GB2312" w:hAnsi="方正仿宋_GB2312" w:eastAsia="方正仿宋_GB2312" w:cs="方正仿宋_GB2312"/>
          <w:spacing w:val="17"/>
          <w:sz w:val="32"/>
          <w:szCs w:val="32"/>
          <w:highlight w:val="none"/>
        </w:rPr>
        <w:t>履行出资</w:t>
      </w:r>
      <w:r>
        <w:rPr>
          <w:rFonts w:hint="eastAsia" w:ascii="方正仿宋_GB2312" w:hAnsi="方正仿宋_GB2312" w:eastAsia="方正仿宋_GB2312" w:cs="方正仿宋_GB2312"/>
          <w:spacing w:val="5"/>
          <w:sz w:val="32"/>
          <w:szCs w:val="32"/>
          <w:highlight w:val="none"/>
        </w:rPr>
        <w:t>人职责的企业（以下简称</w:t>
      </w:r>
      <w:r>
        <w:rPr>
          <w:rFonts w:hint="eastAsia" w:ascii="方正仿宋_GB2312" w:hAnsi="方正仿宋_GB2312" w:eastAsia="方正仿宋_GB2312" w:cs="方正仿宋_GB2312"/>
          <w:spacing w:val="5"/>
          <w:sz w:val="32"/>
          <w:szCs w:val="32"/>
          <w:highlight w:val="none"/>
          <w:lang w:eastAsia="zh-CN"/>
        </w:rPr>
        <w:t>区属</w:t>
      </w:r>
      <w:r>
        <w:rPr>
          <w:rFonts w:hint="eastAsia" w:ascii="方正仿宋_GB2312" w:hAnsi="方正仿宋_GB2312" w:eastAsia="方正仿宋_GB2312" w:cs="方正仿宋_GB2312"/>
          <w:spacing w:val="5"/>
          <w:sz w:val="32"/>
          <w:szCs w:val="32"/>
          <w:highlight w:val="none"/>
        </w:rPr>
        <w:t>国有企业）及其所属国有</w:t>
      </w:r>
      <w:r>
        <w:rPr>
          <w:rFonts w:hint="eastAsia" w:ascii="方正仿宋_GB2312" w:hAnsi="方正仿宋_GB2312" w:eastAsia="方正仿宋_GB2312" w:cs="方正仿宋_GB2312"/>
          <w:spacing w:val="5"/>
          <w:sz w:val="32"/>
          <w:szCs w:val="32"/>
          <w:highlight w:val="none"/>
          <w:lang w:val="en-US" w:eastAsia="zh-CN"/>
        </w:rPr>
        <w:t>全资企业、</w:t>
      </w:r>
      <w:r>
        <w:rPr>
          <w:rFonts w:hint="eastAsia" w:ascii="方正仿宋_GB2312" w:hAnsi="方正仿宋_GB2312" w:eastAsia="方正仿宋_GB2312" w:cs="方正仿宋_GB2312"/>
          <w:spacing w:val="5"/>
          <w:sz w:val="32"/>
          <w:szCs w:val="32"/>
          <w:highlight w:val="none"/>
        </w:rPr>
        <w:t>国有控</w:t>
      </w:r>
      <w:r>
        <w:rPr>
          <w:rFonts w:hint="eastAsia" w:ascii="方正仿宋_GB2312" w:hAnsi="方正仿宋_GB2312" w:eastAsia="方正仿宋_GB2312" w:cs="方正仿宋_GB2312"/>
          <w:spacing w:val="1"/>
          <w:sz w:val="32"/>
          <w:szCs w:val="32"/>
          <w:highlight w:val="none"/>
        </w:rPr>
        <w:t>股企业、国有实际控制企业</w:t>
      </w:r>
      <w:r>
        <w:rPr>
          <w:rFonts w:hint="eastAsia" w:ascii="方正仿宋_GB2312" w:hAnsi="方正仿宋_GB2312" w:eastAsia="方正仿宋_GB2312" w:cs="方正仿宋_GB2312"/>
          <w:spacing w:val="1"/>
          <w:sz w:val="32"/>
          <w:szCs w:val="32"/>
          <w:highlight w:val="none"/>
          <w:lang w:eastAsia="zh-CN"/>
        </w:rPr>
        <w:t>、</w:t>
      </w:r>
      <w:r>
        <w:rPr>
          <w:rFonts w:hint="eastAsia" w:ascii="方正仿宋_GB2312" w:hAnsi="方正仿宋_GB2312" w:eastAsia="方正仿宋_GB2312" w:cs="方正仿宋_GB2312"/>
          <w:spacing w:val="1"/>
          <w:sz w:val="32"/>
          <w:szCs w:val="32"/>
          <w:highlight w:val="none"/>
          <w:lang w:val="en-US" w:eastAsia="zh-CN"/>
        </w:rPr>
        <w:t>国有参股企业</w:t>
      </w:r>
      <w:r>
        <w:rPr>
          <w:rFonts w:hint="eastAsia" w:ascii="方正仿宋_GB2312" w:hAnsi="方正仿宋_GB2312" w:eastAsia="方正仿宋_GB2312" w:cs="方正仿宋_GB2312"/>
          <w:spacing w:val="1"/>
          <w:sz w:val="32"/>
          <w:szCs w:val="32"/>
          <w:highlight w:val="none"/>
        </w:rPr>
        <w:t>（以下统称</w:t>
      </w:r>
      <w:r>
        <w:rPr>
          <w:rFonts w:hint="eastAsia" w:ascii="方正仿宋_GB2312" w:hAnsi="方正仿宋_GB2312" w:eastAsia="方正仿宋_GB2312" w:cs="方正仿宋_GB2312"/>
          <w:spacing w:val="1"/>
          <w:sz w:val="32"/>
          <w:szCs w:val="32"/>
          <w:highlight w:val="none"/>
          <w:lang w:eastAsia="zh-CN"/>
        </w:rPr>
        <w:t>所属</w:t>
      </w:r>
      <w:r>
        <w:rPr>
          <w:rFonts w:hint="eastAsia" w:ascii="方正仿宋_GB2312" w:hAnsi="方正仿宋_GB2312" w:eastAsia="方正仿宋_GB2312" w:cs="方正仿宋_GB2312"/>
          <w:spacing w:val="1"/>
          <w:sz w:val="32"/>
          <w:szCs w:val="32"/>
          <w:highlight w:val="none"/>
        </w:rPr>
        <w:t>企业）。</w:t>
      </w:r>
      <w:r>
        <w:rPr>
          <w:rFonts w:hint="eastAsia" w:ascii="方正仿宋_GB2312" w:hAnsi="方正仿宋_GB2312" w:eastAsia="方正仿宋_GB2312" w:cs="方正仿宋_GB2312"/>
          <w:spacing w:val="1"/>
          <w:sz w:val="32"/>
          <w:szCs w:val="32"/>
          <w:highlight w:val="none"/>
          <w:lang w:eastAsia="zh-CN"/>
        </w:rPr>
        <w:t>区属国有企业</w:t>
      </w:r>
      <w:r>
        <w:rPr>
          <w:rFonts w:hint="eastAsia" w:ascii="方正仿宋_GB2312" w:hAnsi="方正仿宋_GB2312" w:eastAsia="方正仿宋_GB2312" w:cs="方正仿宋_GB2312"/>
          <w:spacing w:val="4"/>
          <w:sz w:val="32"/>
          <w:szCs w:val="32"/>
          <w:highlight w:val="none"/>
          <w:lang w:val="en-US" w:eastAsia="zh-CN"/>
        </w:rPr>
        <w:t>包括产权级次为一级或管理级次为一级的区属国有企业。</w:t>
      </w:r>
    </w:p>
    <w:p w14:paraId="17561B74">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4"/>
          <w:sz w:val="32"/>
          <w:szCs w:val="32"/>
          <w:highlight w:val="none"/>
        </w:rPr>
        <w:t>前款所称拥有实际控制权，是指</w:t>
      </w:r>
      <w:r>
        <w:rPr>
          <w:rFonts w:hint="eastAsia" w:ascii="方正仿宋_GB2312" w:hAnsi="方正仿宋_GB2312" w:eastAsia="方正仿宋_GB2312" w:cs="方正仿宋_GB2312"/>
          <w:spacing w:val="4"/>
          <w:sz w:val="32"/>
          <w:szCs w:val="32"/>
          <w:highlight w:val="none"/>
          <w:lang w:eastAsia="zh-CN"/>
        </w:rPr>
        <w:t>区属</w:t>
      </w:r>
      <w:r>
        <w:rPr>
          <w:rFonts w:hint="eastAsia" w:ascii="方正仿宋_GB2312" w:hAnsi="方正仿宋_GB2312" w:eastAsia="方正仿宋_GB2312" w:cs="方正仿宋_GB2312"/>
          <w:spacing w:val="4"/>
          <w:sz w:val="32"/>
          <w:szCs w:val="32"/>
          <w:highlight w:val="none"/>
        </w:rPr>
        <w:t>国有企业直接或间接合</w:t>
      </w:r>
      <w:r>
        <w:rPr>
          <w:rFonts w:hint="eastAsia" w:ascii="方正仿宋_GB2312" w:hAnsi="方正仿宋_GB2312" w:eastAsia="方正仿宋_GB2312" w:cs="方正仿宋_GB2312"/>
          <w:spacing w:val="8"/>
          <w:sz w:val="32"/>
          <w:szCs w:val="32"/>
          <w:highlight w:val="none"/>
        </w:rPr>
        <w:t>计持股比例超过50%，或者持股比例虽然未超过50%，但为第</w:t>
      </w:r>
      <w:r>
        <w:rPr>
          <w:rFonts w:hint="eastAsia" w:ascii="方正仿宋_GB2312" w:hAnsi="方正仿宋_GB2312" w:eastAsia="方正仿宋_GB2312" w:cs="方正仿宋_GB2312"/>
          <w:spacing w:val="5"/>
          <w:sz w:val="32"/>
          <w:szCs w:val="32"/>
          <w:highlight w:val="none"/>
        </w:rPr>
        <w:t>一大股东，并通过股东协议、公司章程、董事会决议或者其他协</w:t>
      </w:r>
      <w:r>
        <w:rPr>
          <w:rFonts w:hint="eastAsia" w:ascii="方正仿宋_GB2312" w:hAnsi="方正仿宋_GB2312" w:eastAsia="方正仿宋_GB2312" w:cs="方正仿宋_GB2312"/>
          <w:spacing w:val="6"/>
          <w:sz w:val="32"/>
          <w:szCs w:val="32"/>
          <w:highlight w:val="none"/>
        </w:rPr>
        <w:t>议安排能够实际支配企业行为的情形。</w:t>
      </w:r>
    </w:p>
    <w:p w14:paraId="111EB43A">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方正仿宋_GB2312" w:hAnsi="方正仿宋_GB2312" w:eastAsia="方正仿宋_GB2312" w:cs="方正仿宋_GB2312"/>
          <w:b/>
          <w:bCs/>
          <w:spacing w:val="17"/>
          <w:sz w:val="32"/>
          <w:szCs w:val="32"/>
          <w:highlight w:val="none"/>
        </w:rPr>
      </w:pPr>
      <w:r>
        <w:rPr>
          <w:rFonts w:hint="eastAsia" w:ascii="方正仿宋_GB2312" w:hAnsi="方正仿宋_GB2312" w:eastAsia="方正仿宋_GB2312" w:cs="方正仿宋_GB2312"/>
          <w:spacing w:val="8"/>
          <w:sz w:val="32"/>
          <w:szCs w:val="32"/>
          <w:highlight w:val="none"/>
          <w:lang w:eastAsia="zh-CN"/>
        </w:rPr>
        <w:t>区属</w:t>
      </w:r>
      <w:r>
        <w:rPr>
          <w:rFonts w:hint="eastAsia" w:ascii="方正仿宋_GB2312" w:hAnsi="方正仿宋_GB2312" w:eastAsia="方正仿宋_GB2312" w:cs="方正仿宋_GB2312"/>
          <w:spacing w:val="8"/>
          <w:sz w:val="32"/>
          <w:szCs w:val="32"/>
          <w:highlight w:val="none"/>
        </w:rPr>
        <w:t>国有企业所属事业单位视为其子企业进行管理</w:t>
      </w:r>
      <w:r>
        <w:rPr>
          <w:rFonts w:hint="eastAsia" w:ascii="方正仿宋_GB2312" w:hAnsi="方正仿宋_GB2312" w:eastAsia="方正仿宋_GB2312" w:cs="方正仿宋_GB2312"/>
          <w:spacing w:val="8"/>
          <w:sz w:val="32"/>
          <w:szCs w:val="32"/>
          <w:highlight w:val="none"/>
          <w:lang w:eastAsia="zh-CN"/>
        </w:rPr>
        <w:t>。</w:t>
      </w:r>
    </w:p>
    <w:p w14:paraId="438B5823">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pacing w:val="17"/>
          <w:sz w:val="32"/>
          <w:szCs w:val="32"/>
          <w:highlight w:val="none"/>
          <w:lang w:eastAsia="zh-CN"/>
        </w:rPr>
      </w:pPr>
      <w:r>
        <w:rPr>
          <w:rFonts w:hint="eastAsia" w:ascii="黑体" w:hAnsi="黑体" w:eastAsia="黑体" w:cs="黑体"/>
          <w:b w:val="0"/>
          <w:bCs w:val="0"/>
          <w:spacing w:val="5"/>
          <w:sz w:val="32"/>
          <w:szCs w:val="32"/>
          <w:highlight w:val="none"/>
          <w:lang w:eastAsia="zh-CN"/>
        </w:rPr>
        <w:t>第三条</w:t>
      </w:r>
      <w:r>
        <w:rPr>
          <w:rFonts w:hint="eastAsia" w:ascii="方正仿宋_GB2312" w:hAnsi="方正仿宋_GB2312" w:eastAsia="方正仿宋_GB2312" w:cs="方正仿宋_GB2312"/>
          <w:spacing w:val="159"/>
          <w:sz w:val="32"/>
          <w:szCs w:val="32"/>
          <w:highlight w:val="none"/>
        </w:rPr>
        <w:t xml:space="preserve"> </w:t>
      </w:r>
      <w:r>
        <w:rPr>
          <w:rFonts w:hint="eastAsia" w:ascii="方正仿宋_GB2312" w:hAnsi="方正仿宋_GB2312" w:eastAsia="方正仿宋_GB2312" w:cs="方正仿宋_GB2312"/>
          <w:spacing w:val="17"/>
          <w:sz w:val="32"/>
          <w:szCs w:val="32"/>
          <w:highlight w:val="none"/>
        </w:rPr>
        <w:t>企业国有资产</w:t>
      </w:r>
      <w:r>
        <w:rPr>
          <w:rFonts w:hint="eastAsia" w:ascii="方正仿宋_GB2312" w:hAnsi="方正仿宋_GB2312" w:eastAsia="方正仿宋_GB2312" w:cs="方正仿宋_GB2312"/>
          <w:spacing w:val="17"/>
          <w:sz w:val="32"/>
          <w:szCs w:val="32"/>
          <w:highlight w:val="none"/>
          <w:lang w:eastAsia="zh-CN"/>
        </w:rPr>
        <w:t>产权管理</w:t>
      </w:r>
      <w:r>
        <w:rPr>
          <w:rFonts w:hint="eastAsia" w:ascii="方正仿宋_GB2312" w:hAnsi="方正仿宋_GB2312" w:eastAsia="方正仿宋_GB2312" w:cs="方正仿宋_GB2312"/>
          <w:spacing w:val="17"/>
          <w:sz w:val="32"/>
          <w:szCs w:val="32"/>
          <w:highlight w:val="none"/>
        </w:rPr>
        <w:t>应当遵守国家法律法规和政策规定，遵循归属清晰、权责明确、操作规范、保值增值的原则</w:t>
      </w:r>
      <w:r>
        <w:rPr>
          <w:rFonts w:hint="eastAsia" w:ascii="方正仿宋_GB2312" w:hAnsi="方正仿宋_GB2312" w:eastAsia="方正仿宋_GB2312" w:cs="方正仿宋_GB2312"/>
          <w:spacing w:val="17"/>
          <w:sz w:val="32"/>
          <w:szCs w:val="32"/>
          <w:highlight w:val="none"/>
          <w:lang w:eastAsia="zh-CN"/>
        </w:rPr>
        <w:t>。</w:t>
      </w:r>
    </w:p>
    <w:p w14:paraId="4702D3F4">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eastAsia" w:ascii="方正仿宋_GB2312" w:hAnsi="方正仿宋_GB2312" w:eastAsia="方正仿宋_GB2312" w:cs="方正仿宋_GB2312"/>
          <w:spacing w:val="17"/>
          <w:sz w:val="32"/>
          <w:szCs w:val="32"/>
          <w:highlight w:val="none"/>
        </w:rPr>
      </w:pPr>
      <w:r>
        <w:rPr>
          <w:rFonts w:hint="eastAsia" w:ascii="方正仿宋_GB2312" w:hAnsi="方正仿宋_GB2312" w:eastAsia="方正仿宋_GB2312" w:cs="方正仿宋_GB2312"/>
          <w:spacing w:val="17"/>
          <w:sz w:val="32"/>
          <w:szCs w:val="32"/>
          <w:highlight w:val="none"/>
        </w:rPr>
        <w:t>企业国有资产</w:t>
      </w:r>
      <w:r>
        <w:rPr>
          <w:rFonts w:hint="eastAsia" w:ascii="方正仿宋_GB2312" w:hAnsi="方正仿宋_GB2312" w:eastAsia="方正仿宋_GB2312" w:cs="方正仿宋_GB2312"/>
          <w:spacing w:val="17"/>
          <w:sz w:val="32"/>
          <w:szCs w:val="32"/>
          <w:highlight w:val="none"/>
          <w:lang w:eastAsia="zh-CN"/>
        </w:rPr>
        <w:t>产权管理</w:t>
      </w:r>
      <w:r>
        <w:rPr>
          <w:rFonts w:hint="eastAsia" w:ascii="方正仿宋_GB2312" w:hAnsi="方正仿宋_GB2312" w:eastAsia="方正仿宋_GB2312" w:cs="方正仿宋_GB2312"/>
          <w:spacing w:val="17"/>
          <w:sz w:val="32"/>
          <w:szCs w:val="32"/>
          <w:highlight w:val="none"/>
        </w:rPr>
        <w:t>应有利于国有经济布局和结构调整优化，充分发挥市场配置资源作用，遵循等价有偿和公开公平公正的原则，在依法设立的产权交易机构中公开进行，国家法律法规另有规定的从其规定。</w:t>
      </w:r>
    </w:p>
    <w:p w14:paraId="1109C621">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eastAsia="zh-CN"/>
        </w:rPr>
        <w:t>第四条</w:t>
      </w:r>
      <w:r>
        <w:rPr>
          <w:rFonts w:hint="eastAsia" w:ascii="方正仿宋_GB2312" w:hAnsi="方正仿宋_GB2312" w:eastAsia="方正仿宋_GB2312" w:cs="方正仿宋_GB2312"/>
          <w:spacing w:val="139"/>
          <w:sz w:val="32"/>
          <w:szCs w:val="32"/>
          <w:highlight w:val="none"/>
        </w:rPr>
        <w:t xml:space="preserve"> </w:t>
      </w:r>
      <w:r>
        <w:rPr>
          <w:rFonts w:hint="eastAsia" w:ascii="方正仿宋_GB2312" w:hAnsi="方正仿宋_GB2312" w:eastAsia="方正仿宋_GB2312" w:cs="方正仿宋_GB2312"/>
          <w:spacing w:val="4"/>
          <w:sz w:val="32"/>
          <w:szCs w:val="32"/>
          <w:highlight w:val="none"/>
          <w:lang w:eastAsia="zh-CN"/>
        </w:rPr>
        <w:t>区国资办</w:t>
      </w:r>
      <w:r>
        <w:rPr>
          <w:rFonts w:hint="eastAsia" w:ascii="方正仿宋_GB2312" w:hAnsi="方正仿宋_GB2312" w:eastAsia="方正仿宋_GB2312" w:cs="方正仿宋_GB2312"/>
          <w:spacing w:val="4"/>
          <w:sz w:val="32"/>
          <w:szCs w:val="32"/>
          <w:highlight w:val="none"/>
        </w:rPr>
        <w:t>负责指导和监督企业</w:t>
      </w:r>
      <w:r>
        <w:rPr>
          <w:rFonts w:hint="eastAsia" w:ascii="方正仿宋_GB2312" w:hAnsi="方正仿宋_GB2312" w:eastAsia="方正仿宋_GB2312" w:cs="方正仿宋_GB2312"/>
          <w:spacing w:val="4"/>
          <w:sz w:val="32"/>
          <w:szCs w:val="32"/>
          <w:highlight w:val="none"/>
          <w:lang w:val="en-US" w:eastAsia="zh-CN"/>
        </w:rPr>
        <w:t>产权管理</w:t>
      </w:r>
      <w:r>
        <w:rPr>
          <w:rFonts w:hint="eastAsia" w:ascii="方正仿宋_GB2312" w:hAnsi="方正仿宋_GB2312" w:eastAsia="方正仿宋_GB2312" w:cs="方正仿宋_GB2312"/>
          <w:spacing w:val="4"/>
          <w:sz w:val="32"/>
          <w:szCs w:val="32"/>
          <w:highlight w:val="none"/>
        </w:rPr>
        <w:t>工作</w:t>
      </w:r>
      <w:r>
        <w:rPr>
          <w:rFonts w:hint="eastAsia" w:ascii="方正仿宋_GB2312" w:hAnsi="方正仿宋_GB2312" w:eastAsia="方正仿宋_GB2312" w:cs="方正仿宋_GB2312"/>
          <w:spacing w:val="4"/>
          <w:sz w:val="32"/>
          <w:szCs w:val="32"/>
          <w:highlight w:val="none"/>
          <w:lang w:val="en-US" w:eastAsia="zh-CN"/>
        </w:rPr>
        <w:t>，</w:t>
      </w:r>
      <w:r>
        <w:rPr>
          <w:rFonts w:hint="eastAsia" w:ascii="方正仿宋_GB2312" w:hAnsi="方正仿宋_GB2312" w:eastAsia="方正仿宋_GB2312" w:cs="方正仿宋_GB2312"/>
          <w:spacing w:val="-4"/>
          <w:sz w:val="32"/>
          <w:szCs w:val="32"/>
          <w:highlight w:val="none"/>
        </w:rPr>
        <w:t>主要职责是：</w:t>
      </w:r>
    </w:p>
    <w:p w14:paraId="6D408523">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5"/>
          <w:sz w:val="32"/>
          <w:szCs w:val="32"/>
          <w:highlight w:val="none"/>
        </w:rPr>
        <w:t>（一）</w:t>
      </w:r>
      <w:r>
        <w:rPr>
          <w:rFonts w:hint="eastAsia" w:ascii="方正仿宋_GB2312" w:hAnsi="方正仿宋_GB2312" w:eastAsia="方正仿宋_GB2312" w:cs="方正仿宋_GB2312"/>
          <w:spacing w:val="5"/>
          <w:sz w:val="32"/>
          <w:szCs w:val="32"/>
          <w:highlight w:val="none"/>
          <w:lang w:val="en-US" w:eastAsia="zh-CN"/>
        </w:rPr>
        <w:t>执行国家有关国有企业产权管理的相关规定，</w:t>
      </w:r>
      <w:r>
        <w:rPr>
          <w:rFonts w:hint="eastAsia" w:ascii="方正仿宋_GB2312" w:hAnsi="方正仿宋_GB2312" w:eastAsia="方正仿宋_GB2312" w:cs="方正仿宋_GB2312"/>
          <w:spacing w:val="5"/>
          <w:sz w:val="32"/>
          <w:szCs w:val="32"/>
          <w:highlight w:val="none"/>
        </w:rPr>
        <w:t>制定</w:t>
      </w:r>
      <w:r>
        <w:rPr>
          <w:rFonts w:hint="eastAsia" w:ascii="方正仿宋_GB2312" w:hAnsi="方正仿宋_GB2312" w:eastAsia="方正仿宋_GB2312" w:cs="方正仿宋_GB2312"/>
          <w:spacing w:val="-1"/>
          <w:sz w:val="32"/>
          <w:szCs w:val="32"/>
          <w:highlight w:val="none"/>
        </w:rPr>
        <w:t>相关</w:t>
      </w:r>
      <w:r>
        <w:rPr>
          <w:rFonts w:hint="eastAsia" w:ascii="方正仿宋_GB2312" w:hAnsi="方正仿宋_GB2312" w:eastAsia="方正仿宋_GB2312" w:cs="方正仿宋_GB2312"/>
          <w:spacing w:val="-1"/>
          <w:sz w:val="32"/>
          <w:szCs w:val="32"/>
          <w:highlight w:val="none"/>
          <w:lang w:val="en-US" w:eastAsia="zh-CN"/>
        </w:rPr>
        <w:t>监管</w:t>
      </w:r>
      <w:r>
        <w:rPr>
          <w:rFonts w:hint="eastAsia" w:ascii="方正仿宋_GB2312" w:hAnsi="方正仿宋_GB2312" w:eastAsia="方正仿宋_GB2312" w:cs="方正仿宋_GB2312"/>
          <w:spacing w:val="-1"/>
          <w:sz w:val="32"/>
          <w:szCs w:val="32"/>
          <w:highlight w:val="none"/>
        </w:rPr>
        <w:t>制度和办法</w:t>
      </w:r>
      <w:r>
        <w:rPr>
          <w:rFonts w:hint="eastAsia" w:ascii="方正仿宋_GB2312" w:hAnsi="方正仿宋_GB2312" w:eastAsia="方正仿宋_GB2312" w:cs="方正仿宋_GB2312"/>
          <w:spacing w:val="-1"/>
          <w:sz w:val="32"/>
          <w:szCs w:val="32"/>
          <w:highlight w:val="none"/>
          <w:lang w:eastAsia="zh-CN"/>
        </w:rPr>
        <w:t>，</w:t>
      </w:r>
      <w:r>
        <w:rPr>
          <w:rFonts w:hint="eastAsia" w:ascii="方正仿宋_GB2312" w:hAnsi="方正仿宋_GB2312" w:eastAsia="方正仿宋_GB2312" w:cs="方正仿宋_GB2312"/>
          <w:spacing w:val="-1"/>
          <w:sz w:val="32"/>
          <w:szCs w:val="32"/>
          <w:highlight w:val="none"/>
          <w:lang w:val="en-US" w:eastAsia="zh-CN"/>
        </w:rPr>
        <w:t>指导和监督企业国有产权管理工作</w:t>
      </w:r>
      <w:r>
        <w:rPr>
          <w:rFonts w:hint="eastAsia" w:ascii="方正仿宋_GB2312" w:hAnsi="方正仿宋_GB2312" w:eastAsia="方正仿宋_GB2312" w:cs="方正仿宋_GB2312"/>
          <w:spacing w:val="-1"/>
          <w:sz w:val="32"/>
          <w:szCs w:val="32"/>
          <w:highlight w:val="none"/>
        </w:rPr>
        <w:t>；</w:t>
      </w:r>
    </w:p>
    <w:p w14:paraId="1ECF087F">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pacing w:val="4"/>
          <w:sz w:val="32"/>
          <w:szCs w:val="32"/>
          <w:highlight w:val="none"/>
        </w:rPr>
        <w:t>（二）</w:t>
      </w:r>
      <w:r>
        <w:rPr>
          <w:rFonts w:hint="eastAsia" w:ascii="方正仿宋_GB2312" w:hAnsi="方正仿宋_GB2312" w:eastAsia="方正仿宋_GB2312" w:cs="方正仿宋_GB2312"/>
          <w:spacing w:val="4"/>
          <w:sz w:val="32"/>
          <w:szCs w:val="32"/>
          <w:highlight w:val="none"/>
          <w:lang w:val="en-US" w:eastAsia="zh-CN"/>
        </w:rPr>
        <w:t>决定或批准区属国有企业产权转让事项，研究、审议企业重大产权转让事项并报区政府批准；</w:t>
      </w:r>
    </w:p>
    <w:p w14:paraId="14C6FF49">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pacing w:val="4"/>
          <w:sz w:val="32"/>
          <w:szCs w:val="32"/>
          <w:highlight w:val="none"/>
        </w:rPr>
        <w:t>（</w:t>
      </w:r>
      <w:r>
        <w:rPr>
          <w:rFonts w:hint="eastAsia" w:ascii="方正仿宋_GB2312" w:hAnsi="方正仿宋_GB2312" w:eastAsia="方正仿宋_GB2312" w:cs="方正仿宋_GB2312"/>
          <w:spacing w:val="4"/>
          <w:sz w:val="32"/>
          <w:szCs w:val="32"/>
          <w:highlight w:val="none"/>
          <w:lang w:val="en-US" w:eastAsia="zh-CN"/>
        </w:rPr>
        <w:t>三</w:t>
      </w:r>
      <w:r>
        <w:rPr>
          <w:rFonts w:hint="eastAsia" w:ascii="方正仿宋_GB2312" w:hAnsi="方正仿宋_GB2312" w:eastAsia="方正仿宋_GB2312" w:cs="方正仿宋_GB2312"/>
          <w:spacing w:val="4"/>
          <w:sz w:val="32"/>
          <w:szCs w:val="32"/>
          <w:highlight w:val="none"/>
        </w:rPr>
        <w:t>）</w:t>
      </w:r>
      <w:r>
        <w:rPr>
          <w:rFonts w:hint="eastAsia" w:ascii="方正仿宋_GB2312" w:hAnsi="方正仿宋_GB2312" w:eastAsia="方正仿宋_GB2312" w:cs="方正仿宋_GB2312"/>
          <w:spacing w:val="4"/>
          <w:sz w:val="32"/>
          <w:szCs w:val="32"/>
          <w:highlight w:val="none"/>
          <w:lang w:val="en-US" w:eastAsia="zh-CN"/>
        </w:rPr>
        <w:t>监督、规范国有企业产权交易行为，组织开展企业的产权界定和产权纠纷调处工作；</w:t>
      </w:r>
    </w:p>
    <w:p w14:paraId="3CC325D8">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8"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7"/>
          <w:sz w:val="32"/>
          <w:szCs w:val="32"/>
          <w:highlight w:val="none"/>
        </w:rPr>
        <w:t>（</w:t>
      </w:r>
      <w:r>
        <w:rPr>
          <w:rFonts w:hint="eastAsia" w:ascii="方正仿宋_GB2312" w:hAnsi="方正仿宋_GB2312" w:eastAsia="方正仿宋_GB2312" w:cs="方正仿宋_GB2312"/>
          <w:spacing w:val="7"/>
          <w:sz w:val="32"/>
          <w:szCs w:val="32"/>
          <w:highlight w:val="none"/>
          <w:lang w:val="en-US" w:eastAsia="zh-CN"/>
        </w:rPr>
        <w:t>四</w:t>
      </w:r>
      <w:r>
        <w:rPr>
          <w:rFonts w:hint="eastAsia" w:ascii="方正仿宋_GB2312" w:hAnsi="方正仿宋_GB2312" w:eastAsia="方正仿宋_GB2312" w:cs="方正仿宋_GB2312"/>
          <w:spacing w:val="7"/>
          <w:sz w:val="32"/>
          <w:szCs w:val="32"/>
          <w:highlight w:val="none"/>
        </w:rPr>
        <w:t>）履行本级人民政府赋予的其他监管职</w:t>
      </w:r>
      <w:r>
        <w:rPr>
          <w:rFonts w:hint="eastAsia" w:ascii="方正仿宋_GB2312" w:hAnsi="方正仿宋_GB2312" w:eastAsia="方正仿宋_GB2312" w:cs="方正仿宋_GB2312"/>
          <w:spacing w:val="6"/>
          <w:sz w:val="32"/>
          <w:szCs w:val="32"/>
          <w:highlight w:val="none"/>
        </w:rPr>
        <w:t>责。</w:t>
      </w:r>
    </w:p>
    <w:p w14:paraId="27F4BB82">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pacing w:val="-2"/>
          <w:sz w:val="32"/>
          <w:szCs w:val="32"/>
          <w:highlight w:val="none"/>
        </w:rPr>
      </w:pPr>
      <w:r>
        <w:rPr>
          <w:rFonts w:hint="eastAsia" w:ascii="黑体" w:hAnsi="黑体" w:eastAsia="黑体" w:cs="黑体"/>
          <w:b w:val="0"/>
          <w:bCs w:val="0"/>
          <w:spacing w:val="5"/>
          <w:sz w:val="32"/>
          <w:szCs w:val="32"/>
          <w:highlight w:val="none"/>
          <w:lang w:eastAsia="zh-CN"/>
        </w:rPr>
        <w:t>第五条</w:t>
      </w:r>
      <w:r>
        <w:rPr>
          <w:rFonts w:hint="eastAsia" w:ascii="方正仿宋_GB2312" w:hAnsi="方正仿宋_GB2312" w:eastAsia="方正仿宋_GB2312" w:cs="方正仿宋_GB2312"/>
          <w:spacing w:val="2"/>
          <w:sz w:val="32"/>
          <w:szCs w:val="32"/>
          <w:highlight w:val="none"/>
        </w:rPr>
        <w:t xml:space="preserve">  </w:t>
      </w:r>
      <w:r>
        <w:rPr>
          <w:rFonts w:hint="eastAsia" w:ascii="方正仿宋_GB2312" w:hAnsi="方正仿宋_GB2312" w:eastAsia="方正仿宋_GB2312" w:cs="方正仿宋_GB2312"/>
          <w:spacing w:val="17"/>
          <w:sz w:val="32"/>
          <w:szCs w:val="32"/>
          <w:highlight w:val="none"/>
          <w:lang w:eastAsia="zh-CN"/>
        </w:rPr>
        <w:t>区属</w:t>
      </w:r>
      <w:r>
        <w:rPr>
          <w:rFonts w:hint="eastAsia" w:ascii="方正仿宋_GB2312" w:hAnsi="方正仿宋_GB2312" w:eastAsia="方正仿宋_GB2312" w:cs="方正仿宋_GB2312"/>
          <w:spacing w:val="17"/>
          <w:sz w:val="32"/>
          <w:szCs w:val="32"/>
          <w:highlight w:val="none"/>
        </w:rPr>
        <w:t>国有企业是本企业及所属企业</w:t>
      </w:r>
      <w:r>
        <w:rPr>
          <w:rFonts w:hint="eastAsia" w:ascii="方正仿宋_GB2312" w:hAnsi="方正仿宋_GB2312" w:eastAsia="方正仿宋_GB2312" w:cs="方正仿宋_GB2312"/>
          <w:spacing w:val="17"/>
          <w:sz w:val="32"/>
          <w:szCs w:val="32"/>
          <w:highlight w:val="none"/>
          <w:lang w:val="en-US" w:eastAsia="zh-CN"/>
        </w:rPr>
        <w:t>产权管理</w:t>
      </w:r>
      <w:r>
        <w:rPr>
          <w:rFonts w:hint="eastAsia" w:ascii="方正仿宋_GB2312" w:hAnsi="方正仿宋_GB2312" w:eastAsia="方正仿宋_GB2312" w:cs="方正仿宋_GB2312"/>
          <w:spacing w:val="-2"/>
          <w:sz w:val="32"/>
          <w:szCs w:val="32"/>
          <w:highlight w:val="none"/>
        </w:rPr>
        <w:t>的责任主体</w:t>
      </w:r>
      <w:r>
        <w:rPr>
          <w:rFonts w:hint="eastAsia" w:ascii="方正仿宋_GB2312" w:hAnsi="方正仿宋_GB2312" w:eastAsia="方正仿宋_GB2312" w:cs="方正仿宋_GB2312"/>
          <w:spacing w:val="-2"/>
          <w:sz w:val="32"/>
          <w:szCs w:val="32"/>
          <w:highlight w:val="none"/>
          <w:lang w:eastAsia="zh-CN"/>
        </w:rPr>
        <w:t>，</w:t>
      </w:r>
      <w:r>
        <w:rPr>
          <w:rFonts w:hint="eastAsia" w:ascii="方正仿宋_GB2312" w:hAnsi="方正仿宋_GB2312" w:eastAsia="方正仿宋_GB2312" w:cs="方正仿宋_GB2312"/>
          <w:spacing w:val="-2"/>
          <w:sz w:val="32"/>
          <w:szCs w:val="32"/>
          <w:highlight w:val="none"/>
        </w:rPr>
        <w:t>主要职责是：</w:t>
      </w:r>
    </w:p>
    <w:p w14:paraId="633C9EE8">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pacing w:val="5"/>
          <w:sz w:val="32"/>
          <w:szCs w:val="32"/>
          <w:highlight w:val="none"/>
        </w:rPr>
        <w:t>（一）根据国家、省、市</w:t>
      </w:r>
      <w:r>
        <w:rPr>
          <w:rFonts w:hint="eastAsia" w:ascii="方正仿宋_GB2312" w:hAnsi="方正仿宋_GB2312" w:eastAsia="方正仿宋_GB2312" w:cs="方正仿宋_GB2312"/>
          <w:spacing w:val="5"/>
          <w:sz w:val="32"/>
          <w:szCs w:val="32"/>
          <w:highlight w:val="none"/>
          <w:lang w:eastAsia="zh-CN"/>
        </w:rPr>
        <w:t>、区</w:t>
      </w:r>
      <w:r>
        <w:rPr>
          <w:rFonts w:hint="eastAsia" w:ascii="方正仿宋_GB2312" w:hAnsi="方正仿宋_GB2312" w:eastAsia="方正仿宋_GB2312" w:cs="方正仿宋_GB2312"/>
          <w:spacing w:val="5"/>
          <w:sz w:val="32"/>
          <w:szCs w:val="32"/>
          <w:highlight w:val="none"/>
        </w:rPr>
        <w:t>国有资产管理的有关规定，制定本</w:t>
      </w:r>
      <w:r>
        <w:rPr>
          <w:rFonts w:hint="eastAsia" w:ascii="方正仿宋_GB2312" w:hAnsi="方正仿宋_GB2312" w:eastAsia="方正仿宋_GB2312" w:cs="方正仿宋_GB2312"/>
          <w:spacing w:val="-2"/>
          <w:sz w:val="32"/>
          <w:szCs w:val="32"/>
          <w:highlight w:val="none"/>
        </w:rPr>
        <w:t>企业</w:t>
      </w:r>
      <w:r>
        <w:rPr>
          <w:rFonts w:hint="eastAsia" w:ascii="方正仿宋_GB2312" w:hAnsi="方正仿宋_GB2312" w:eastAsia="方正仿宋_GB2312" w:cs="方正仿宋_GB2312"/>
          <w:spacing w:val="-2"/>
          <w:sz w:val="32"/>
          <w:szCs w:val="32"/>
          <w:highlight w:val="none"/>
          <w:lang w:val="en-US" w:eastAsia="zh-CN"/>
        </w:rPr>
        <w:t>产权管理</w:t>
      </w:r>
      <w:r>
        <w:rPr>
          <w:rFonts w:hint="eastAsia" w:ascii="方正仿宋_GB2312" w:hAnsi="方正仿宋_GB2312" w:eastAsia="方正仿宋_GB2312" w:cs="方正仿宋_GB2312"/>
          <w:spacing w:val="-2"/>
          <w:sz w:val="32"/>
          <w:szCs w:val="32"/>
          <w:highlight w:val="none"/>
        </w:rPr>
        <w:t>相关制度、办法，负责所属企业的</w:t>
      </w:r>
      <w:r>
        <w:rPr>
          <w:rFonts w:hint="eastAsia" w:ascii="方正仿宋_GB2312" w:hAnsi="方正仿宋_GB2312" w:eastAsia="方正仿宋_GB2312" w:cs="方正仿宋_GB2312"/>
          <w:spacing w:val="-2"/>
          <w:sz w:val="32"/>
          <w:szCs w:val="32"/>
          <w:highlight w:val="none"/>
          <w:lang w:val="en-US" w:eastAsia="zh-CN"/>
        </w:rPr>
        <w:t>产权管理</w:t>
      </w:r>
      <w:r>
        <w:rPr>
          <w:rFonts w:hint="eastAsia" w:ascii="方正仿宋_GB2312" w:hAnsi="方正仿宋_GB2312" w:eastAsia="方正仿宋_GB2312" w:cs="方正仿宋_GB2312"/>
          <w:spacing w:val="-1"/>
          <w:sz w:val="32"/>
          <w:szCs w:val="32"/>
          <w:highlight w:val="none"/>
        </w:rPr>
        <w:t>工作</w:t>
      </w:r>
      <w:r>
        <w:rPr>
          <w:rFonts w:hint="eastAsia" w:ascii="方正仿宋_GB2312" w:hAnsi="方正仿宋_GB2312" w:eastAsia="方正仿宋_GB2312" w:cs="方正仿宋_GB2312"/>
          <w:spacing w:val="4"/>
          <w:sz w:val="32"/>
          <w:szCs w:val="32"/>
          <w:highlight w:val="none"/>
          <w:lang w:val="en-US" w:eastAsia="zh-CN"/>
        </w:rPr>
        <w:t>，并报区国资办备案。</w:t>
      </w:r>
    </w:p>
    <w:p w14:paraId="1AEA57A3">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方正仿宋_GB2312" w:hAnsi="方正仿宋_GB2312" w:eastAsia="方正仿宋_GB2312" w:cs="方正仿宋_GB2312"/>
          <w:spacing w:val="4"/>
          <w:sz w:val="32"/>
          <w:szCs w:val="32"/>
          <w:highlight w:val="none"/>
          <w:lang w:val="en-US" w:eastAsia="zh-CN"/>
        </w:rPr>
      </w:pPr>
      <w:r>
        <w:rPr>
          <w:rFonts w:hint="eastAsia" w:ascii="方正仿宋_GB2312" w:hAnsi="方正仿宋_GB2312" w:eastAsia="方正仿宋_GB2312" w:cs="方正仿宋_GB2312"/>
          <w:spacing w:val="4"/>
          <w:sz w:val="32"/>
          <w:szCs w:val="32"/>
          <w:highlight w:val="none"/>
        </w:rPr>
        <w:t>（二）负责</w:t>
      </w:r>
      <w:r>
        <w:rPr>
          <w:rFonts w:hint="eastAsia" w:ascii="方正仿宋_GB2312" w:hAnsi="方正仿宋_GB2312" w:eastAsia="方正仿宋_GB2312" w:cs="方正仿宋_GB2312"/>
          <w:spacing w:val="4"/>
          <w:sz w:val="32"/>
          <w:szCs w:val="32"/>
          <w:highlight w:val="none"/>
          <w:lang w:val="en-US" w:eastAsia="zh-CN"/>
        </w:rPr>
        <w:t>本企业及</w:t>
      </w:r>
      <w:r>
        <w:rPr>
          <w:rFonts w:hint="eastAsia" w:ascii="方正仿宋_GB2312" w:hAnsi="方正仿宋_GB2312" w:eastAsia="方正仿宋_GB2312" w:cs="方正仿宋_GB2312"/>
          <w:spacing w:val="4"/>
          <w:sz w:val="32"/>
          <w:szCs w:val="32"/>
          <w:highlight w:val="none"/>
        </w:rPr>
        <w:t>所属企业国有</w:t>
      </w:r>
      <w:r>
        <w:rPr>
          <w:rFonts w:hint="eastAsia" w:ascii="方正仿宋_GB2312" w:hAnsi="方正仿宋_GB2312" w:eastAsia="方正仿宋_GB2312" w:cs="方正仿宋_GB2312"/>
          <w:spacing w:val="4"/>
          <w:sz w:val="32"/>
          <w:szCs w:val="32"/>
          <w:highlight w:val="none"/>
          <w:lang w:val="en-US" w:eastAsia="zh-CN"/>
        </w:rPr>
        <w:t>产权登记、转让、划转、处置、资产评估等事项的审核、审批及申报工作，对制度执行情况进行监督检查。</w:t>
      </w:r>
    </w:p>
    <w:p w14:paraId="36989FD5">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eastAsia" w:ascii="方正仿宋_GB2312" w:hAnsi="方正仿宋_GB2312" w:eastAsia="方正仿宋_GB2312" w:cs="方正仿宋_GB2312"/>
          <w:spacing w:val="4"/>
          <w:sz w:val="32"/>
          <w:szCs w:val="32"/>
          <w:highlight w:val="none"/>
          <w:lang w:val="en-US" w:eastAsia="zh-CN"/>
        </w:rPr>
      </w:pPr>
      <w:r>
        <w:rPr>
          <w:rFonts w:hint="eastAsia" w:ascii="方正仿宋_GB2312" w:hAnsi="方正仿宋_GB2312" w:eastAsia="方正仿宋_GB2312" w:cs="方正仿宋_GB2312"/>
          <w:spacing w:val="4"/>
          <w:sz w:val="32"/>
          <w:szCs w:val="32"/>
          <w:highlight w:val="none"/>
          <w:lang w:val="en-US" w:eastAsia="zh-CN"/>
        </w:rPr>
        <w:t>（三）</w:t>
      </w:r>
      <w:r>
        <w:rPr>
          <w:rFonts w:hint="eastAsia" w:ascii="方正仿宋_GB2312" w:hAnsi="方正仿宋_GB2312" w:eastAsia="方正仿宋_GB2312" w:cs="方正仿宋_GB2312"/>
          <w:snapToGrid w:val="0"/>
          <w:color w:val="000000"/>
          <w:kern w:val="0"/>
          <w:sz w:val="32"/>
          <w:szCs w:val="32"/>
          <w:highlight w:val="none"/>
          <w:lang w:val="en-US" w:eastAsia="zh-CN" w:bidi="ar"/>
        </w:rPr>
        <w:t>对办理完成的产权登记事项，应当及时将合规性资料目录中所列资料整理归档，分户建立企业产权登记档案。</w:t>
      </w:r>
    </w:p>
    <w:p w14:paraId="5700BF21">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76" w:firstLineChars="200"/>
        <w:jc w:val="both"/>
        <w:textAlignment w:val="baseline"/>
        <w:rPr>
          <w:rFonts w:hint="eastAsia" w:ascii="方正仿宋_GB2312" w:hAnsi="方正仿宋_GB2312" w:eastAsia="方正仿宋_GB2312" w:cs="方正仿宋_GB2312"/>
          <w:spacing w:val="9"/>
          <w:sz w:val="32"/>
          <w:szCs w:val="32"/>
          <w:highlight w:val="none"/>
        </w:rPr>
      </w:pPr>
      <w:r>
        <w:rPr>
          <w:rFonts w:hint="eastAsia" w:ascii="方正仿宋_GB2312" w:hAnsi="方正仿宋_GB2312" w:eastAsia="方正仿宋_GB2312" w:cs="方正仿宋_GB2312"/>
          <w:spacing w:val="9"/>
          <w:sz w:val="32"/>
          <w:szCs w:val="32"/>
          <w:highlight w:val="none"/>
        </w:rPr>
        <w:t>（</w:t>
      </w:r>
      <w:r>
        <w:rPr>
          <w:rFonts w:hint="eastAsia" w:ascii="方正仿宋_GB2312" w:hAnsi="方正仿宋_GB2312" w:eastAsia="方正仿宋_GB2312" w:cs="方正仿宋_GB2312"/>
          <w:spacing w:val="9"/>
          <w:sz w:val="32"/>
          <w:szCs w:val="32"/>
          <w:highlight w:val="none"/>
          <w:lang w:val="en-US" w:eastAsia="zh-CN"/>
        </w:rPr>
        <w:t>四</w:t>
      </w:r>
      <w:r>
        <w:rPr>
          <w:rFonts w:hint="eastAsia" w:ascii="方正仿宋_GB2312" w:hAnsi="方正仿宋_GB2312" w:eastAsia="方正仿宋_GB2312" w:cs="方正仿宋_GB2312"/>
          <w:spacing w:val="9"/>
          <w:sz w:val="32"/>
          <w:szCs w:val="32"/>
          <w:highlight w:val="none"/>
        </w:rPr>
        <w:t>）履行</w:t>
      </w:r>
      <w:r>
        <w:rPr>
          <w:rFonts w:hint="eastAsia" w:ascii="方正仿宋_GB2312" w:hAnsi="方正仿宋_GB2312" w:eastAsia="方正仿宋_GB2312" w:cs="方正仿宋_GB2312"/>
          <w:spacing w:val="9"/>
          <w:sz w:val="32"/>
          <w:szCs w:val="32"/>
          <w:highlight w:val="none"/>
          <w:lang w:eastAsia="zh-CN"/>
        </w:rPr>
        <w:t>区国资办</w:t>
      </w:r>
      <w:r>
        <w:rPr>
          <w:rFonts w:hint="eastAsia" w:ascii="方正仿宋_GB2312" w:hAnsi="方正仿宋_GB2312" w:eastAsia="方正仿宋_GB2312" w:cs="方正仿宋_GB2312"/>
          <w:spacing w:val="9"/>
          <w:sz w:val="32"/>
          <w:szCs w:val="32"/>
          <w:highlight w:val="none"/>
          <w:lang w:val="en-US" w:eastAsia="zh-CN"/>
        </w:rPr>
        <w:t>规定</w:t>
      </w:r>
      <w:r>
        <w:rPr>
          <w:rFonts w:hint="eastAsia" w:ascii="方正仿宋_GB2312" w:hAnsi="方正仿宋_GB2312" w:eastAsia="方正仿宋_GB2312" w:cs="方正仿宋_GB2312"/>
          <w:spacing w:val="9"/>
          <w:sz w:val="32"/>
          <w:szCs w:val="32"/>
          <w:highlight w:val="none"/>
        </w:rPr>
        <w:t>的其他</w:t>
      </w:r>
      <w:r>
        <w:rPr>
          <w:rFonts w:hint="eastAsia" w:ascii="方正仿宋_GB2312" w:hAnsi="方正仿宋_GB2312" w:eastAsia="方正仿宋_GB2312" w:cs="方正仿宋_GB2312"/>
          <w:spacing w:val="9"/>
          <w:sz w:val="32"/>
          <w:szCs w:val="32"/>
          <w:highlight w:val="none"/>
          <w:lang w:val="en-US" w:eastAsia="zh-CN"/>
        </w:rPr>
        <w:t>产权管理</w:t>
      </w:r>
      <w:r>
        <w:rPr>
          <w:rFonts w:hint="eastAsia" w:ascii="方正仿宋_GB2312" w:hAnsi="方正仿宋_GB2312" w:eastAsia="方正仿宋_GB2312" w:cs="方正仿宋_GB2312"/>
          <w:spacing w:val="9"/>
          <w:sz w:val="32"/>
          <w:szCs w:val="32"/>
          <w:highlight w:val="none"/>
        </w:rPr>
        <w:t>职责。</w:t>
      </w:r>
    </w:p>
    <w:p w14:paraId="01EADD88">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456" w:firstLineChars="200"/>
        <w:jc w:val="both"/>
        <w:textAlignment w:val="baseline"/>
        <w:rPr>
          <w:rFonts w:hint="eastAsia" w:ascii="方正仿宋_GB2312" w:hAnsi="方正仿宋_GB2312" w:eastAsia="方正仿宋_GB2312" w:cs="方正仿宋_GB2312"/>
          <w:spacing w:val="9"/>
          <w:sz w:val="21"/>
          <w:szCs w:val="21"/>
          <w:highlight w:val="none"/>
        </w:rPr>
      </w:pPr>
    </w:p>
    <w:p w14:paraId="176772D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6" w:lineRule="exact"/>
        <w:ind w:left="0" w:right="0" w:firstLine="704" w:firstLineChars="200"/>
        <w:jc w:val="center"/>
        <w:textAlignment w:val="baseline"/>
        <w:rPr>
          <w:rFonts w:hint="eastAsia" w:ascii="黑体" w:hAnsi="黑体" w:eastAsia="黑体" w:cs="黑体"/>
          <w:spacing w:val="16"/>
          <w:sz w:val="32"/>
          <w:szCs w:val="32"/>
          <w:highlight w:val="none"/>
        </w:rPr>
      </w:pPr>
      <w:r>
        <w:rPr>
          <w:rFonts w:hint="eastAsia" w:ascii="黑体" w:hAnsi="黑体" w:eastAsia="黑体" w:cs="黑体"/>
          <w:spacing w:val="16"/>
          <w:sz w:val="32"/>
          <w:szCs w:val="32"/>
          <w:highlight w:val="none"/>
        </w:rPr>
        <w:t>企业产权</w:t>
      </w:r>
      <w:r>
        <w:rPr>
          <w:rFonts w:hint="eastAsia" w:ascii="黑体" w:hAnsi="黑体" w:eastAsia="黑体" w:cs="黑体"/>
          <w:spacing w:val="16"/>
          <w:sz w:val="32"/>
          <w:szCs w:val="32"/>
          <w:highlight w:val="none"/>
          <w:lang w:eastAsia="zh-CN"/>
        </w:rPr>
        <w:t>登记</w:t>
      </w:r>
    </w:p>
    <w:p w14:paraId="1876B92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right="0" w:rightChars="0"/>
        <w:jc w:val="both"/>
        <w:textAlignment w:val="baseline"/>
        <w:rPr>
          <w:rFonts w:hint="eastAsia" w:ascii="黑体" w:hAnsi="黑体" w:eastAsia="黑体" w:cs="黑体"/>
          <w:spacing w:val="16"/>
          <w:sz w:val="32"/>
          <w:szCs w:val="32"/>
          <w:highlight w:val="none"/>
        </w:rPr>
      </w:pPr>
    </w:p>
    <w:p w14:paraId="0E48392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napToGrid w:val="0"/>
          <w:color w:val="000000"/>
          <w:kern w:val="0"/>
          <w:sz w:val="32"/>
          <w:szCs w:val="32"/>
          <w:highlight w:val="none"/>
          <w:lang w:val="en-US" w:eastAsia="zh-CN" w:bidi="ar"/>
        </w:rPr>
      </w:pPr>
      <w:r>
        <w:rPr>
          <w:rFonts w:hint="eastAsia" w:ascii="黑体" w:hAnsi="黑体" w:eastAsia="黑体" w:cs="黑体"/>
          <w:b w:val="0"/>
          <w:bCs w:val="0"/>
          <w:spacing w:val="5"/>
          <w:sz w:val="32"/>
          <w:szCs w:val="32"/>
          <w:highlight w:val="none"/>
          <w:lang w:val="en-US" w:eastAsia="zh-CN"/>
        </w:rPr>
        <w:t>第六条</w:t>
      </w:r>
      <w:r>
        <w:rPr>
          <w:rFonts w:hint="eastAsia" w:ascii="方正仿宋_GB2312" w:hAnsi="方正仿宋_GB2312" w:eastAsia="方正仿宋_GB2312" w:cs="方正仿宋_GB2312"/>
          <w:snapToGrid w:val="0"/>
          <w:color w:val="000000"/>
          <w:kern w:val="0"/>
          <w:sz w:val="32"/>
          <w:szCs w:val="32"/>
          <w:highlight w:val="none"/>
          <w:lang w:val="en-US" w:eastAsia="zh-CN" w:bidi="ar"/>
        </w:rPr>
        <w:t xml:space="preserve"> 本办法所指国家出资企业产权登记（以下简称产权登记），是指区国资办对企业的产权及其分布状况进行登记管理的行为。对没有办理产权登记的企业，不予办理产权管理相关各类业务。</w:t>
      </w:r>
    </w:p>
    <w:p w14:paraId="3AEC2A96">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第七条</w:t>
      </w:r>
      <w:r>
        <w:rPr>
          <w:rFonts w:hint="eastAsia" w:ascii="黑体" w:hAnsi="黑体" w:eastAsia="黑体" w:cs="黑体"/>
          <w:b w:val="0"/>
          <w:bCs w:val="0"/>
          <w:spacing w:val="5"/>
          <w:sz w:val="32"/>
          <w:szCs w:val="32"/>
          <w:highlight w:val="none"/>
          <w:lang w:eastAsia="zh-CN"/>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办理产权登记的企业应当权属清晰。存在产权纠纷的企业，应当在及时处理纠纷后申请办理产权登记。</w:t>
      </w:r>
    </w:p>
    <w:p w14:paraId="22A115E3">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napToGrid w:val="0"/>
          <w:color w:val="000000"/>
          <w:kern w:val="0"/>
          <w:sz w:val="32"/>
          <w:szCs w:val="32"/>
          <w:highlight w:val="none"/>
          <w:lang w:val="en-US" w:eastAsia="zh-CN" w:bidi="ar"/>
        </w:rPr>
      </w:pPr>
      <w:r>
        <w:rPr>
          <w:rFonts w:hint="eastAsia" w:ascii="黑体" w:hAnsi="黑体" w:eastAsia="黑体" w:cs="黑体"/>
          <w:b w:val="0"/>
          <w:bCs w:val="0"/>
          <w:spacing w:val="5"/>
          <w:sz w:val="32"/>
          <w:szCs w:val="32"/>
          <w:highlight w:val="none"/>
          <w:lang w:val="en-US" w:eastAsia="zh-CN"/>
        </w:rPr>
        <w:t>第八条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产权登记分为占有产权登记、变动产权登记和注销产权登记。</w:t>
      </w:r>
    </w:p>
    <w:p w14:paraId="12F1661B">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第九条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区属国有企业、区属国有企业（不含国有资本参股公司）拥有实际控制权的境内外各级企业及其投资参股企业，应当纳入产权登记范围。</w:t>
      </w:r>
    </w:p>
    <w:p w14:paraId="55C24F4F">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第十条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企业为交易目的持有的下列股权不进行产权登记：</w:t>
      </w:r>
    </w:p>
    <w:p w14:paraId="747C0189">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（一）为了赚取差价从二级市场购入的上市公司股权；</w:t>
      </w:r>
    </w:p>
    <w:p w14:paraId="7DB083E7">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（二）为了近期内（一年内）出售而持有的其他股权。</w:t>
      </w:r>
    </w:p>
    <w:p w14:paraId="05362BD0">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napToGrid w:val="0"/>
          <w:color w:val="000000"/>
          <w:kern w:val="0"/>
          <w:sz w:val="32"/>
          <w:szCs w:val="32"/>
          <w:highlight w:val="none"/>
          <w:lang w:val="en-US" w:eastAsia="zh-CN" w:bidi="ar"/>
        </w:rPr>
      </w:pPr>
      <w:r>
        <w:rPr>
          <w:rFonts w:hint="eastAsia" w:ascii="黑体" w:hAnsi="黑体" w:eastAsia="黑体" w:cs="黑体"/>
          <w:b w:val="0"/>
          <w:bCs w:val="0"/>
          <w:spacing w:val="5"/>
          <w:sz w:val="32"/>
          <w:szCs w:val="32"/>
          <w:highlight w:val="none"/>
          <w:lang w:val="en-US" w:eastAsia="zh-CN"/>
        </w:rPr>
        <w:t>第十一条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企业发生产权登记相关经济行为时，应当自相关经济行为完成后20个工作日内，在办理工商登记前，向区国资办申请办理产权登记。企业注销法人资格的，应当在办理工商注销登记后，及时办理注销产权登记。</w:t>
      </w:r>
    </w:p>
    <w:p w14:paraId="112A3550">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napToGrid w:val="0"/>
          <w:color w:val="000000"/>
          <w:kern w:val="0"/>
          <w:sz w:val="32"/>
          <w:szCs w:val="32"/>
          <w:highlight w:val="none"/>
          <w:lang w:val="en-US" w:eastAsia="zh-CN" w:bidi="ar"/>
        </w:rPr>
      </w:pPr>
      <w:r>
        <w:rPr>
          <w:rFonts w:hint="eastAsia" w:ascii="黑体" w:hAnsi="黑体" w:eastAsia="黑体" w:cs="黑体"/>
          <w:b w:val="0"/>
          <w:bCs w:val="0"/>
          <w:spacing w:val="5"/>
          <w:sz w:val="32"/>
          <w:szCs w:val="32"/>
          <w:highlight w:val="none"/>
          <w:lang w:val="en-US" w:eastAsia="zh-CN"/>
        </w:rPr>
        <w:t>第十二条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区国资办负责区属国有企业产权登记管理。区属国有企业负责对本企业及所属企业的产权登记工作进行管理，对登记内容及经济行为的合规性进行审核，向区国资办申请办理企业产权登记。</w:t>
      </w:r>
    </w:p>
    <w:p w14:paraId="7E031104">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napToGrid w:val="0"/>
          <w:color w:val="000000"/>
          <w:kern w:val="0"/>
          <w:sz w:val="32"/>
          <w:szCs w:val="32"/>
          <w:highlight w:val="none"/>
          <w:lang w:val="en-US" w:eastAsia="zh-CN" w:bidi="ar"/>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由两个（含两个）以上国有资本出资人共同投资设立的企业，按照国有资本认缴出资额最大的出资人产权归属关系确定企业产权登记管辖的部门。 </w:t>
      </w:r>
    </w:p>
    <w:p w14:paraId="66948F37">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napToGrid w:val="0"/>
          <w:color w:val="000000"/>
          <w:kern w:val="0"/>
          <w:sz w:val="32"/>
          <w:szCs w:val="32"/>
          <w:highlight w:val="none"/>
          <w:lang w:val="en-US" w:eastAsia="zh-CN" w:bidi="ar"/>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国有资本认缴出资额最大的出资人存在多个的，按照企业自行推举出资人的产权归属关系，确定企业产权登记的管辖部门，其余出资人出具产权登记委托书。 </w:t>
      </w:r>
    </w:p>
    <w:p w14:paraId="78908EDB">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第十三条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区国资办对已办理产权登记的区属国有企业核发产权登记证，对已办理产权登记的所属企业核发产权登记表。产权登记证、登记表的格式和内容由国务院国资委统一制发，企业在使用过程中不得擅自修改。</w:t>
      </w:r>
    </w:p>
    <w:p w14:paraId="666047A1">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第十四条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企业应当在办理工商登记后10个工作日内，将企业法人营业执照或者工商变更登记表报送区国资办；工商登记信息与产权登记信息存在不一致的，企业应当核实相关资料，涉及变更产权登记信息的，企业应当修改后重新报送，区国资办对相关登记信息进行确认后重新核发产权登记证、登记表。</w:t>
      </w:r>
    </w:p>
    <w:p w14:paraId="69B757F5">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第十五条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产权登记证、登记表是企业办结产权登记的证明，是客观记载企业产权状况基本信息的文件，其所记载信息来源于企业章程、审计报告等资料，以上资料所记载信息的真实性、准确性由相关各方负责，不因出具产权登记证（表）而转移相关各方的责任。</w:t>
      </w:r>
    </w:p>
    <w:p w14:paraId="7710DF83">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第十六条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区国资办应对企业产权登记工作的日常登记情况、年度检查情况和限期整改事项落实情况等进行检查，并予以通报。</w:t>
      </w:r>
    </w:p>
    <w:p w14:paraId="4F975A44">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both"/>
        <w:textAlignment w:val="baseline"/>
        <w:rPr>
          <w:rFonts w:hint="eastAsia" w:ascii="方正仿宋_GB2312" w:hAnsi="方正仿宋_GB2312" w:eastAsia="方正仿宋_GB2312" w:cs="方正仿宋_GB2312"/>
          <w:spacing w:val="9"/>
          <w:sz w:val="32"/>
          <w:szCs w:val="32"/>
          <w:highlight w:val="none"/>
        </w:rPr>
      </w:pPr>
    </w:p>
    <w:p w14:paraId="3132490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6" w:lineRule="exact"/>
        <w:ind w:left="0" w:right="0" w:firstLine="704" w:firstLineChars="200"/>
        <w:jc w:val="center"/>
        <w:textAlignment w:val="baseline"/>
        <w:rPr>
          <w:rFonts w:hint="eastAsia" w:ascii="黑体" w:hAnsi="黑体" w:eastAsia="黑体" w:cs="黑体"/>
          <w:spacing w:val="16"/>
          <w:sz w:val="32"/>
          <w:szCs w:val="32"/>
          <w:highlight w:val="none"/>
        </w:rPr>
      </w:pPr>
      <w:r>
        <w:rPr>
          <w:rFonts w:hint="eastAsia" w:ascii="黑体" w:hAnsi="黑体" w:eastAsia="黑体" w:cs="黑体"/>
          <w:spacing w:val="16"/>
          <w:sz w:val="32"/>
          <w:szCs w:val="32"/>
          <w:highlight w:val="none"/>
        </w:rPr>
        <w:t>企业产权</w:t>
      </w:r>
      <w:r>
        <w:rPr>
          <w:rFonts w:hint="eastAsia" w:ascii="黑体" w:hAnsi="黑体" w:eastAsia="黑体" w:cs="黑体"/>
          <w:spacing w:val="16"/>
          <w:sz w:val="32"/>
          <w:szCs w:val="32"/>
          <w:highlight w:val="none"/>
          <w:lang w:eastAsia="zh-CN"/>
        </w:rPr>
        <w:t>（</w:t>
      </w:r>
      <w:r>
        <w:rPr>
          <w:rFonts w:hint="eastAsia" w:ascii="黑体" w:hAnsi="黑体" w:eastAsia="黑体" w:cs="黑体"/>
          <w:spacing w:val="16"/>
          <w:sz w:val="32"/>
          <w:szCs w:val="32"/>
          <w:highlight w:val="none"/>
          <w:lang w:val="en-US" w:eastAsia="zh-CN"/>
        </w:rPr>
        <w:t>股权）</w:t>
      </w:r>
      <w:r>
        <w:rPr>
          <w:rFonts w:hint="eastAsia" w:ascii="黑体" w:hAnsi="黑体" w:eastAsia="黑体" w:cs="黑体"/>
          <w:spacing w:val="16"/>
          <w:sz w:val="32"/>
          <w:szCs w:val="32"/>
          <w:highlight w:val="none"/>
        </w:rPr>
        <w:t>转让</w:t>
      </w:r>
    </w:p>
    <w:p w14:paraId="6D185B2A">
      <w:pPr>
        <w:pStyle w:val="2"/>
        <w:keepNext w:val="0"/>
        <w:keepLines w:val="0"/>
        <w:pageBreakBefore w:val="0"/>
        <w:widowControl/>
        <w:kinsoku w:val="0"/>
        <w:wordWrap/>
        <w:overflowPunct/>
        <w:topLinePunct w:val="0"/>
        <w:autoSpaceDE w:val="0"/>
        <w:autoSpaceDN w:val="0"/>
        <w:bidi w:val="0"/>
        <w:adjustRightInd w:val="0"/>
        <w:snapToGrid w:val="0"/>
        <w:spacing w:line="576" w:lineRule="exact"/>
        <w:ind w:right="0"/>
        <w:jc w:val="both"/>
        <w:textAlignment w:val="baseline"/>
        <w:rPr>
          <w:rFonts w:hint="eastAsia" w:ascii="方正仿宋_GB2312" w:hAnsi="方正仿宋_GB2312" w:eastAsia="方正仿宋_GB2312" w:cs="方正仿宋_GB2312"/>
          <w:sz w:val="32"/>
          <w:szCs w:val="32"/>
          <w:highlight w:val="none"/>
        </w:rPr>
      </w:pPr>
    </w:p>
    <w:p w14:paraId="49119003">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第十七条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pacing w:val="5"/>
          <w:sz w:val="32"/>
          <w:szCs w:val="32"/>
          <w:highlight w:val="none"/>
        </w:rPr>
        <w:t>企业</w:t>
      </w:r>
      <w:r>
        <w:rPr>
          <w:rFonts w:hint="eastAsia" w:ascii="方正仿宋_GB2312" w:hAnsi="方正仿宋_GB2312" w:eastAsia="方正仿宋_GB2312" w:cs="方正仿宋_GB2312"/>
          <w:spacing w:val="5"/>
          <w:sz w:val="32"/>
          <w:szCs w:val="32"/>
          <w:highlight w:val="none"/>
          <w:lang w:val="en-US" w:eastAsia="zh-CN"/>
        </w:rPr>
        <w:t>国有</w:t>
      </w:r>
      <w:r>
        <w:rPr>
          <w:rFonts w:hint="eastAsia" w:ascii="方正仿宋_GB2312" w:hAnsi="方正仿宋_GB2312" w:eastAsia="方正仿宋_GB2312" w:cs="方正仿宋_GB2312"/>
          <w:spacing w:val="5"/>
          <w:sz w:val="32"/>
          <w:szCs w:val="32"/>
          <w:highlight w:val="none"/>
        </w:rPr>
        <w:t>产权</w:t>
      </w:r>
      <w:r>
        <w:rPr>
          <w:rFonts w:hint="eastAsia" w:ascii="方正仿宋_GB2312" w:hAnsi="方正仿宋_GB2312" w:eastAsia="方正仿宋_GB2312" w:cs="方正仿宋_GB2312"/>
          <w:spacing w:val="5"/>
          <w:sz w:val="32"/>
          <w:szCs w:val="32"/>
          <w:highlight w:val="none"/>
          <w:lang w:eastAsia="zh-CN"/>
        </w:rPr>
        <w:t>（</w:t>
      </w:r>
      <w:r>
        <w:rPr>
          <w:rFonts w:hint="eastAsia" w:ascii="方正仿宋_GB2312" w:hAnsi="方正仿宋_GB2312" w:eastAsia="方正仿宋_GB2312" w:cs="方正仿宋_GB2312"/>
          <w:spacing w:val="5"/>
          <w:sz w:val="32"/>
          <w:szCs w:val="32"/>
          <w:highlight w:val="none"/>
          <w:lang w:val="en-US" w:eastAsia="zh-CN"/>
        </w:rPr>
        <w:t>股权）</w:t>
      </w:r>
      <w:r>
        <w:rPr>
          <w:rFonts w:hint="eastAsia" w:ascii="方正仿宋_GB2312" w:hAnsi="方正仿宋_GB2312" w:eastAsia="方正仿宋_GB2312" w:cs="方正仿宋_GB2312"/>
          <w:spacing w:val="5"/>
          <w:sz w:val="32"/>
          <w:szCs w:val="32"/>
          <w:highlight w:val="none"/>
        </w:rPr>
        <w:t>转让，是指</w:t>
      </w:r>
      <w:r>
        <w:rPr>
          <w:rFonts w:hint="eastAsia" w:ascii="方正仿宋_GB2312" w:hAnsi="方正仿宋_GB2312" w:eastAsia="方正仿宋_GB2312" w:cs="方正仿宋_GB2312"/>
          <w:spacing w:val="5"/>
          <w:sz w:val="32"/>
          <w:szCs w:val="32"/>
          <w:highlight w:val="none"/>
          <w:lang w:eastAsia="zh-CN"/>
        </w:rPr>
        <w:t>区国资办</w:t>
      </w:r>
      <w:r>
        <w:rPr>
          <w:rFonts w:hint="eastAsia" w:ascii="方正仿宋_GB2312" w:hAnsi="方正仿宋_GB2312" w:eastAsia="方正仿宋_GB2312" w:cs="方正仿宋_GB2312"/>
          <w:spacing w:val="5"/>
          <w:sz w:val="32"/>
          <w:szCs w:val="32"/>
          <w:highlight w:val="none"/>
        </w:rPr>
        <w:t>、</w:t>
      </w:r>
      <w:r>
        <w:rPr>
          <w:rFonts w:hint="eastAsia" w:ascii="方正仿宋_GB2312" w:hAnsi="方正仿宋_GB2312" w:eastAsia="方正仿宋_GB2312" w:cs="方正仿宋_GB2312"/>
          <w:spacing w:val="5"/>
          <w:sz w:val="32"/>
          <w:szCs w:val="32"/>
          <w:highlight w:val="none"/>
          <w:lang w:val="en-US" w:eastAsia="zh-CN"/>
        </w:rPr>
        <w:t>区属国有企业及所属企业将所持有的非上市国有产权（股权）有偿转让给境内外法人、自然人或其他组织（以下统称受让方）的行为。</w:t>
      </w:r>
    </w:p>
    <w:p w14:paraId="3DB1FC9D">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pacing w:val="160"/>
          <w:sz w:val="32"/>
          <w:szCs w:val="32"/>
          <w:highlight w:val="none"/>
          <w:lang w:val="en-US" w:eastAsia="zh-CN"/>
        </w:rPr>
      </w:pPr>
      <w:r>
        <w:rPr>
          <w:rFonts w:hint="eastAsia" w:ascii="黑体" w:hAnsi="黑体" w:eastAsia="黑体" w:cs="黑体"/>
          <w:b w:val="0"/>
          <w:bCs w:val="0"/>
          <w:spacing w:val="5"/>
          <w:sz w:val="32"/>
          <w:szCs w:val="32"/>
          <w:highlight w:val="none"/>
          <w:lang w:val="en-US" w:eastAsia="zh-CN"/>
        </w:rPr>
        <w:t>第十八条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pacing w:val="160"/>
          <w:sz w:val="32"/>
          <w:szCs w:val="32"/>
          <w:highlight w:val="none"/>
          <w:lang w:val="en-US" w:eastAsia="zh-CN"/>
        </w:rPr>
        <w:t>企业国有产权转让按以下权限审批：</w:t>
      </w:r>
    </w:p>
    <w:p w14:paraId="52F106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right="0" w:rightChars="0" w:firstLine="640" w:firstLineChars="200"/>
        <w:jc w:val="both"/>
        <w:textAlignment w:val="baseline"/>
        <w:rPr>
          <w:rFonts w:hint="eastAsia" w:ascii="方正仿宋_GB2312" w:hAnsi="方正仿宋_GB2312" w:eastAsia="方正仿宋_GB2312" w:cs="方正仿宋_GB2312"/>
          <w:spacing w:val="-3"/>
          <w:sz w:val="32"/>
          <w:szCs w:val="32"/>
          <w:highlight w:val="none"/>
          <w:lang w:eastAsia="zh-CN"/>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（一）</w:t>
      </w:r>
      <w:r>
        <w:rPr>
          <w:rFonts w:hint="eastAsia" w:ascii="方正仿宋_GB2312" w:hAnsi="方正仿宋_GB2312" w:eastAsia="方正仿宋_GB2312" w:cs="方正仿宋_GB2312"/>
          <w:spacing w:val="17"/>
          <w:sz w:val="32"/>
          <w:szCs w:val="32"/>
          <w:highlight w:val="none"/>
          <w:lang w:eastAsia="zh-CN"/>
        </w:rPr>
        <w:t>区属</w:t>
      </w:r>
      <w:r>
        <w:rPr>
          <w:rFonts w:hint="eastAsia" w:ascii="方正仿宋_GB2312" w:hAnsi="方正仿宋_GB2312" w:eastAsia="方正仿宋_GB2312" w:cs="方正仿宋_GB2312"/>
          <w:spacing w:val="17"/>
          <w:sz w:val="32"/>
          <w:szCs w:val="32"/>
          <w:highlight w:val="none"/>
        </w:rPr>
        <w:t>国有企业应当制定所属企业产权转让管理</w:t>
      </w:r>
      <w:r>
        <w:rPr>
          <w:rFonts w:hint="eastAsia" w:ascii="方正仿宋_GB2312" w:hAnsi="方正仿宋_GB2312" w:eastAsia="方正仿宋_GB2312" w:cs="方正仿宋_GB2312"/>
          <w:spacing w:val="17"/>
          <w:sz w:val="32"/>
          <w:szCs w:val="32"/>
          <w:highlight w:val="none"/>
          <w:lang w:val="en-US" w:eastAsia="zh-CN"/>
        </w:rPr>
        <w:t>制度，</w:t>
      </w:r>
      <w:r>
        <w:rPr>
          <w:rFonts w:hint="eastAsia" w:ascii="方正仿宋_GB2312" w:hAnsi="方正仿宋_GB2312" w:eastAsia="方正仿宋_GB2312" w:cs="方正仿宋_GB2312"/>
          <w:spacing w:val="-3"/>
          <w:sz w:val="32"/>
          <w:szCs w:val="32"/>
          <w:highlight w:val="none"/>
        </w:rPr>
        <w:t>确定</w:t>
      </w:r>
      <w:r>
        <w:rPr>
          <w:rFonts w:hint="eastAsia" w:ascii="方正仿宋_GB2312" w:hAnsi="方正仿宋_GB2312" w:eastAsia="方正仿宋_GB2312" w:cs="方正仿宋_GB2312"/>
          <w:spacing w:val="-3"/>
          <w:sz w:val="32"/>
          <w:szCs w:val="32"/>
          <w:highlight w:val="none"/>
          <w:lang w:val="en-US" w:eastAsia="zh-CN"/>
        </w:rPr>
        <w:t>企业内部</w:t>
      </w:r>
      <w:r>
        <w:rPr>
          <w:rFonts w:hint="eastAsia" w:ascii="方正仿宋_GB2312" w:hAnsi="方正仿宋_GB2312" w:eastAsia="方正仿宋_GB2312" w:cs="方正仿宋_GB2312"/>
          <w:spacing w:val="-3"/>
          <w:sz w:val="32"/>
          <w:szCs w:val="32"/>
          <w:highlight w:val="none"/>
        </w:rPr>
        <w:t>审批管理权限</w:t>
      </w:r>
      <w:r>
        <w:rPr>
          <w:rFonts w:hint="eastAsia" w:ascii="方正仿宋_GB2312" w:hAnsi="方正仿宋_GB2312" w:eastAsia="方正仿宋_GB2312" w:cs="方正仿宋_GB2312"/>
          <w:spacing w:val="-3"/>
          <w:sz w:val="32"/>
          <w:szCs w:val="32"/>
          <w:highlight w:val="none"/>
          <w:lang w:eastAsia="zh-CN"/>
        </w:rPr>
        <w:t>，</w:t>
      </w:r>
      <w:r>
        <w:rPr>
          <w:rFonts w:hint="eastAsia" w:ascii="方正仿宋_GB2312" w:hAnsi="方正仿宋_GB2312" w:eastAsia="方正仿宋_GB2312" w:cs="方正仿宋_GB2312"/>
          <w:spacing w:val="-3"/>
          <w:sz w:val="32"/>
          <w:szCs w:val="32"/>
          <w:highlight w:val="none"/>
          <w:lang w:val="en-US" w:eastAsia="zh-CN"/>
        </w:rPr>
        <w:t>并批准所属企业的产权转让行为</w:t>
      </w:r>
      <w:r>
        <w:rPr>
          <w:rFonts w:hint="eastAsia" w:ascii="方正仿宋_GB2312" w:hAnsi="方正仿宋_GB2312" w:eastAsia="方正仿宋_GB2312" w:cs="方正仿宋_GB2312"/>
          <w:spacing w:val="-3"/>
          <w:sz w:val="32"/>
          <w:szCs w:val="32"/>
          <w:highlight w:val="none"/>
          <w:lang w:eastAsia="zh-CN"/>
        </w:rPr>
        <w:t>。</w:t>
      </w:r>
      <w:r>
        <w:rPr>
          <w:rFonts w:hint="eastAsia" w:ascii="方正仿宋_GB2312" w:hAnsi="方正仿宋_GB2312" w:eastAsia="方正仿宋_GB2312" w:cs="方正仿宋_GB2312"/>
          <w:spacing w:val="-3"/>
          <w:sz w:val="32"/>
          <w:szCs w:val="32"/>
          <w:highlight w:val="none"/>
          <w:lang w:val="en-US" w:eastAsia="zh-CN"/>
        </w:rPr>
        <w:t xml:space="preserve"> </w:t>
      </w:r>
      <w:r>
        <w:rPr>
          <w:rFonts w:hint="eastAsia" w:ascii="方正仿宋_GB2312" w:hAnsi="方正仿宋_GB2312" w:eastAsia="方正仿宋_GB2312" w:cs="方正仿宋_GB2312"/>
          <w:spacing w:val="-3"/>
          <w:sz w:val="32"/>
          <w:szCs w:val="32"/>
          <w:highlight w:val="none"/>
        </w:rPr>
        <w:t>对主业处于关系国家安</w:t>
      </w:r>
      <w:r>
        <w:rPr>
          <w:rFonts w:hint="eastAsia" w:ascii="方正仿宋_GB2312" w:hAnsi="方正仿宋_GB2312" w:eastAsia="方正仿宋_GB2312" w:cs="方正仿宋_GB2312"/>
          <w:spacing w:val="-3"/>
          <w:sz w:val="32"/>
          <w:szCs w:val="32"/>
          <w:highlight w:val="none"/>
          <w:lang w:val="en-US" w:eastAsia="zh-CN"/>
        </w:rPr>
        <w:t>全</w:t>
      </w:r>
      <w:r>
        <w:rPr>
          <w:rFonts w:hint="eastAsia" w:ascii="方正仿宋_GB2312" w:hAnsi="方正仿宋_GB2312" w:eastAsia="方正仿宋_GB2312" w:cs="方正仿宋_GB2312"/>
          <w:spacing w:val="-3"/>
          <w:sz w:val="32"/>
          <w:szCs w:val="32"/>
          <w:highlight w:val="none"/>
        </w:rPr>
        <w:t>、国民</w:t>
      </w:r>
      <w:r>
        <w:rPr>
          <w:rFonts w:hint="eastAsia" w:ascii="方正仿宋_GB2312" w:hAnsi="方正仿宋_GB2312" w:eastAsia="方正仿宋_GB2312" w:cs="方正仿宋_GB2312"/>
          <w:spacing w:val="5"/>
          <w:sz w:val="32"/>
          <w:szCs w:val="32"/>
          <w:highlight w:val="none"/>
        </w:rPr>
        <w:t>经济命脉的重要行业和关键领域，主要承担重大专项任务子企业</w:t>
      </w:r>
      <w:r>
        <w:rPr>
          <w:rFonts w:hint="eastAsia" w:ascii="方正仿宋_GB2312" w:hAnsi="方正仿宋_GB2312" w:eastAsia="方正仿宋_GB2312" w:cs="方正仿宋_GB2312"/>
          <w:spacing w:val="6"/>
          <w:sz w:val="32"/>
          <w:szCs w:val="32"/>
          <w:highlight w:val="none"/>
        </w:rPr>
        <w:t>的产权转让，须由</w:t>
      </w:r>
      <w:r>
        <w:rPr>
          <w:rFonts w:hint="eastAsia" w:ascii="方正仿宋_GB2312" w:hAnsi="方正仿宋_GB2312" w:eastAsia="方正仿宋_GB2312" w:cs="方正仿宋_GB2312"/>
          <w:spacing w:val="17"/>
          <w:sz w:val="32"/>
          <w:szCs w:val="32"/>
          <w:highlight w:val="none"/>
          <w:lang w:eastAsia="zh-CN"/>
        </w:rPr>
        <w:t>区属</w:t>
      </w:r>
      <w:r>
        <w:rPr>
          <w:rFonts w:hint="eastAsia" w:ascii="方正仿宋_GB2312" w:hAnsi="方正仿宋_GB2312" w:eastAsia="方正仿宋_GB2312" w:cs="方正仿宋_GB2312"/>
          <w:spacing w:val="17"/>
          <w:sz w:val="32"/>
          <w:szCs w:val="32"/>
          <w:highlight w:val="none"/>
        </w:rPr>
        <w:t>国有企业</w:t>
      </w:r>
      <w:r>
        <w:rPr>
          <w:rFonts w:hint="eastAsia" w:ascii="方正仿宋_GB2312" w:hAnsi="方正仿宋_GB2312" w:eastAsia="方正仿宋_GB2312" w:cs="方正仿宋_GB2312"/>
          <w:spacing w:val="17"/>
          <w:sz w:val="32"/>
          <w:szCs w:val="32"/>
          <w:highlight w:val="none"/>
          <w:lang w:val="en-US" w:eastAsia="zh-CN"/>
        </w:rPr>
        <w:t>审批后报</w:t>
      </w:r>
      <w:r>
        <w:rPr>
          <w:rFonts w:hint="eastAsia" w:ascii="方正仿宋_GB2312" w:hAnsi="方正仿宋_GB2312" w:eastAsia="方正仿宋_GB2312" w:cs="方正仿宋_GB2312"/>
          <w:spacing w:val="6"/>
          <w:sz w:val="32"/>
          <w:szCs w:val="32"/>
          <w:highlight w:val="none"/>
          <w:lang w:eastAsia="zh-CN"/>
        </w:rPr>
        <w:t>区国资办批准</w:t>
      </w:r>
      <w:r>
        <w:rPr>
          <w:rFonts w:hint="eastAsia" w:ascii="方正仿宋_GB2312" w:hAnsi="方正仿宋_GB2312" w:eastAsia="方正仿宋_GB2312" w:cs="方正仿宋_GB2312"/>
          <w:spacing w:val="6"/>
          <w:sz w:val="32"/>
          <w:szCs w:val="32"/>
          <w:highlight w:val="none"/>
        </w:rPr>
        <w:t>。</w:t>
      </w:r>
    </w:p>
    <w:p w14:paraId="3A6B61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right="0" w:rightChars="0"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（二）</w:t>
      </w:r>
      <w:r>
        <w:rPr>
          <w:rFonts w:hint="eastAsia" w:ascii="方正仿宋_GB2312" w:hAnsi="方正仿宋_GB2312" w:eastAsia="方正仿宋_GB2312" w:cs="方正仿宋_GB2312"/>
          <w:spacing w:val="5"/>
          <w:sz w:val="32"/>
          <w:szCs w:val="32"/>
          <w:highlight w:val="none"/>
          <w:lang w:eastAsia="zh-CN"/>
        </w:rPr>
        <w:t>区国资办</w:t>
      </w:r>
      <w:r>
        <w:rPr>
          <w:rFonts w:hint="eastAsia" w:ascii="方正仿宋_GB2312" w:hAnsi="方正仿宋_GB2312" w:eastAsia="方正仿宋_GB2312" w:cs="方正仿宋_GB2312"/>
          <w:spacing w:val="5"/>
          <w:sz w:val="32"/>
          <w:szCs w:val="32"/>
          <w:highlight w:val="none"/>
        </w:rPr>
        <w:t>负责审核</w:t>
      </w:r>
      <w:r>
        <w:rPr>
          <w:rFonts w:hint="eastAsia" w:ascii="方正仿宋_GB2312" w:hAnsi="方正仿宋_GB2312" w:eastAsia="方正仿宋_GB2312" w:cs="方正仿宋_GB2312"/>
          <w:spacing w:val="5"/>
          <w:sz w:val="32"/>
          <w:szCs w:val="32"/>
          <w:highlight w:val="none"/>
          <w:lang w:eastAsia="zh-CN"/>
        </w:rPr>
        <w:t>区属</w:t>
      </w:r>
      <w:r>
        <w:rPr>
          <w:rFonts w:hint="eastAsia" w:ascii="方正仿宋_GB2312" w:hAnsi="方正仿宋_GB2312" w:eastAsia="方正仿宋_GB2312" w:cs="方正仿宋_GB2312"/>
          <w:spacing w:val="5"/>
          <w:sz w:val="32"/>
          <w:szCs w:val="32"/>
          <w:highlight w:val="none"/>
        </w:rPr>
        <w:t>国有企业产权转让的事项</w:t>
      </w:r>
      <w:r>
        <w:rPr>
          <w:rFonts w:hint="eastAsia" w:ascii="方正仿宋_GB2312" w:hAnsi="方正仿宋_GB2312" w:eastAsia="方正仿宋_GB2312" w:cs="方正仿宋_GB2312"/>
          <w:spacing w:val="5"/>
          <w:sz w:val="32"/>
          <w:szCs w:val="32"/>
          <w:highlight w:val="none"/>
          <w:lang w:eastAsia="zh-CN"/>
        </w:rPr>
        <w:t>。</w:t>
      </w:r>
      <w:r>
        <w:rPr>
          <w:rFonts w:hint="eastAsia" w:ascii="方正仿宋_GB2312" w:hAnsi="方正仿宋_GB2312" w:eastAsia="方正仿宋_GB2312" w:cs="方正仿宋_GB2312"/>
          <w:spacing w:val="9"/>
          <w:sz w:val="32"/>
          <w:szCs w:val="32"/>
          <w:highlight w:val="none"/>
        </w:rPr>
        <w:t>其中</w:t>
      </w:r>
      <w:r>
        <w:rPr>
          <w:rFonts w:hint="eastAsia" w:ascii="方正仿宋_GB2312" w:hAnsi="方正仿宋_GB2312" w:eastAsia="方正仿宋_GB2312" w:cs="方正仿宋_GB2312"/>
          <w:spacing w:val="9"/>
          <w:sz w:val="32"/>
          <w:szCs w:val="32"/>
          <w:highlight w:val="none"/>
          <w:lang w:eastAsia="zh-CN"/>
        </w:rPr>
        <w:t>，</w:t>
      </w:r>
      <w:r>
        <w:rPr>
          <w:rFonts w:hint="eastAsia" w:ascii="方正仿宋_GB2312" w:hAnsi="方正仿宋_GB2312" w:eastAsia="方正仿宋_GB2312" w:cs="方正仿宋_GB2312"/>
          <w:spacing w:val="9"/>
          <w:sz w:val="32"/>
          <w:szCs w:val="32"/>
          <w:highlight w:val="none"/>
        </w:rPr>
        <w:t>因产权转让致使国家不再拥有所出资企业控</w:t>
      </w:r>
      <w:r>
        <w:rPr>
          <w:rFonts w:hint="eastAsia" w:ascii="方正仿宋_GB2312" w:hAnsi="方正仿宋_GB2312" w:eastAsia="方正仿宋_GB2312" w:cs="方正仿宋_GB2312"/>
          <w:spacing w:val="8"/>
          <w:sz w:val="32"/>
          <w:szCs w:val="32"/>
          <w:highlight w:val="none"/>
        </w:rPr>
        <w:t>股权的</w:t>
      </w:r>
      <w:r>
        <w:rPr>
          <w:rFonts w:hint="eastAsia" w:ascii="方正仿宋_GB2312" w:hAnsi="方正仿宋_GB2312" w:eastAsia="方正仿宋_GB2312" w:cs="方正仿宋_GB2312"/>
          <w:spacing w:val="8"/>
          <w:sz w:val="32"/>
          <w:szCs w:val="32"/>
          <w:highlight w:val="none"/>
          <w:lang w:eastAsia="zh-CN"/>
        </w:rPr>
        <w:t>，</w:t>
      </w:r>
      <w:r>
        <w:rPr>
          <w:rFonts w:hint="eastAsia" w:ascii="方正仿宋_GB2312" w:hAnsi="方正仿宋_GB2312" w:eastAsia="方正仿宋_GB2312" w:cs="方正仿宋_GB2312"/>
          <w:spacing w:val="8"/>
          <w:sz w:val="32"/>
          <w:szCs w:val="32"/>
          <w:highlight w:val="none"/>
        </w:rPr>
        <w:t>报</w:t>
      </w:r>
      <w:r>
        <w:rPr>
          <w:rFonts w:hint="eastAsia" w:ascii="方正仿宋_GB2312" w:hAnsi="方正仿宋_GB2312" w:eastAsia="方正仿宋_GB2312" w:cs="方正仿宋_GB2312"/>
          <w:spacing w:val="8"/>
          <w:sz w:val="32"/>
          <w:szCs w:val="32"/>
          <w:highlight w:val="none"/>
          <w:lang w:eastAsia="zh-CN"/>
        </w:rPr>
        <w:t>区</w:t>
      </w:r>
      <w:r>
        <w:rPr>
          <w:rFonts w:hint="eastAsia" w:ascii="方正仿宋_GB2312" w:hAnsi="方正仿宋_GB2312" w:eastAsia="方正仿宋_GB2312" w:cs="方正仿宋_GB2312"/>
          <w:sz w:val="32"/>
          <w:szCs w:val="32"/>
          <w:highlight w:val="none"/>
        </w:rPr>
        <w:t>人民政府批准。</w:t>
      </w:r>
    </w:p>
    <w:p w14:paraId="6CC78DA3">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b/>
          <w:bCs/>
          <w:spacing w:val="17"/>
          <w:sz w:val="32"/>
          <w:szCs w:val="32"/>
          <w:highlight w:val="none"/>
          <w:lang w:val="en-US" w:eastAsia="zh-CN"/>
        </w:rPr>
      </w:pPr>
      <w:r>
        <w:rPr>
          <w:rFonts w:hint="eastAsia" w:ascii="黑体" w:hAnsi="黑体" w:eastAsia="黑体" w:cs="黑体"/>
          <w:b w:val="0"/>
          <w:bCs w:val="0"/>
          <w:spacing w:val="5"/>
          <w:sz w:val="32"/>
          <w:szCs w:val="32"/>
          <w:highlight w:val="none"/>
          <w:lang w:val="en-US" w:eastAsia="zh-CN"/>
        </w:rPr>
        <w:t xml:space="preserve">第十九条 </w:t>
      </w:r>
      <w:r>
        <w:rPr>
          <w:rFonts w:hint="eastAsia" w:ascii="方正仿宋_GB2312" w:hAnsi="方正仿宋_GB2312" w:eastAsia="方正仿宋_GB2312" w:cs="方正仿宋_GB2312"/>
          <w:b/>
          <w:bCs/>
          <w:spacing w:val="17"/>
          <w:sz w:val="32"/>
          <w:szCs w:val="32"/>
          <w:highlight w:val="none"/>
          <w:lang w:val="en-US" w:eastAsia="zh-CN"/>
        </w:rPr>
        <w:t xml:space="preserve"> </w:t>
      </w:r>
      <w:r>
        <w:rPr>
          <w:rFonts w:hint="eastAsia" w:ascii="方正仿宋_GB2312" w:hAnsi="方正仿宋_GB2312" w:eastAsia="方正仿宋_GB2312" w:cs="方正仿宋_GB2312"/>
          <w:b w:val="0"/>
          <w:bCs w:val="0"/>
          <w:spacing w:val="17"/>
          <w:sz w:val="32"/>
          <w:szCs w:val="32"/>
          <w:highlight w:val="none"/>
          <w:lang w:val="en-US" w:eastAsia="zh-CN"/>
        </w:rPr>
        <w:t>企业国有产权公开有偿划转的程序如下：</w:t>
      </w:r>
    </w:p>
    <w:p w14:paraId="3EA166F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right="0" w:rightChars="0" w:firstLine="708" w:firstLineChars="200"/>
        <w:jc w:val="both"/>
        <w:textAlignment w:val="baseline"/>
        <w:rPr>
          <w:rFonts w:hint="eastAsia" w:ascii="方正仿宋_GB2312" w:hAnsi="方正仿宋_GB2312" w:eastAsia="方正仿宋_GB2312" w:cs="方正仿宋_GB2312"/>
          <w:spacing w:val="6"/>
          <w:sz w:val="32"/>
          <w:szCs w:val="32"/>
          <w:highlight w:val="none"/>
          <w:lang w:eastAsia="zh-CN"/>
        </w:rPr>
      </w:pPr>
      <w:r>
        <w:rPr>
          <w:rFonts w:hint="eastAsia" w:ascii="方正仿宋_GB2312" w:hAnsi="方正仿宋_GB2312" w:eastAsia="方正仿宋_GB2312" w:cs="方正仿宋_GB2312"/>
          <w:spacing w:val="17"/>
          <w:sz w:val="32"/>
          <w:szCs w:val="32"/>
          <w:highlight w:val="none"/>
          <w:lang w:eastAsia="zh-CN"/>
        </w:rPr>
        <w:t>（</w:t>
      </w:r>
      <w:r>
        <w:rPr>
          <w:rFonts w:hint="eastAsia" w:ascii="方正仿宋_GB2312" w:hAnsi="方正仿宋_GB2312" w:eastAsia="方正仿宋_GB2312" w:cs="方正仿宋_GB2312"/>
          <w:spacing w:val="17"/>
          <w:sz w:val="32"/>
          <w:szCs w:val="32"/>
          <w:highlight w:val="none"/>
          <w:lang w:val="en-US" w:eastAsia="zh-CN"/>
        </w:rPr>
        <w:t>一）</w:t>
      </w:r>
      <w:r>
        <w:rPr>
          <w:rFonts w:hint="eastAsia" w:ascii="方正仿宋_GB2312" w:hAnsi="方正仿宋_GB2312" w:eastAsia="方正仿宋_GB2312" w:cs="方正仿宋_GB2312"/>
          <w:spacing w:val="17"/>
          <w:sz w:val="32"/>
          <w:szCs w:val="32"/>
          <w:highlight w:val="none"/>
        </w:rPr>
        <w:t>转让方应当按照企业发展战略做好企业产权</w:t>
      </w:r>
      <w:r>
        <w:rPr>
          <w:rFonts w:hint="eastAsia" w:ascii="方正仿宋_GB2312" w:hAnsi="方正仿宋_GB2312" w:eastAsia="方正仿宋_GB2312" w:cs="方正仿宋_GB2312"/>
          <w:spacing w:val="16"/>
          <w:sz w:val="32"/>
          <w:szCs w:val="32"/>
          <w:highlight w:val="none"/>
        </w:rPr>
        <w:t>转让</w:t>
      </w:r>
      <w:r>
        <w:rPr>
          <w:rFonts w:hint="eastAsia" w:ascii="方正仿宋_GB2312" w:hAnsi="方正仿宋_GB2312" w:eastAsia="方正仿宋_GB2312" w:cs="方正仿宋_GB2312"/>
          <w:spacing w:val="6"/>
          <w:sz w:val="32"/>
          <w:szCs w:val="32"/>
          <w:highlight w:val="none"/>
        </w:rPr>
        <w:t>的可行性研究和方案论证</w:t>
      </w:r>
      <w:r>
        <w:rPr>
          <w:rFonts w:hint="eastAsia" w:ascii="方正仿宋_GB2312" w:hAnsi="方正仿宋_GB2312" w:eastAsia="方正仿宋_GB2312" w:cs="方正仿宋_GB2312"/>
          <w:spacing w:val="6"/>
          <w:sz w:val="32"/>
          <w:szCs w:val="32"/>
          <w:highlight w:val="none"/>
          <w:lang w:eastAsia="zh-CN"/>
        </w:rPr>
        <w:t>。</w:t>
      </w:r>
    </w:p>
    <w:p w14:paraId="69C73F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right="0" w:rightChars="0" w:firstLine="664" w:firstLineChars="200"/>
        <w:jc w:val="both"/>
        <w:textAlignment w:val="baseline"/>
        <w:rPr>
          <w:rFonts w:hint="eastAsia" w:ascii="方正仿宋_GB2312" w:hAnsi="方正仿宋_GB2312" w:eastAsia="方正仿宋_GB2312" w:cs="方正仿宋_GB2312"/>
          <w:spacing w:val="5"/>
          <w:sz w:val="32"/>
          <w:szCs w:val="32"/>
          <w:highlight w:val="yellow"/>
          <w:lang w:eastAsia="zh-CN"/>
        </w:rPr>
      </w:pPr>
      <w:r>
        <w:rPr>
          <w:rFonts w:hint="eastAsia" w:ascii="方正仿宋_GB2312" w:hAnsi="方正仿宋_GB2312" w:eastAsia="方正仿宋_GB2312" w:cs="方正仿宋_GB2312"/>
          <w:spacing w:val="6"/>
          <w:sz w:val="32"/>
          <w:szCs w:val="32"/>
          <w:highlight w:val="none"/>
          <w:lang w:eastAsia="zh-CN"/>
        </w:rPr>
        <w:t>（二）</w:t>
      </w:r>
      <w:r>
        <w:rPr>
          <w:rFonts w:hint="eastAsia" w:ascii="方正仿宋_GB2312" w:hAnsi="方正仿宋_GB2312" w:eastAsia="方正仿宋_GB2312" w:cs="方正仿宋_GB2312"/>
          <w:spacing w:val="17"/>
          <w:sz w:val="32"/>
          <w:szCs w:val="32"/>
          <w:highlight w:val="none"/>
        </w:rPr>
        <w:t>转让方按照企业章程和企业</w:t>
      </w:r>
      <w:r>
        <w:rPr>
          <w:rFonts w:hint="eastAsia" w:ascii="方正仿宋_GB2312" w:hAnsi="方正仿宋_GB2312" w:eastAsia="方正仿宋_GB2312" w:cs="方正仿宋_GB2312"/>
          <w:spacing w:val="5"/>
          <w:sz w:val="32"/>
          <w:szCs w:val="32"/>
          <w:highlight w:val="none"/>
        </w:rPr>
        <w:t>内部管理制度进行决策</w:t>
      </w:r>
      <w:r>
        <w:rPr>
          <w:rFonts w:hint="eastAsia" w:ascii="方正仿宋_GB2312" w:hAnsi="方正仿宋_GB2312" w:eastAsia="方正仿宋_GB2312" w:cs="方正仿宋_GB2312"/>
          <w:spacing w:val="5"/>
          <w:sz w:val="32"/>
          <w:szCs w:val="32"/>
          <w:highlight w:val="none"/>
          <w:lang w:eastAsia="zh-CN"/>
        </w:rPr>
        <w:t>，</w:t>
      </w:r>
      <w:r>
        <w:rPr>
          <w:rFonts w:hint="eastAsia" w:ascii="方正仿宋_GB2312" w:hAnsi="方正仿宋_GB2312" w:eastAsia="方正仿宋_GB2312" w:cs="方正仿宋_GB2312"/>
          <w:spacing w:val="5"/>
          <w:sz w:val="32"/>
          <w:szCs w:val="32"/>
          <w:highlight w:val="none"/>
        </w:rPr>
        <w:t>形成书面决议。</w:t>
      </w:r>
      <w:r>
        <w:rPr>
          <w:rFonts w:hint="eastAsia" w:ascii="方正仿宋_GB2312" w:hAnsi="方正仿宋_GB2312" w:eastAsia="方正仿宋_GB2312" w:cs="方正仿宋_GB2312"/>
          <w:spacing w:val="5"/>
          <w:sz w:val="32"/>
          <w:szCs w:val="32"/>
          <w:highlight w:val="none"/>
          <w:lang w:eastAsia="zh-CN"/>
        </w:rPr>
        <w:t>国有控股和国有实际控制企业中国有股东委派的股东代表，应按照相关规定和委派单位的指示发表意见、行使表决权，并将履职情况和结果及时报告委派单位。</w:t>
      </w:r>
    </w:p>
    <w:p w14:paraId="4FE204C9">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708" w:firstLineChars="200"/>
        <w:jc w:val="both"/>
        <w:textAlignment w:val="baseline"/>
        <w:rPr>
          <w:rFonts w:hint="eastAsia" w:ascii="方正仿宋_GB2312" w:hAnsi="方正仿宋_GB2312" w:eastAsia="方正仿宋_GB2312" w:cs="方正仿宋_GB2312"/>
          <w:snapToGrid w:val="0"/>
          <w:color w:val="000000"/>
          <w:kern w:val="0"/>
          <w:sz w:val="32"/>
          <w:szCs w:val="32"/>
          <w:highlight w:val="none"/>
          <w:lang w:val="en-US" w:eastAsia="zh-CN" w:bidi="ar"/>
        </w:rPr>
      </w:pPr>
      <w:r>
        <w:rPr>
          <w:rFonts w:hint="eastAsia" w:ascii="方正仿宋_GB2312" w:hAnsi="方正仿宋_GB2312" w:eastAsia="方正仿宋_GB2312" w:cs="方正仿宋_GB2312"/>
          <w:spacing w:val="17"/>
          <w:sz w:val="32"/>
          <w:szCs w:val="32"/>
          <w:highlight w:val="none"/>
          <w:lang w:val="en-US" w:eastAsia="zh-CN"/>
        </w:rPr>
        <w:t>（三）</w:t>
      </w:r>
      <w:r>
        <w:rPr>
          <w:rFonts w:hint="eastAsia" w:ascii="方正仿宋_GB2312" w:hAnsi="方正仿宋_GB2312" w:eastAsia="方正仿宋_GB2312" w:cs="方正仿宋_GB2312"/>
          <w:spacing w:val="6"/>
          <w:sz w:val="32"/>
          <w:szCs w:val="32"/>
          <w:highlight w:val="none"/>
        </w:rPr>
        <w:t>企业产权转让涉及职工安置事项的</w:t>
      </w:r>
      <w:r>
        <w:rPr>
          <w:rFonts w:hint="eastAsia" w:ascii="方正仿宋_GB2312" w:hAnsi="方正仿宋_GB2312" w:eastAsia="方正仿宋_GB2312" w:cs="方正仿宋_GB2312"/>
          <w:spacing w:val="6"/>
          <w:sz w:val="32"/>
          <w:szCs w:val="32"/>
          <w:highlight w:val="none"/>
          <w:lang w:eastAsia="zh-CN"/>
        </w:rPr>
        <w:t>，</w:t>
      </w:r>
      <w:r>
        <w:rPr>
          <w:rFonts w:hint="eastAsia" w:ascii="方正仿宋_GB2312" w:hAnsi="方正仿宋_GB2312" w:eastAsia="方正仿宋_GB2312" w:cs="方正仿宋_GB2312"/>
          <w:spacing w:val="5"/>
          <w:sz w:val="32"/>
          <w:szCs w:val="32"/>
          <w:highlight w:val="none"/>
        </w:rPr>
        <w:t>安置方案应当经职工代表大会或职工大会审议通过</w:t>
      </w:r>
      <w:r>
        <w:rPr>
          <w:rFonts w:hint="eastAsia" w:ascii="方正仿宋_GB2312" w:hAnsi="方正仿宋_GB2312" w:eastAsia="方正仿宋_GB2312" w:cs="方正仿宋_GB2312"/>
          <w:spacing w:val="5"/>
          <w:sz w:val="32"/>
          <w:szCs w:val="32"/>
          <w:highlight w:val="none"/>
          <w:lang w:eastAsia="zh-CN"/>
        </w:rPr>
        <w:t>；涉及债权债务处置事项的，应当符合国家相关法律法规的规定。</w:t>
      </w:r>
    </w:p>
    <w:p w14:paraId="5649DA22">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pacing w:val="-13"/>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（四）</w:t>
      </w:r>
      <w:r>
        <w:rPr>
          <w:rFonts w:hint="eastAsia" w:ascii="方正仿宋_GB2312" w:hAnsi="方正仿宋_GB2312" w:eastAsia="方正仿宋_GB2312" w:cs="方正仿宋_GB2312"/>
          <w:spacing w:val="5"/>
          <w:sz w:val="32"/>
          <w:szCs w:val="32"/>
          <w:highlight w:val="none"/>
        </w:rPr>
        <w:t>企业产权转让事项经批准后，由转让方委托会计</w:t>
      </w:r>
      <w:r>
        <w:rPr>
          <w:rFonts w:hint="eastAsia" w:ascii="方正仿宋_GB2312" w:hAnsi="方正仿宋_GB2312" w:eastAsia="方正仿宋_GB2312" w:cs="方正仿宋_GB2312"/>
          <w:spacing w:val="4"/>
          <w:sz w:val="32"/>
          <w:szCs w:val="32"/>
          <w:highlight w:val="none"/>
        </w:rPr>
        <w:t>师事务所对转让标的企业进行审计。涉及参股权转让不宜单独进</w:t>
      </w:r>
      <w:r>
        <w:rPr>
          <w:rFonts w:hint="eastAsia" w:ascii="方正仿宋_GB2312" w:hAnsi="方正仿宋_GB2312" w:eastAsia="方正仿宋_GB2312" w:cs="方正仿宋_GB2312"/>
          <w:spacing w:val="5"/>
          <w:sz w:val="32"/>
          <w:szCs w:val="32"/>
          <w:highlight w:val="none"/>
        </w:rPr>
        <w:t>行专项审计的，转让方应当取得转让标的企业最近一期年度审计</w:t>
      </w:r>
      <w:r>
        <w:rPr>
          <w:rFonts w:hint="eastAsia" w:ascii="方正仿宋_GB2312" w:hAnsi="方正仿宋_GB2312" w:eastAsia="方正仿宋_GB2312" w:cs="方正仿宋_GB2312"/>
          <w:spacing w:val="-13"/>
          <w:sz w:val="32"/>
          <w:szCs w:val="32"/>
          <w:highlight w:val="none"/>
        </w:rPr>
        <w:t>报告。</w:t>
      </w:r>
    </w:p>
    <w:p w14:paraId="374DB908">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eastAsia" w:ascii="方正仿宋_GB2312" w:hAnsi="方正仿宋_GB2312" w:eastAsia="方正仿宋_GB2312" w:cs="方正仿宋_GB2312"/>
          <w:spacing w:val="-13"/>
          <w:sz w:val="32"/>
          <w:szCs w:val="32"/>
          <w:highlight w:val="none"/>
          <w:lang w:eastAsia="zh-CN"/>
        </w:rPr>
      </w:pPr>
      <w:r>
        <w:rPr>
          <w:rFonts w:hint="eastAsia" w:ascii="方正仿宋_GB2312" w:hAnsi="方正仿宋_GB2312" w:eastAsia="方正仿宋_GB2312" w:cs="方正仿宋_GB2312"/>
          <w:spacing w:val="17"/>
          <w:sz w:val="32"/>
          <w:szCs w:val="32"/>
          <w:highlight w:val="none"/>
          <w:lang w:eastAsia="zh-CN"/>
        </w:rPr>
        <w:t>（</w:t>
      </w:r>
      <w:r>
        <w:rPr>
          <w:rFonts w:hint="eastAsia" w:ascii="方正仿宋_GB2312" w:hAnsi="方正仿宋_GB2312" w:eastAsia="方正仿宋_GB2312" w:cs="方正仿宋_GB2312"/>
          <w:spacing w:val="17"/>
          <w:sz w:val="32"/>
          <w:szCs w:val="32"/>
          <w:highlight w:val="none"/>
          <w:lang w:val="en-US" w:eastAsia="zh-CN"/>
        </w:rPr>
        <w:t>五）</w:t>
      </w:r>
      <w:r>
        <w:rPr>
          <w:rFonts w:hint="eastAsia" w:ascii="方正仿宋_GB2312" w:hAnsi="方正仿宋_GB2312" w:eastAsia="方正仿宋_GB2312" w:cs="方正仿宋_GB2312"/>
          <w:spacing w:val="17"/>
          <w:sz w:val="32"/>
          <w:szCs w:val="32"/>
          <w:highlight w:val="none"/>
        </w:rPr>
        <w:t>对按照有关法律法规要求必须进行资产评估的</w:t>
      </w:r>
      <w:r>
        <w:rPr>
          <w:rFonts w:hint="eastAsia" w:ascii="方正仿宋_GB2312" w:hAnsi="方正仿宋_GB2312" w:eastAsia="方正仿宋_GB2312" w:cs="方正仿宋_GB2312"/>
          <w:spacing w:val="5"/>
          <w:sz w:val="32"/>
          <w:szCs w:val="32"/>
          <w:highlight w:val="none"/>
        </w:rPr>
        <w:t>企业产权转让事项，转让方应当根据国有企业资产评估管理的有</w:t>
      </w:r>
      <w:r>
        <w:rPr>
          <w:rFonts w:hint="eastAsia" w:ascii="方正仿宋_GB2312" w:hAnsi="方正仿宋_GB2312" w:eastAsia="方正仿宋_GB2312" w:cs="方正仿宋_GB2312"/>
          <w:spacing w:val="17"/>
          <w:sz w:val="32"/>
          <w:szCs w:val="32"/>
          <w:highlight w:val="none"/>
        </w:rPr>
        <w:t>关规定选聘和委托具有资质的资产评估机构对转让标的进</w:t>
      </w:r>
      <w:r>
        <w:rPr>
          <w:rFonts w:hint="eastAsia" w:ascii="方正仿宋_GB2312" w:hAnsi="方正仿宋_GB2312" w:eastAsia="方正仿宋_GB2312" w:cs="方正仿宋_GB2312"/>
          <w:spacing w:val="16"/>
          <w:sz w:val="32"/>
          <w:szCs w:val="32"/>
          <w:highlight w:val="none"/>
        </w:rPr>
        <w:t>行资</w:t>
      </w:r>
      <w:r>
        <w:rPr>
          <w:rFonts w:hint="eastAsia" w:ascii="方正仿宋_GB2312" w:hAnsi="方正仿宋_GB2312" w:eastAsia="方正仿宋_GB2312" w:cs="方正仿宋_GB2312"/>
          <w:spacing w:val="5"/>
          <w:sz w:val="32"/>
          <w:szCs w:val="32"/>
          <w:highlight w:val="none"/>
        </w:rPr>
        <w:t>产评估，企业产权转让价格应以经核准或备案的评估结果为基础</w:t>
      </w:r>
      <w:r>
        <w:rPr>
          <w:rFonts w:hint="eastAsia" w:ascii="方正仿宋_GB2312" w:hAnsi="方正仿宋_GB2312" w:eastAsia="方正仿宋_GB2312" w:cs="方正仿宋_GB2312"/>
          <w:spacing w:val="-10"/>
          <w:sz w:val="32"/>
          <w:szCs w:val="32"/>
          <w:highlight w:val="none"/>
        </w:rPr>
        <w:t>确定。</w:t>
      </w:r>
      <w:r>
        <w:rPr>
          <w:rFonts w:hint="eastAsia" w:ascii="方正仿宋_GB2312" w:hAnsi="方正仿宋_GB2312" w:eastAsia="方正仿宋_GB2312" w:cs="方正仿宋_GB2312"/>
          <w:spacing w:val="-10"/>
          <w:sz w:val="32"/>
          <w:szCs w:val="32"/>
          <w:highlight w:val="none"/>
          <w:lang w:eastAsia="zh-CN"/>
        </w:rPr>
        <w:t>产权转让项目首次正式信息披露的转让低价，不得低于经核准或备案的转让标的评估结果。</w:t>
      </w:r>
    </w:p>
    <w:p w14:paraId="11F1D194">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（六）</w:t>
      </w:r>
      <w:r>
        <w:rPr>
          <w:rFonts w:hint="eastAsia" w:ascii="方正仿宋_GB2312" w:hAnsi="方正仿宋_GB2312" w:eastAsia="方正仿宋_GB2312" w:cs="方正仿宋_GB2312"/>
          <w:spacing w:val="5"/>
          <w:sz w:val="32"/>
          <w:szCs w:val="32"/>
          <w:highlight w:val="none"/>
        </w:rPr>
        <w:t>企业产权转让原则上通过产权市场公开进行</w:t>
      </w:r>
      <w:r>
        <w:rPr>
          <w:rFonts w:hint="eastAsia" w:ascii="方正仿宋_GB2312" w:hAnsi="方正仿宋_GB2312" w:eastAsia="方正仿宋_GB2312" w:cs="方正仿宋_GB2312"/>
          <w:spacing w:val="5"/>
          <w:sz w:val="32"/>
          <w:szCs w:val="32"/>
          <w:highlight w:val="none"/>
          <w:lang w:eastAsia="zh-CN"/>
        </w:rPr>
        <w:t>。</w:t>
      </w:r>
      <w:r>
        <w:rPr>
          <w:rFonts w:hint="eastAsia" w:ascii="方正仿宋_GB2312" w:hAnsi="方正仿宋_GB2312" w:eastAsia="方正仿宋_GB2312" w:cs="方正仿宋_GB2312"/>
          <w:spacing w:val="5"/>
          <w:sz w:val="32"/>
          <w:szCs w:val="32"/>
          <w:highlight w:val="none"/>
        </w:rPr>
        <w:t>转让方可以根据企业实际情况和工作进度安排，采取信息预披露和</w:t>
      </w:r>
      <w:r>
        <w:rPr>
          <w:rFonts w:hint="eastAsia" w:ascii="方正仿宋_GB2312" w:hAnsi="方正仿宋_GB2312" w:eastAsia="方正仿宋_GB2312" w:cs="方正仿宋_GB2312"/>
          <w:spacing w:val="4"/>
          <w:sz w:val="32"/>
          <w:szCs w:val="32"/>
          <w:highlight w:val="none"/>
        </w:rPr>
        <w:t>正式披露相结合的方式，通过产权交易机构、国资监管</w:t>
      </w:r>
      <w:r>
        <w:rPr>
          <w:rFonts w:hint="eastAsia" w:ascii="方正仿宋_GB2312" w:hAnsi="方正仿宋_GB2312" w:eastAsia="方正仿宋_GB2312" w:cs="方正仿宋_GB2312"/>
          <w:spacing w:val="3"/>
          <w:sz w:val="32"/>
          <w:szCs w:val="32"/>
          <w:highlight w:val="none"/>
        </w:rPr>
        <w:t>机构（包</w:t>
      </w:r>
      <w:r>
        <w:rPr>
          <w:rFonts w:hint="eastAsia" w:ascii="方正仿宋_GB2312" w:hAnsi="方正仿宋_GB2312" w:eastAsia="方正仿宋_GB2312" w:cs="方正仿宋_GB2312"/>
          <w:spacing w:val="5"/>
          <w:sz w:val="32"/>
          <w:szCs w:val="32"/>
          <w:highlight w:val="none"/>
        </w:rPr>
        <w:t>括但不限于以上两种方式）网站分阶段对外披露企业产权转让信</w:t>
      </w:r>
      <w:r>
        <w:rPr>
          <w:rFonts w:hint="eastAsia" w:ascii="方正仿宋_GB2312" w:hAnsi="方正仿宋_GB2312" w:eastAsia="方正仿宋_GB2312" w:cs="方正仿宋_GB2312"/>
          <w:spacing w:val="8"/>
          <w:sz w:val="32"/>
          <w:szCs w:val="32"/>
          <w:highlight w:val="none"/>
        </w:rPr>
        <w:t>息，公开征集受让方。其中正式披露信息时间不得少于20个工</w:t>
      </w:r>
      <w:r>
        <w:rPr>
          <w:rFonts w:hint="eastAsia" w:ascii="方正仿宋_GB2312" w:hAnsi="方正仿宋_GB2312" w:eastAsia="方正仿宋_GB2312" w:cs="方正仿宋_GB2312"/>
          <w:spacing w:val="-10"/>
          <w:sz w:val="32"/>
          <w:szCs w:val="32"/>
          <w:highlight w:val="none"/>
        </w:rPr>
        <w:t>作日。</w:t>
      </w:r>
    </w:p>
    <w:p w14:paraId="77459C6E">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4" w:firstLineChars="200"/>
        <w:jc w:val="both"/>
        <w:textAlignment w:val="baseline"/>
        <w:rPr>
          <w:rFonts w:hint="default" w:ascii="方正仿宋_GB2312" w:hAnsi="方正仿宋_GB2312" w:eastAsia="方正仿宋_GB2312" w:cs="方正仿宋_GB2312"/>
          <w:b/>
          <w:bCs/>
          <w:spacing w:val="17"/>
          <w:sz w:val="32"/>
          <w:szCs w:val="32"/>
          <w:highlight w:val="none"/>
          <w:lang w:val="en-US" w:eastAsia="zh-CN"/>
        </w:rPr>
      </w:pPr>
      <w:r>
        <w:rPr>
          <w:rFonts w:hint="eastAsia" w:ascii="方正仿宋_GB2312" w:hAnsi="方正仿宋_GB2312" w:eastAsia="方正仿宋_GB2312" w:cs="方正仿宋_GB2312"/>
          <w:spacing w:val="16"/>
          <w:sz w:val="32"/>
          <w:szCs w:val="32"/>
          <w:highlight w:val="none"/>
        </w:rPr>
        <w:t>因企业产权转让导致转让标的企业的实际控制权发生转移</w:t>
      </w:r>
      <w:r>
        <w:rPr>
          <w:rFonts w:hint="eastAsia" w:ascii="方正仿宋_GB2312" w:hAnsi="方正仿宋_GB2312" w:eastAsia="方正仿宋_GB2312" w:cs="方正仿宋_GB2312"/>
          <w:spacing w:val="6"/>
          <w:sz w:val="32"/>
          <w:szCs w:val="32"/>
          <w:highlight w:val="none"/>
        </w:rPr>
        <w:t>的，转让方应当在转让行为获批后10个工作日内，通过产权交</w:t>
      </w:r>
      <w:r>
        <w:rPr>
          <w:rFonts w:hint="eastAsia" w:ascii="方正仿宋_GB2312" w:hAnsi="方正仿宋_GB2312" w:eastAsia="方正仿宋_GB2312" w:cs="方正仿宋_GB2312"/>
          <w:spacing w:val="3"/>
          <w:sz w:val="32"/>
          <w:szCs w:val="32"/>
          <w:highlight w:val="none"/>
        </w:rPr>
        <w:t>易机构进行信息预披露，时间不得少于20个工作日。</w:t>
      </w:r>
    </w:p>
    <w:p w14:paraId="3CC9B091">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第二十条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pacing w:val="5"/>
          <w:sz w:val="32"/>
          <w:szCs w:val="32"/>
          <w:highlight w:val="none"/>
          <w:lang w:eastAsia="zh-CN"/>
        </w:rPr>
        <w:t>区国资办</w:t>
      </w:r>
      <w:r>
        <w:rPr>
          <w:rFonts w:hint="eastAsia" w:ascii="方正仿宋_GB2312" w:hAnsi="方正仿宋_GB2312" w:eastAsia="方正仿宋_GB2312" w:cs="方正仿宋_GB2312"/>
          <w:spacing w:val="5"/>
          <w:sz w:val="32"/>
          <w:szCs w:val="32"/>
          <w:highlight w:val="none"/>
        </w:rPr>
        <w:t>、</w:t>
      </w:r>
      <w:r>
        <w:rPr>
          <w:rFonts w:hint="eastAsia" w:ascii="方正仿宋_GB2312" w:hAnsi="方正仿宋_GB2312" w:eastAsia="方正仿宋_GB2312" w:cs="方正仿宋_GB2312"/>
          <w:spacing w:val="5"/>
          <w:sz w:val="32"/>
          <w:szCs w:val="32"/>
          <w:highlight w:val="none"/>
          <w:lang w:eastAsia="zh-CN"/>
        </w:rPr>
        <w:t>区属</w:t>
      </w:r>
      <w:r>
        <w:rPr>
          <w:rFonts w:hint="eastAsia" w:ascii="方正仿宋_GB2312" w:hAnsi="方正仿宋_GB2312" w:eastAsia="方正仿宋_GB2312" w:cs="方正仿宋_GB2312"/>
          <w:spacing w:val="5"/>
          <w:sz w:val="32"/>
          <w:szCs w:val="32"/>
          <w:highlight w:val="none"/>
        </w:rPr>
        <w:t>国有企业批准采取公开方</w:t>
      </w:r>
      <w:r>
        <w:rPr>
          <w:rFonts w:hint="eastAsia" w:ascii="方正仿宋_GB2312" w:hAnsi="方正仿宋_GB2312" w:eastAsia="方正仿宋_GB2312" w:cs="方正仿宋_GB2312"/>
          <w:spacing w:val="4"/>
          <w:sz w:val="32"/>
          <w:szCs w:val="32"/>
          <w:highlight w:val="none"/>
        </w:rPr>
        <w:t>式转让</w:t>
      </w:r>
      <w:r>
        <w:rPr>
          <w:rFonts w:hint="eastAsia" w:ascii="方正仿宋_GB2312" w:hAnsi="方正仿宋_GB2312" w:eastAsia="方正仿宋_GB2312" w:cs="方正仿宋_GB2312"/>
          <w:spacing w:val="3"/>
          <w:sz w:val="32"/>
          <w:szCs w:val="32"/>
          <w:highlight w:val="none"/>
        </w:rPr>
        <w:t>企业产权的，应当审核下列文件：</w:t>
      </w:r>
    </w:p>
    <w:p w14:paraId="276710EB">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4"/>
          <w:sz w:val="32"/>
          <w:szCs w:val="32"/>
          <w:highlight w:val="none"/>
        </w:rPr>
        <w:t>（一）产权转让的有关决议文件；</w:t>
      </w:r>
    </w:p>
    <w:p w14:paraId="0FFFB0B9">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4"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1"/>
          <w:sz w:val="32"/>
          <w:szCs w:val="32"/>
          <w:highlight w:val="none"/>
        </w:rPr>
        <w:t>（二）产权转让方案（包括：企业的基本情况；转让行为的</w:t>
      </w:r>
      <w:r>
        <w:rPr>
          <w:rFonts w:hint="eastAsia" w:ascii="方正仿宋_GB2312" w:hAnsi="方正仿宋_GB2312" w:eastAsia="方正仿宋_GB2312" w:cs="方正仿宋_GB2312"/>
          <w:spacing w:val="5"/>
          <w:sz w:val="32"/>
          <w:szCs w:val="32"/>
          <w:highlight w:val="none"/>
        </w:rPr>
        <w:t>有关论证情况；涉及的职工安置、债权和债务以及转让收益的处</w:t>
      </w:r>
      <w:r>
        <w:rPr>
          <w:rFonts w:hint="eastAsia" w:ascii="方正仿宋_GB2312" w:hAnsi="方正仿宋_GB2312" w:eastAsia="方正仿宋_GB2312" w:cs="方正仿宋_GB2312"/>
          <w:spacing w:val="8"/>
          <w:sz w:val="32"/>
          <w:szCs w:val="32"/>
          <w:highlight w:val="none"/>
        </w:rPr>
        <w:t>置方案；转让公告的主要内容等</w:t>
      </w:r>
      <w:r>
        <w:rPr>
          <w:rFonts w:hint="eastAsia" w:ascii="方正仿宋_GB2312" w:hAnsi="方正仿宋_GB2312" w:eastAsia="方正仿宋_GB2312" w:cs="方正仿宋_GB2312"/>
          <w:spacing w:val="-72"/>
          <w:sz w:val="32"/>
          <w:szCs w:val="32"/>
          <w:highlight w:val="none"/>
        </w:rPr>
        <w:t>）；</w:t>
      </w:r>
    </w:p>
    <w:p w14:paraId="5EB9C8AE">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8"/>
          <w:sz w:val="32"/>
          <w:szCs w:val="32"/>
          <w:highlight w:val="none"/>
        </w:rPr>
        <w:t>（三）转让标的企业的产权登记表（证</w:t>
      </w:r>
      <w:r>
        <w:rPr>
          <w:rFonts w:hint="eastAsia" w:ascii="方正仿宋_GB2312" w:hAnsi="方正仿宋_GB2312" w:eastAsia="方正仿宋_GB2312" w:cs="方正仿宋_GB2312"/>
          <w:spacing w:val="-61"/>
          <w:sz w:val="32"/>
          <w:szCs w:val="32"/>
          <w:highlight w:val="none"/>
        </w:rPr>
        <w:t>）；</w:t>
      </w:r>
    </w:p>
    <w:p w14:paraId="4954E93E">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4"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6"/>
          <w:sz w:val="32"/>
          <w:szCs w:val="32"/>
          <w:highlight w:val="none"/>
        </w:rPr>
        <w:t>（四）产权转让行为的法律意见书</w:t>
      </w:r>
    </w:p>
    <w:p w14:paraId="6C0F00B0">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4"/>
          <w:sz w:val="32"/>
          <w:szCs w:val="32"/>
          <w:highlight w:val="none"/>
        </w:rPr>
        <w:t>（五）其他必要的文件。</w:t>
      </w:r>
    </w:p>
    <w:p w14:paraId="5E7200D5">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5"/>
          <w:sz w:val="32"/>
          <w:szCs w:val="32"/>
          <w:highlight w:val="none"/>
        </w:rPr>
        <w:t>产权转让项目首次正式信息披露的转让底价，不得低</w:t>
      </w:r>
      <w:r>
        <w:rPr>
          <w:rFonts w:hint="eastAsia" w:ascii="方正仿宋_GB2312" w:hAnsi="方正仿宋_GB2312" w:eastAsia="方正仿宋_GB2312" w:cs="方正仿宋_GB2312"/>
          <w:spacing w:val="4"/>
          <w:sz w:val="32"/>
          <w:szCs w:val="32"/>
          <w:highlight w:val="none"/>
        </w:rPr>
        <w:t>于经核准或备案的转让标的评估结果。</w:t>
      </w:r>
    </w:p>
    <w:p w14:paraId="1E3624D0">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第二十一条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pacing w:val="17"/>
          <w:sz w:val="32"/>
          <w:szCs w:val="32"/>
          <w:highlight w:val="none"/>
        </w:rPr>
        <w:t>企业产权转让原则上不得针对受让方设置资格</w:t>
      </w:r>
      <w:r>
        <w:rPr>
          <w:rFonts w:hint="eastAsia" w:ascii="方正仿宋_GB2312" w:hAnsi="方正仿宋_GB2312" w:eastAsia="方正仿宋_GB2312" w:cs="方正仿宋_GB2312"/>
          <w:spacing w:val="5"/>
          <w:sz w:val="32"/>
          <w:szCs w:val="32"/>
          <w:highlight w:val="none"/>
        </w:rPr>
        <w:t>条件，确需设置的，不得有明确指向性或违反公平竞争原则</w:t>
      </w:r>
      <w:r>
        <w:rPr>
          <w:rFonts w:hint="eastAsia" w:ascii="方正仿宋_GB2312" w:hAnsi="方正仿宋_GB2312" w:eastAsia="方正仿宋_GB2312" w:cs="方正仿宋_GB2312"/>
          <w:spacing w:val="5"/>
          <w:sz w:val="32"/>
          <w:szCs w:val="32"/>
          <w:highlight w:val="none"/>
          <w:lang w:eastAsia="zh-CN"/>
        </w:rPr>
        <w:t>，</w:t>
      </w:r>
      <w:r>
        <w:rPr>
          <w:rFonts w:hint="eastAsia" w:ascii="方正仿宋_GB2312" w:hAnsi="方正仿宋_GB2312" w:eastAsia="方正仿宋_GB2312" w:cs="方正仿宋_GB2312"/>
          <w:spacing w:val="5"/>
          <w:sz w:val="32"/>
          <w:szCs w:val="32"/>
          <w:highlight w:val="none"/>
        </w:rPr>
        <w:t>所设资格条件相关内容经产权交易机构审核后，由</w:t>
      </w:r>
      <w:r>
        <w:rPr>
          <w:rFonts w:hint="eastAsia" w:ascii="方正仿宋_GB2312" w:hAnsi="方正仿宋_GB2312" w:eastAsia="方正仿宋_GB2312" w:cs="方正仿宋_GB2312"/>
          <w:spacing w:val="5"/>
          <w:sz w:val="32"/>
          <w:szCs w:val="32"/>
          <w:highlight w:val="none"/>
          <w:lang w:eastAsia="zh-CN"/>
        </w:rPr>
        <w:t>区属</w:t>
      </w:r>
      <w:r>
        <w:rPr>
          <w:rFonts w:hint="eastAsia" w:ascii="方正仿宋_GB2312" w:hAnsi="方正仿宋_GB2312" w:eastAsia="方正仿宋_GB2312" w:cs="方正仿宋_GB2312"/>
          <w:spacing w:val="5"/>
          <w:sz w:val="32"/>
          <w:szCs w:val="32"/>
          <w:highlight w:val="none"/>
        </w:rPr>
        <w:t>国有企业在信息披露前报</w:t>
      </w:r>
      <w:r>
        <w:rPr>
          <w:rFonts w:hint="eastAsia" w:ascii="方正仿宋_GB2312" w:hAnsi="方正仿宋_GB2312" w:eastAsia="方正仿宋_GB2312" w:cs="方正仿宋_GB2312"/>
          <w:spacing w:val="5"/>
          <w:sz w:val="32"/>
          <w:szCs w:val="32"/>
          <w:highlight w:val="none"/>
          <w:lang w:eastAsia="zh-CN"/>
        </w:rPr>
        <w:t>区国资办</w:t>
      </w:r>
      <w:r>
        <w:rPr>
          <w:rFonts w:hint="eastAsia" w:ascii="方正仿宋_GB2312" w:hAnsi="方正仿宋_GB2312" w:eastAsia="方正仿宋_GB2312" w:cs="方正仿宋_GB2312"/>
          <w:spacing w:val="5"/>
          <w:sz w:val="32"/>
          <w:szCs w:val="32"/>
          <w:highlight w:val="none"/>
        </w:rPr>
        <w:t>备案，</w:t>
      </w:r>
      <w:r>
        <w:rPr>
          <w:rFonts w:hint="eastAsia" w:ascii="方正仿宋_GB2312" w:hAnsi="方正仿宋_GB2312" w:eastAsia="方正仿宋_GB2312" w:cs="方正仿宋_GB2312"/>
          <w:spacing w:val="5"/>
          <w:sz w:val="32"/>
          <w:szCs w:val="32"/>
          <w:highlight w:val="none"/>
          <w:lang w:eastAsia="zh-CN"/>
        </w:rPr>
        <w:t>区国资办</w:t>
      </w:r>
      <w:r>
        <w:rPr>
          <w:rFonts w:hint="eastAsia" w:ascii="方正仿宋_GB2312" w:hAnsi="方正仿宋_GB2312" w:eastAsia="方正仿宋_GB2312" w:cs="方正仿宋_GB2312"/>
          <w:spacing w:val="5"/>
          <w:sz w:val="32"/>
          <w:szCs w:val="32"/>
          <w:highlight w:val="none"/>
        </w:rPr>
        <w:t>在5个工作日内未反</w:t>
      </w:r>
      <w:r>
        <w:rPr>
          <w:rFonts w:hint="eastAsia" w:ascii="方正仿宋_GB2312" w:hAnsi="方正仿宋_GB2312" w:eastAsia="方正仿宋_GB2312" w:cs="方正仿宋_GB2312"/>
          <w:spacing w:val="4"/>
          <w:sz w:val="32"/>
          <w:szCs w:val="32"/>
          <w:highlight w:val="none"/>
        </w:rPr>
        <w:t>馈意</w:t>
      </w:r>
      <w:r>
        <w:rPr>
          <w:rFonts w:hint="eastAsia" w:ascii="方正仿宋_GB2312" w:hAnsi="方正仿宋_GB2312" w:eastAsia="方正仿宋_GB2312" w:cs="方正仿宋_GB2312"/>
          <w:spacing w:val="-3"/>
          <w:sz w:val="32"/>
          <w:szCs w:val="32"/>
          <w:highlight w:val="none"/>
        </w:rPr>
        <w:t>见的视为同意。</w:t>
      </w:r>
    </w:p>
    <w:p w14:paraId="6E92EEF5">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第二十二条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pacing w:val="6"/>
          <w:sz w:val="32"/>
          <w:szCs w:val="32"/>
          <w:highlight w:val="none"/>
        </w:rPr>
        <w:t>转让方披露信息包括但不限于以下内容：</w:t>
      </w:r>
    </w:p>
    <w:p w14:paraId="229DD701">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8"/>
          <w:sz w:val="32"/>
          <w:szCs w:val="32"/>
          <w:highlight w:val="none"/>
        </w:rPr>
        <w:t>（一）转让标的基本情况；</w:t>
      </w:r>
    </w:p>
    <w:p w14:paraId="5D3BF6E6">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4"/>
          <w:sz w:val="32"/>
          <w:szCs w:val="32"/>
          <w:highlight w:val="none"/>
        </w:rPr>
        <w:t>（二）转让标的企业的股东结构；</w:t>
      </w:r>
    </w:p>
    <w:p w14:paraId="6B6407FA">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5"/>
          <w:sz w:val="32"/>
          <w:szCs w:val="32"/>
          <w:highlight w:val="none"/>
        </w:rPr>
        <w:t>（三）产权转让行为的决策及批准情况；</w:t>
      </w:r>
    </w:p>
    <w:p w14:paraId="4163CDDE">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5"/>
          <w:sz w:val="32"/>
          <w:szCs w:val="32"/>
          <w:highlight w:val="none"/>
        </w:rPr>
        <w:t>（四）转让标的企业最近一个年度审计报告和最近一期财务</w:t>
      </w:r>
      <w:r>
        <w:rPr>
          <w:rFonts w:hint="eastAsia" w:ascii="方正仿宋_GB2312" w:hAnsi="方正仿宋_GB2312" w:eastAsia="方正仿宋_GB2312" w:cs="方正仿宋_GB2312"/>
          <w:spacing w:val="-2"/>
          <w:sz w:val="32"/>
          <w:szCs w:val="32"/>
          <w:highlight w:val="none"/>
        </w:rPr>
        <w:t>报表中的主要财务指标数据，包括但不限于资产</w:t>
      </w:r>
      <w:r>
        <w:rPr>
          <w:rFonts w:hint="eastAsia" w:ascii="方正仿宋_GB2312" w:hAnsi="方正仿宋_GB2312" w:eastAsia="方正仿宋_GB2312" w:cs="方正仿宋_GB2312"/>
          <w:spacing w:val="-3"/>
          <w:sz w:val="32"/>
          <w:szCs w:val="32"/>
          <w:highlight w:val="none"/>
        </w:rPr>
        <w:t>总额、负债总额、</w:t>
      </w:r>
      <w:r>
        <w:rPr>
          <w:rFonts w:hint="eastAsia" w:ascii="方正仿宋_GB2312" w:hAnsi="方正仿宋_GB2312" w:eastAsia="方正仿宋_GB2312" w:cs="方正仿宋_GB2312"/>
          <w:spacing w:val="5"/>
          <w:sz w:val="32"/>
          <w:szCs w:val="32"/>
          <w:highlight w:val="none"/>
        </w:rPr>
        <w:t>所有者权益、营业收入、净利润等（转让参股权的，披露最近一</w:t>
      </w:r>
      <w:r>
        <w:rPr>
          <w:rFonts w:hint="eastAsia" w:ascii="方正仿宋_GB2312" w:hAnsi="方正仿宋_GB2312" w:eastAsia="方正仿宋_GB2312" w:cs="方正仿宋_GB2312"/>
          <w:spacing w:val="8"/>
          <w:sz w:val="32"/>
          <w:szCs w:val="32"/>
          <w:highlight w:val="none"/>
        </w:rPr>
        <w:t>个年度审计报告中的相应数据</w:t>
      </w:r>
      <w:r>
        <w:rPr>
          <w:rFonts w:hint="eastAsia" w:ascii="方正仿宋_GB2312" w:hAnsi="方正仿宋_GB2312" w:eastAsia="方正仿宋_GB2312" w:cs="方正仿宋_GB2312"/>
          <w:spacing w:val="-69"/>
          <w:sz w:val="32"/>
          <w:szCs w:val="32"/>
          <w:highlight w:val="none"/>
        </w:rPr>
        <w:t>）；</w:t>
      </w:r>
    </w:p>
    <w:p w14:paraId="3DDFEFF1">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17"/>
          <w:sz w:val="32"/>
          <w:szCs w:val="32"/>
          <w:highlight w:val="none"/>
        </w:rPr>
        <w:t>（五）受让方资格条件（适用于对受让方有</w:t>
      </w:r>
      <w:r>
        <w:rPr>
          <w:rFonts w:hint="eastAsia" w:ascii="方正仿宋_GB2312" w:hAnsi="方正仿宋_GB2312" w:eastAsia="方正仿宋_GB2312" w:cs="方正仿宋_GB2312"/>
          <w:spacing w:val="16"/>
          <w:sz w:val="32"/>
          <w:szCs w:val="32"/>
          <w:highlight w:val="none"/>
        </w:rPr>
        <w:t>特殊要求的情</w:t>
      </w:r>
      <w:r>
        <w:rPr>
          <w:rFonts w:hint="eastAsia" w:ascii="方正仿宋_GB2312" w:hAnsi="方正仿宋_GB2312" w:eastAsia="方正仿宋_GB2312" w:cs="方正仿宋_GB2312"/>
          <w:spacing w:val="5"/>
          <w:sz w:val="32"/>
          <w:szCs w:val="32"/>
          <w:highlight w:val="none"/>
        </w:rPr>
        <w:t>形</w:t>
      </w:r>
      <w:r>
        <w:rPr>
          <w:rFonts w:hint="eastAsia" w:ascii="方正仿宋_GB2312" w:hAnsi="方正仿宋_GB2312" w:eastAsia="方正仿宋_GB2312" w:cs="方正仿宋_GB2312"/>
          <w:spacing w:val="-58"/>
          <w:sz w:val="32"/>
          <w:szCs w:val="32"/>
          <w:highlight w:val="none"/>
        </w:rPr>
        <w:t>）；</w:t>
      </w:r>
    </w:p>
    <w:p w14:paraId="404DC855">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5"/>
          <w:sz w:val="32"/>
          <w:szCs w:val="32"/>
          <w:highlight w:val="none"/>
        </w:rPr>
        <w:t>（六）交易条件、转让底价；</w:t>
      </w:r>
    </w:p>
    <w:p w14:paraId="4D1978F2">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2"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3"/>
          <w:sz w:val="32"/>
          <w:szCs w:val="32"/>
          <w:highlight w:val="none"/>
        </w:rPr>
        <w:t>（七）企业管理层是否参与受让，有限责任公司原股东是否</w:t>
      </w:r>
      <w:r>
        <w:rPr>
          <w:rFonts w:hint="eastAsia" w:ascii="方正仿宋_GB2312" w:hAnsi="方正仿宋_GB2312" w:eastAsia="方正仿宋_GB2312" w:cs="方正仿宋_GB2312"/>
          <w:spacing w:val="-2"/>
          <w:sz w:val="32"/>
          <w:szCs w:val="32"/>
          <w:highlight w:val="none"/>
        </w:rPr>
        <w:t>放弃优先受让权；</w:t>
      </w:r>
    </w:p>
    <w:p w14:paraId="3C4419A9">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2"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3"/>
          <w:sz w:val="32"/>
          <w:szCs w:val="32"/>
          <w:highlight w:val="none"/>
        </w:rPr>
        <w:t>（八）竞价方式，受让方选择的相关评判标准；</w:t>
      </w:r>
    </w:p>
    <w:p w14:paraId="341A8D47">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4"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6"/>
          <w:sz w:val="32"/>
          <w:szCs w:val="32"/>
          <w:highlight w:val="none"/>
        </w:rPr>
        <w:t>（九）其他需要披露的事项。</w:t>
      </w:r>
    </w:p>
    <w:p w14:paraId="3CFDAC31">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544"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24"/>
          <w:sz w:val="32"/>
          <w:szCs w:val="32"/>
          <w:highlight w:val="none"/>
        </w:rPr>
        <w:t>其中信息预披露应当包括但不限于以上（一）、（</w:t>
      </w:r>
      <w:r>
        <w:rPr>
          <w:rFonts w:hint="eastAsia" w:ascii="方正仿宋_GB2312" w:hAnsi="方正仿宋_GB2312" w:eastAsia="方正仿宋_GB2312" w:cs="方正仿宋_GB2312"/>
          <w:spacing w:val="-25"/>
          <w:sz w:val="32"/>
          <w:szCs w:val="32"/>
          <w:highlight w:val="none"/>
        </w:rPr>
        <w:t>二）、（三）</w:t>
      </w:r>
      <w:r>
        <w:rPr>
          <w:rFonts w:hint="eastAsia" w:ascii="方正仿宋_GB2312" w:hAnsi="方正仿宋_GB2312" w:eastAsia="方正仿宋_GB2312" w:cs="方正仿宋_GB2312"/>
          <w:spacing w:val="-25"/>
          <w:sz w:val="32"/>
          <w:szCs w:val="32"/>
          <w:highlight w:val="none"/>
          <w:lang w:eastAsia="zh-CN"/>
        </w:rPr>
        <w:t>、</w:t>
      </w:r>
      <w:r>
        <w:rPr>
          <w:rFonts w:hint="eastAsia" w:ascii="方正仿宋_GB2312" w:hAnsi="方正仿宋_GB2312" w:eastAsia="方正仿宋_GB2312" w:cs="方正仿宋_GB2312"/>
          <w:spacing w:val="-24"/>
          <w:sz w:val="32"/>
          <w:szCs w:val="32"/>
          <w:highlight w:val="none"/>
        </w:rPr>
        <w:t>（四）、（五）款内容。</w:t>
      </w:r>
    </w:p>
    <w:p w14:paraId="4CEFD0BB">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第二十三条</w:t>
      </w:r>
      <w:r>
        <w:rPr>
          <w:rFonts w:hint="eastAsia" w:ascii="方正仿宋_GB2312" w:hAnsi="方正仿宋_GB2312" w:eastAsia="方正仿宋_GB2312" w:cs="方正仿宋_GB2312"/>
          <w:spacing w:val="125"/>
          <w:sz w:val="32"/>
          <w:szCs w:val="32"/>
          <w:highlight w:val="none"/>
        </w:rPr>
        <w:t xml:space="preserve"> </w:t>
      </w:r>
      <w:r>
        <w:rPr>
          <w:rFonts w:hint="eastAsia" w:ascii="方正仿宋_GB2312" w:hAnsi="方正仿宋_GB2312" w:eastAsia="方正仿宋_GB2312" w:cs="方正仿宋_GB2312"/>
          <w:spacing w:val="17"/>
          <w:sz w:val="32"/>
          <w:szCs w:val="32"/>
          <w:highlight w:val="none"/>
        </w:rPr>
        <w:t>转让方应当按照要求向产权交易机构提</w:t>
      </w:r>
      <w:r>
        <w:rPr>
          <w:rFonts w:hint="eastAsia" w:ascii="方正仿宋_GB2312" w:hAnsi="方正仿宋_GB2312" w:eastAsia="方正仿宋_GB2312" w:cs="方正仿宋_GB2312"/>
          <w:spacing w:val="16"/>
          <w:sz w:val="32"/>
          <w:szCs w:val="32"/>
          <w:highlight w:val="none"/>
        </w:rPr>
        <w:t>供披露</w:t>
      </w:r>
      <w:r>
        <w:rPr>
          <w:rFonts w:hint="eastAsia" w:ascii="方正仿宋_GB2312" w:hAnsi="方正仿宋_GB2312" w:eastAsia="方正仿宋_GB2312" w:cs="方正仿宋_GB2312"/>
          <w:spacing w:val="17"/>
          <w:sz w:val="32"/>
          <w:szCs w:val="32"/>
          <w:highlight w:val="none"/>
        </w:rPr>
        <w:t>信息内容的纸质文档材料，并对披露内容和所提供材料的真实</w:t>
      </w:r>
      <w:r>
        <w:rPr>
          <w:rFonts w:hint="eastAsia" w:ascii="方正仿宋_GB2312" w:hAnsi="方正仿宋_GB2312" w:eastAsia="方正仿宋_GB2312" w:cs="方正仿宋_GB2312"/>
          <w:spacing w:val="5"/>
          <w:sz w:val="32"/>
          <w:szCs w:val="32"/>
          <w:highlight w:val="none"/>
        </w:rPr>
        <w:t>性、完整性、准确性负责。产权交易机构应当对信息披露的规范</w:t>
      </w:r>
      <w:r>
        <w:rPr>
          <w:rFonts w:hint="eastAsia" w:ascii="方正仿宋_GB2312" w:hAnsi="方正仿宋_GB2312" w:eastAsia="方正仿宋_GB2312" w:cs="方正仿宋_GB2312"/>
          <w:spacing w:val="-5"/>
          <w:sz w:val="32"/>
          <w:szCs w:val="32"/>
          <w:highlight w:val="none"/>
        </w:rPr>
        <w:t>性负责。</w:t>
      </w:r>
    </w:p>
    <w:p w14:paraId="2E946492">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第二十四条</w:t>
      </w:r>
      <w:r>
        <w:rPr>
          <w:rFonts w:hint="eastAsia" w:ascii="方正仿宋_GB2312" w:hAnsi="方正仿宋_GB2312" w:eastAsia="方正仿宋_GB2312" w:cs="方正仿宋_GB2312"/>
          <w:spacing w:val="125"/>
          <w:sz w:val="32"/>
          <w:szCs w:val="32"/>
          <w:highlight w:val="none"/>
        </w:rPr>
        <w:t xml:space="preserve"> </w:t>
      </w:r>
      <w:r>
        <w:rPr>
          <w:rFonts w:hint="eastAsia" w:ascii="方正仿宋_GB2312" w:hAnsi="方正仿宋_GB2312" w:eastAsia="方正仿宋_GB2312" w:cs="方正仿宋_GB2312"/>
          <w:spacing w:val="5"/>
          <w:sz w:val="32"/>
          <w:szCs w:val="32"/>
          <w:highlight w:val="none"/>
        </w:rPr>
        <w:t>信息披露期满未征集到意向受让方的，可以延期</w:t>
      </w:r>
      <w:r>
        <w:rPr>
          <w:rFonts w:hint="eastAsia" w:ascii="方正仿宋_GB2312" w:hAnsi="方正仿宋_GB2312" w:eastAsia="方正仿宋_GB2312" w:cs="方正仿宋_GB2312"/>
          <w:spacing w:val="7"/>
          <w:sz w:val="32"/>
          <w:szCs w:val="32"/>
          <w:highlight w:val="none"/>
        </w:rPr>
        <w:t>或在降低转让底价、变更受让条件后重新进行信息披露。</w:t>
      </w:r>
      <w:r>
        <w:rPr>
          <w:rFonts w:hint="eastAsia" w:ascii="方正仿宋_GB2312" w:hAnsi="方正仿宋_GB2312" w:eastAsia="方正仿宋_GB2312" w:cs="方正仿宋_GB2312"/>
          <w:spacing w:val="4"/>
          <w:sz w:val="32"/>
          <w:szCs w:val="32"/>
          <w:highlight w:val="none"/>
        </w:rPr>
        <w:t>降低转让底价或变更受让条件后重新披露信息的，披露时间</w:t>
      </w:r>
      <w:r>
        <w:rPr>
          <w:rFonts w:hint="eastAsia" w:ascii="方正仿宋_GB2312" w:hAnsi="方正仿宋_GB2312" w:eastAsia="方正仿宋_GB2312" w:cs="方正仿宋_GB2312"/>
          <w:spacing w:val="6"/>
          <w:sz w:val="32"/>
          <w:szCs w:val="32"/>
          <w:highlight w:val="none"/>
        </w:rPr>
        <w:t>不得少于20个工作日。新的转让底价低于评估结果的90%时，</w:t>
      </w:r>
      <w:r>
        <w:rPr>
          <w:rFonts w:hint="eastAsia" w:ascii="方正仿宋_GB2312" w:hAnsi="方正仿宋_GB2312" w:eastAsia="方正仿宋_GB2312" w:cs="方正仿宋_GB2312"/>
          <w:spacing w:val="8"/>
          <w:sz w:val="32"/>
          <w:szCs w:val="32"/>
          <w:highlight w:val="none"/>
        </w:rPr>
        <w:t>应当经转让行为批准单位书面同意。</w:t>
      </w:r>
    </w:p>
    <w:p w14:paraId="0B17EA4B">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第二十五条</w:t>
      </w:r>
      <w:r>
        <w:rPr>
          <w:rFonts w:hint="eastAsia" w:ascii="方正仿宋_GB2312" w:hAnsi="方正仿宋_GB2312" w:eastAsia="方正仿宋_GB2312" w:cs="方正仿宋_GB2312"/>
          <w:spacing w:val="149"/>
          <w:sz w:val="32"/>
          <w:szCs w:val="32"/>
          <w:highlight w:val="none"/>
        </w:rPr>
        <w:t xml:space="preserve"> </w:t>
      </w:r>
      <w:r>
        <w:rPr>
          <w:rFonts w:hint="eastAsia" w:ascii="方正仿宋_GB2312" w:hAnsi="方正仿宋_GB2312" w:eastAsia="方正仿宋_GB2312" w:cs="方正仿宋_GB2312"/>
          <w:spacing w:val="5"/>
          <w:sz w:val="32"/>
          <w:szCs w:val="32"/>
          <w:highlight w:val="none"/>
        </w:rPr>
        <w:t>转让项目自首次正式披露信息之日起超过12个月未征集到合格受让方的，应当重新履行审</w:t>
      </w:r>
      <w:r>
        <w:rPr>
          <w:rFonts w:hint="eastAsia" w:ascii="方正仿宋_GB2312" w:hAnsi="方正仿宋_GB2312" w:eastAsia="方正仿宋_GB2312" w:cs="方正仿宋_GB2312"/>
          <w:spacing w:val="4"/>
          <w:sz w:val="32"/>
          <w:szCs w:val="32"/>
          <w:highlight w:val="none"/>
        </w:rPr>
        <w:t>计、资产评估以及信息披露等产权转让工作程序。</w:t>
      </w:r>
    </w:p>
    <w:p w14:paraId="6E0D9C06">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第二十六条</w:t>
      </w:r>
      <w:r>
        <w:rPr>
          <w:rFonts w:hint="eastAsia" w:ascii="方正仿宋_GB2312" w:hAnsi="方正仿宋_GB2312" w:eastAsia="方正仿宋_GB2312" w:cs="方正仿宋_GB2312"/>
          <w:spacing w:val="128"/>
          <w:sz w:val="32"/>
          <w:szCs w:val="32"/>
          <w:highlight w:val="none"/>
        </w:rPr>
        <w:t xml:space="preserve"> </w:t>
      </w:r>
      <w:r>
        <w:rPr>
          <w:rFonts w:hint="eastAsia" w:ascii="方正仿宋_GB2312" w:hAnsi="方正仿宋_GB2312" w:eastAsia="方正仿宋_GB2312" w:cs="方正仿宋_GB2312"/>
          <w:spacing w:val="5"/>
          <w:sz w:val="32"/>
          <w:szCs w:val="32"/>
          <w:highlight w:val="none"/>
        </w:rPr>
        <w:t>在正式披露信息期间，转让方不得变更产权转让公告中公布的内容，由于非转让方原因或其他不可抗力因素导致可能对转让标的价值判断造成影响的，转让方应当及时调整补充</w:t>
      </w:r>
      <w:r>
        <w:rPr>
          <w:rFonts w:hint="eastAsia" w:ascii="方正仿宋_GB2312" w:hAnsi="方正仿宋_GB2312" w:eastAsia="方正仿宋_GB2312" w:cs="方正仿宋_GB2312"/>
          <w:spacing w:val="8"/>
          <w:sz w:val="32"/>
          <w:szCs w:val="32"/>
          <w:highlight w:val="none"/>
        </w:rPr>
        <w:t>披露信息内容，并相应延长信息披露时间。</w:t>
      </w:r>
    </w:p>
    <w:p w14:paraId="2EB2831F">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第二十七条</w:t>
      </w:r>
      <w:r>
        <w:rPr>
          <w:rFonts w:hint="eastAsia" w:ascii="方正仿宋_GB2312" w:hAnsi="方正仿宋_GB2312" w:eastAsia="方正仿宋_GB2312" w:cs="方正仿宋_GB2312"/>
          <w:spacing w:val="124"/>
          <w:sz w:val="32"/>
          <w:szCs w:val="32"/>
          <w:highlight w:val="none"/>
        </w:rPr>
        <w:t xml:space="preserve"> </w:t>
      </w:r>
      <w:r>
        <w:rPr>
          <w:rFonts w:hint="eastAsia" w:ascii="方正仿宋_GB2312" w:hAnsi="方正仿宋_GB2312" w:eastAsia="方正仿宋_GB2312" w:cs="方正仿宋_GB2312"/>
          <w:spacing w:val="5"/>
          <w:sz w:val="32"/>
          <w:szCs w:val="32"/>
          <w:highlight w:val="none"/>
        </w:rPr>
        <w:t>产权交易机构负责意向受让方的登记工作，对意向受让方是否符合受让条件提出意见并反馈转让方。产权交易机构与转让方意见不一致的，由转让行为批准单位决定意向受让</w:t>
      </w:r>
      <w:r>
        <w:rPr>
          <w:rFonts w:hint="eastAsia" w:ascii="方正仿宋_GB2312" w:hAnsi="方正仿宋_GB2312" w:eastAsia="方正仿宋_GB2312" w:cs="方正仿宋_GB2312"/>
          <w:spacing w:val="4"/>
          <w:sz w:val="32"/>
          <w:szCs w:val="32"/>
          <w:highlight w:val="none"/>
        </w:rPr>
        <w:t>方是否符合受让条件。</w:t>
      </w:r>
    </w:p>
    <w:p w14:paraId="49379164">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第二十八条</w:t>
      </w:r>
      <w:r>
        <w:rPr>
          <w:rFonts w:hint="eastAsia" w:ascii="方正仿宋_GB2312" w:hAnsi="方正仿宋_GB2312" w:eastAsia="方正仿宋_GB2312" w:cs="方正仿宋_GB2312"/>
          <w:spacing w:val="127"/>
          <w:sz w:val="32"/>
          <w:szCs w:val="32"/>
          <w:highlight w:val="none"/>
        </w:rPr>
        <w:t xml:space="preserve"> </w:t>
      </w:r>
      <w:r>
        <w:rPr>
          <w:rFonts w:hint="eastAsia" w:ascii="方正仿宋_GB2312" w:hAnsi="方正仿宋_GB2312" w:eastAsia="方正仿宋_GB2312" w:cs="方正仿宋_GB2312"/>
          <w:spacing w:val="5"/>
          <w:sz w:val="32"/>
          <w:szCs w:val="32"/>
          <w:highlight w:val="none"/>
        </w:rPr>
        <w:t>产权转让信息披露期满、产生符合条件的意向</w:t>
      </w:r>
      <w:r>
        <w:rPr>
          <w:rFonts w:hint="eastAsia" w:ascii="方正仿宋_GB2312" w:hAnsi="方正仿宋_GB2312" w:eastAsia="方正仿宋_GB2312" w:cs="方正仿宋_GB2312"/>
          <w:spacing w:val="7"/>
          <w:sz w:val="32"/>
          <w:szCs w:val="32"/>
          <w:highlight w:val="none"/>
        </w:rPr>
        <w:t>受让方的，按照披露的竞价方式组织竞价。竞价可以采取拍</w:t>
      </w:r>
      <w:r>
        <w:rPr>
          <w:rFonts w:hint="eastAsia" w:ascii="方正仿宋_GB2312" w:hAnsi="方正仿宋_GB2312" w:eastAsia="方正仿宋_GB2312" w:cs="方正仿宋_GB2312"/>
          <w:spacing w:val="6"/>
          <w:sz w:val="32"/>
          <w:szCs w:val="32"/>
          <w:highlight w:val="none"/>
        </w:rPr>
        <w:t>卖、</w:t>
      </w:r>
      <w:r>
        <w:rPr>
          <w:rFonts w:hint="eastAsia" w:ascii="方正仿宋_GB2312" w:hAnsi="方正仿宋_GB2312" w:eastAsia="方正仿宋_GB2312" w:cs="方正仿宋_GB2312"/>
          <w:spacing w:val="5"/>
          <w:sz w:val="32"/>
          <w:szCs w:val="32"/>
          <w:highlight w:val="none"/>
        </w:rPr>
        <w:t>招投标、网络竞价以及其他竞价方式，且不得违反国家法律法规</w:t>
      </w:r>
      <w:r>
        <w:rPr>
          <w:rFonts w:hint="eastAsia" w:ascii="方正仿宋_GB2312" w:hAnsi="方正仿宋_GB2312" w:eastAsia="方正仿宋_GB2312" w:cs="方正仿宋_GB2312"/>
          <w:spacing w:val="-9"/>
          <w:sz w:val="32"/>
          <w:szCs w:val="32"/>
          <w:highlight w:val="none"/>
        </w:rPr>
        <w:t>的规定。</w:t>
      </w:r>
    </w:p>
    <w:p w14:paraId="5312D846">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第二十九条</w:t>
      </w:r>
      <w:r>
        <w:rPr>
          <w:rFonts w:hint="eastAsia" w:ascii="方正仿宋_GB2312" w:hAnsi="方正仿宋_GB2312" w:eastAsia="方正仿宋_GB2312" w:cs="方正仿宋_GB2312"/>
          <w:spacing w:val="131"/>
          <w:sz w:val="32"/>
          <w:szCs w:val="32"/>
          <w:highlight w:val="none"/>
        </w:rPr>
        <w:t xml:space="preserve"> </w:t>
      </w:r>
      <w:r>
        <w:rPr>
          <w:rFonts w:hint="eastAsia" w:ascii="方正仿宋_GB2312" w:hAnsi="方正仿宋_GB2312" w:eastAsia="方正仿宋_GB2312" w:cs="方正仿宋_GB2312"/>
          <w:spacing w:val="5"/>
          <w:sz w:val="32"/>
          <w:szCs w:val="32"/>
          <w:highlight w:val="none"/>
        </w:rPr>
        <w:t>受让方确定后，转让方与受让方应当</w:t>
      </w:r>
      <w:r>
        <w:rPr>
          <w:rFonts w:hint="eastAsia" w:ascii="方正仿宋_GB2312" w:hAnsi="方正仿宋_GB2312" w:eastAsia="方正仿宋_GB2312" w:cs="方正仿宋_GB2312"/>
          <w:spacing w:val="4"/>
          <w:sz w:val="32"/>
          <w:szCs w:val="32"/>
          <w:highlight w:val="none"/>
        </w:rPr>
        <w:t>签订产权</w:t>
      </w:r>
      <w:r>
        <w:rPr>
          <w:rFonts w:hint="eastAsia" w:ascii="方正仿宋_GB2312" w:hAnsi="方正仿宋_GB2312" w:eastAsia="方正仿宋_GB2312" w:cs="方正仿宋_GB2312"/>
          <w:spacing w:val="5"/>
          <w:sz w:val="32"/>
          <w:szCs w:val="32"/>
          <w:highlight w:val="none"/>
        </w:rPr>
        <w:t>交易合同，交易双方不得以交易期间企业经营性损益等</w:t>
      </w:r>
      <w:r>
        <w:rPr>
          <w:rFonts w:hint="eastAsia" w:ascii="方正仿宋_GB2312" w:hAnsi="方正仿宋_GB2312" w:eastAsia="方正仿宋_GB2312" w:cs="方正仿宋_GB2312"/>
          <w:spacing w:val="4"/>
          <w:sz w:val="32"/>
          <w:szCs w:val="32"/>
          <w:highlight w:val="none"/>
        </w:rPr>
        <w:t>理由对已</w:t>
      </w:r>
      <w:r>
        <w:rPr>
          <w:rFonts w:hint="eastAsia" w:ascii="方正仿宋_GB2312" w:hAnsi="方正仿宋_GB2312" w:eastAsia="方正仿宋_GB2312" w:cs="方正仿宋_GB2312"/>
          <w:spacing w:val="6"/>
          <w:sz w:val="32"/>
          <w:szCs w:val="32"/>
          <w:highlight w:val="none"/>
        </w:rPr>
        <w:t>达成的交易条件和交易价格进行调整。</w:t>
      </w:r>
    </w:p>
    <w:p w14:paraId="3D9B4CAE">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第三十条</w:t>
      </w:r>
      <w:r>
        <w:rPr>
          <w:rFonts w:hint="eastAsia" w:ascii="方正仿宋_GB2312" w:hAnsi="方正仿宋_GB2312" w:eastAsia="方正仿宋_GB2312" w:cs="方正仿宋_GB2312"/>
          <w:spacing w:val="124"/>
          <w:sz w:val="32"/>
          <w:szCs w:val="32"/>
          <w:highlight w:val="none"/>
        </w:rPr>
        <w:t xml:space="preserve"> </w:t>
      </w:r>
      <w:r>
        <w:rPr>
          <w:rFonts w:hint="eastAsia" w:ascii="方正仿宋_GB2312" w:hAnsi="方正仿宋_GB2312" w:eastAsia="方正仿宋_GB2312" w:cs="方正仿宋_GB2312"/>
          <w:spacing w:val="5"/>
          <w:sz w:val="32"/>
          <w:szCs w:val="32"/>
          <w:highlight w:val="none"/>
        </w:rPr>
        <w:t>企业产权转让涉及交易主体资格审查、反垄断审查、特许经营权、国有划拨土地使用权、探矿权和采矿权等政</w:t>
      </w:r>
      <w:r>
        <w:rPr>
          <w:rFonts w:hint="eastAsia" w:ascii="方正仿宋_GB2312" w:hAnsi="方正仿宋_GB2312" w:eastAsia="方正仿宋_GB2312" w:cs="方正仿宋_GB2312"/>
          <w:spacing w:val="8"/>
          <w:sz w:val="32"/>
          <w:szCs w:val="32"/>
          <w:highlight w:val="none"/>
        </w:rPr>
        <w:t>府审批事项的，按照相关规定执行。</w:t>
      </w:r>
    </w:p>
    <w:p w14:paraId="0C494202">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方正仿宋_GB2312" w:hAnsi="方正仿宋_GB2312" w:eastAsia="方正仿宋_GB2312" w:cs="方正仿宋_GB2312"/>
          <w:spacing w:val="6"/>
          <w:sz w:val="32"/>
          <w:szCs w:val="32"/>
          <w:highlight w:val="none"/>
        </w:rPr>
      </w:pPr>
      <w:r>
        <w:rPr>
          <w:rFonts w:hint="eastAsia" w:ascii="方正仿宋_GB2312" w:hAnsi="方正仿宋_GB2312" w:eastAsia="方正仿宋_GB2312" w:cs="方正仿宋_GB2312"/>
          <w:spacing w:val="4"/>
          <w:sz w:val="32"/>
          <w:szCs w:val="32"/>
          <w:highlight w:val="none"/>
        </w:rPr>
        <w:t>受让方为境外投资者的，应当符合外商投资产业指导目录和</w:t>
      </w:r>
      <w:r>
        <w:rPr>
          <w:rFonts w:hint="eastAsia" w:ascii="方正仿宋_GB2312" w:hAnsi="方正仿宋_GB2312" w:eastAsia="方正仿宋_GB2312" w:cs="方正仿宋_GB2312"/>
          <w:spacing w:val="6"/>
          <w:sz w:val="32"/>
          <w:szCs w:val="32"/>
          <w:highlight w:val="none"/>
        </w:rPr>
        <w:t>负面清单管理要求，以及外商投资安全审查有关规定。</w:t>
      </w:r>
    </w:p>
    <w:p w14:paraId="1045213E">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4"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6"/>
          <w:sz w:val="32"/>
          <w:szCs w:val="32"/>
          <w:highlight w:val="none"/>
        </w:rPr>
        <w:t>企业产权转让导致国有股东持有上市公司股份间接转让的</w:t>
      </w:r>
      <w:r>
        <w:rPr>
          <w:rFonts w:hint="eastAsia" w:ascii="方正仿宋_GB2312" w:hAnsi="方正仿宋_GB2312" w:eastAsia="方正仿宋_GB2312" w:cs="方正仿宋_GB2312"/>
          <w:spacing w:val="6"/>
          <w:sz w:val="32"/>
          <w:szCs w:val="32"/>
          <w:highlight w:val="none"/>
          <w:lang w:eastAsia="zh-CN"/>
        </w:rPr>
        <w:t>，</w:t>
      </w:r>
      <w:r>
        <w:rPr>
          <w:rFonts w:hint="eastAsia" w:ascii="方正仿宋_GB2312" w:hAnsi="方正仿宋_GB2312" w:eastAsia="方正仿宋_GB2312" w:cs="方正仿宋_GB2312"/>
          <w:spacing w:val="7"/>
          <w:sz w:val="32"/>
          <w:szCs w:val="32"/>
          <w:highlight w:val="none"/>
        </w:rPr>
        <w:t>应当同时遵守上市公司国有股权管理以及证券监管相关规定。</w:t>
      </w:r>
    </w:p>
    <w:p w14:paraId="0913818F">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第三十一条</w:t>
      </w:r>
      <w:r>
        <w:rPr>
          <w:rFonts w:hint="eastAsia" w:ascii="方正仿宋_GB2312" w:hAnsi="方正仿宋_GB2312" w:eastAsia="方正仿宋_GB2312" w:cs="方正仿宋_GB2312"/>
          <w:spacing w:val="127"/>
          <w:sz w:val="32"/>
          <w:szCs w:val="32"/>
          <w:highlight w:val="none"/>
        </w:rPr>
        <w:t xml:space="preserve"> </w:t>
      </w:r>
      <w:r>
        <w:rPr>
          <w:rFonts w:hint="eastAsia" w:ascii="方正仿宋_GB2312" w:hAnsi="方正仿宋_GB2312" w:eastAsia="方正仿宋_GB2312" w:cs="方正仿宋_GB2312"/>
          <w:spacing w:val="5"/>
          <w:sz w:val="32"/>
          <w:szCs w:val="32"/>
          <w:highlight w:val="none"/>
        </w:rPr>
        <w:t>交易价款应当以人民币计价，通过产权交易机</w:t>
      </w:r>
      <w:r>
        <w:rPr>
          <w:rFonts w:hint="eastAsia" w:ascii="方正仿宋_GB2312" w:hAnsi="方正仿宋_GB2312" w:eastAsia="方正仿宋_GB2312" w:cs="方正仿宋_GB2312"/>
          <w:spacing w:val="6"/>
          <w:sz w:val="32"/>
          <w:szCs w:val="32"/>
          <w:highlight w:val="none"/>
        </w:rPr>
        <w:t>构以货币进行结算。因特殊情况不能通过产权交易机构结算的</w:t>
      </w:r>
      <w:r>
        <w:rPr>
          <w:rFonts w:hint="eastAsia" w:ascii="方正仿宋_GB2312" w:hAnsi="方正仿宋_GB2312" w:eastAsia="方正仿宋_GB2312" w:cs="方正仿宋_GB2312"/>
          <w:spacing w:val="6"/>
          <w:sz w:val="32"/>
          <w:szCs w:val="32"/>
          <w:highlight w:val="none"/>
          <w:lang w:eastAsia="zh-CN"/>
        </w:rPr>
        <w:t>，</w:t>
      </w:r>
      <w:r>
        <w:rPr>
          <w:rFonts w:hint="eastAsia" w:ascii="方正仿宋_GB2312" w:hAnsi="方正仿宋_GB2312" w:eastAsia="方正仿宋_GB2312" w:cs="方正仿宋_GB2312"/>
          <w:spacing w:val="17"/>
          <w:sz w:val="32"/>
          <w:szCs w:val="32"/>
          <w:highlight w:val="none"/>
        </w:rPr>
        <w:t>转让方应当向产权交易机构提供转让行为批准单位的书面</w:t>
      </w:r>
      <w:r>
        <w:rPr>
          <w:rFonts w:hint="eastAsia" w:ascii="方正仿宋_GB2312" w:hAnsi="方正仿宋_GB2312" w:eastAsia="方正仿宋_GB2312" w:cs="方正仿宋_GB2312"/>
          <w:spacing w:val="16"/>
          <w:sz w:val="32"/>
          <w:szCs w:val="32"/>
          <w:highlight w:val="none"/>
        </w:rPr>
        <w:t>意见</w:t>
      </w:r>
      <w:r>
        <w:rPr>
          <w:rFonts w:hint="eastAsia" w:ascii="方正仿宋_GB2312" w:hAnsi="方正仿宋_GB2312" w:eastAsia="方正仿宋_GB2312" w:cs="方正仿宋_GB2312"/>
          <w:spacing w:val="4"/>
          <w:sz w:val="32"/>
          <w:szCs w:val="32"/>
          <w:highlight w:val="none"/>
        </w:rPr>
        <w:t>以及受让方付款凭证。</w:t>
      </w:r>
    </w:p>
    <w:p w14:paraId="4EDD5DC1">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第三十二条</w:t>
      </w:r>
      <w:r>
        <w:rPr>
          <w:rFonts w:hint="eastAsia" w:ascii="方正仿宋_GB2312" w:hAnsi="方正仿宋_GB2312" w:eastAsia="方正仿宋_GB2312" w:cs="方正仿宋_GB2312"/>
          <w:spacing w:val="127"/>
          <w:sz w:val="32"/>
          <w:szCs w:val="32"/>
          <w:highlight w:val="none"/>
        </w:rPr>
        <w:t xml:space="preserve"> </w:t>
      </w:r>
      <w:r>
        <w:rPr>
          <w:rFonts w:hint="eastAsia" w:ascii="方正仿宋_GB2312" w:hAnsi="方正仿宋_GB2312" w:eastAsia="方正仿宋_GB2312" w:cs="方正仿宋_GB2312"/>
          <w:spacing w:val="6"/>
          <w:sz w:val="32"/>
          <w:szCs w:val="32"/>
          <w:highlight w:val="none"/>
        </w:rPr>
        <w:t>交易价款原则上应当自合同生效之日起</w:t>
      </w:r>
      <w:r>
        <w:rPr>
          <w:rFonts w:hint="eastAsia" w:ascii="方正仿宋_GB2312" w:hAnsi="方正仿宋_GB2312" w:eastAsia="方正仿宋_GB2312" w:cs="方正仿宋_GB2312"/>
          <w:spacing w:val="5"/>
          <w:sz w:val="32"/>
          <w:szCs w:val="32"/>
          <w:highlight w:val="none"/>
        </w:rPr>
        <w:t>5个工</w:t>
      </w:r>
      <w:r>
        <w:rPr>
          <w:rFonts w:hint="eastAsia" w:ascii="方正仿宋_GB2312" w:hAnsi="方正仿宋_GB2312" w:eastAsia="方正仿宋_GB2312" w:cs="方正仿宋_GB2312"/>
          <w:sz w:val="32"/>
          <w:szCs w:val="32"/>
          <w:highlight w:val="none"/>
        </w:rPr>
        <w:t>作日内一次付清。</w:t>
      </w:r>
      <w:r>
        <w:rPr>
          <w:rFonts w:hint="eastAsia" w:ascii="方正仿宋_GB2312" w:hAnsi="方正仿宋_GB2312" w:eastAsia="方正仿宋_GB2312" w:cs="方正仿宋_GB2312"/>
          <w:spacing w:val="4"/>
          <w:sz w:val="32"/>
          <w:szCs w:val="32"/>
          <w:highlight w:val="none"/>
        </w:rPr>
        <w:t>金额较大、一次付清确有困难的，可以采取分期付款方</w:t>
      </w:r>
      <w:r>
        <w:rPr>
          <w:rFonts w:hint="eastAsia" w:ascii="方正仿宋_GB2312" w:hAnsi="方正仿宋_GB2312" w:eastAsia="方正仿宋_GB2312" w:cs="方正仿宋_GB2312"/>
          <w:spacing w:val="3"/>
          <w:sz w:val="32"/>
          <w:szCs w:val="32"/>
          <w:highlight w:val="none"/>
        </w:rPr>
        <w:t>式</w:t>
      </w:r>
      <w:r>
        <w:rPr>
          <w:rFonts w:hint="eastAsia" w:ascii="方正仿宋_GB2312" w:hAnsi="方正仿宋_GB2312" w:eastAsia="方正仿宋_GB2312" w:cs="方正仿宋_GB2312"/>
          <w:spacing w:val="3"/>
          <w:sz w:val="32"/>
          <w:szCs w:val="32"/>
          <w:highlight w:val="none"/>
          <w:lang w:eastAsia="zh-CN"/>
        </w:rPr>
        <w:t>。</w:t>
      </w:r>
      <w:r>
        <w:rPr>
          <w:rFonts w:hint="eastAsia" w:ascii="方正仿宋_GB2312" w:hAnsi="方正仿宋_GB2312" w:eastAsia="方正仿宋_GB2312" w:cs="方正仿宋_GB2312"/>
          <w:spacing w:val="7"/>
          <w:sz w:val="32"/>
          <w:szCs w:val="32"/>
          <w:highlight w:val="none"/>
        </w:rPr>
        <w:t>采用分期付款方式的，首期付款不得低于总价款的30%，并在合</w:t>
      </w:r>
      <w:r>
        <w:rPr>
          <w:rFonts w:hint="eastAsia" w:ascii="方正仿宋_GB2312" w:hAnsi="方正仿宋_GB2312" w:eastAsia="方正仿宋_GB2312" w:cs="方正仿宋_GB2312"/>
          <w:spacing w:val="4"/>
          <w:sz w:val="32"/>
          <w:szCs w:val="32"/>
          <w:highlight w:val="none"/>
        </w:rPr>
        <w:t>同生效之日起5个工作日内支付；其余款项应当提供转让方认可</w:t>
      </w:r>
      <w:r>
        <w:rPr>
          <w:rFonts w:hint="eastAsia" w:ascii="方正仿宋_GB2312" w:hAnsi="方正仿宋_GB2312" w:eastAsia="方正仿宋_GB2312" w:cs="方正仿宋_GB2312"/>
          <w:spacing w:val="5"/>
          <w:sz w:val="32"/>
          <w:szCs w:val="32"/>
          <w:highlight w:val="none"/>
        </w:rPr>
        <w:t>的合法有效担保，并按同期银行贷款利率支付延期付款期间的利</w:t>
      </w:r>
      <w:r>
        <w:rPr>
          <w:rFonts w:hint="eastAsia" w:ascii="方正仿宋_GB2312" w:hAnsi="方正仿宋_GB2312" w:eastAsia="方正仿宋_GB2312" w:cs="方正仿宋_GB2312"/>
          <w:spacing w:val="1"/>
          <w:sz w:val="32"/>
          <w:szCs w:val="32"/>
          <w:highlight w:val="none"/>
        </w:rPr>
        <w:t>息，付款期限不得超过1年。</w:t>
      </w:r>
    </w:p>
    <w:p w14:paraId="074B2930">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5"/>
          <w:sz w:val="32"/>
          <w:szCs w:val="32"/>
          <w:highlight w:val="none"/>
        </w:rPr>
        <w:t>产权交易合同生效，并且受让方按照合同约定支付交</w:t>
      </w:r>
      <w:r>
        <w:rPr>
          <w:rFonts w:hint="eastAsia" w:ascii="方正仿宋_GB2312" w:hAnsi="方正仿宋_GB2312" w:eastAsia="方正仿宋_GB2312" w:cs="方正仿宋_GB2312"/>
          <w:spacing w:val="4"/>
          <w:sz w:val="32"/>
          <w:szCs w:val="32"/>
          <w:highlight w:val="none"/>
        </w:rPr>
        <w:t>易价款</w:t>
      </w:r>
      <w:r>
        <w:rPr>
          <w:rFonts w:hint="eastAsia" w:ascii="方正仿宋_GB2312" w:hAnsi="方正仿宋_GB2312" w:eastAsia="方正仿宋_GB2312" w:cs="方正仿宋_GB2312"/>
          <w:spacing w:val="7"/>
          <w:sz w:val="32"/>
          <w:szCs w:val="32"/>
          <w:highlight w:val="none"/>
        </w:rPr>
        <w:t>后，产权交易机构应当及时为交易双方出具交易凭证。</w:t>
      </w:r>
    </w:p>
    <w:p w14:paraId="58360863">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napToGrid w:val="0"/>
          <w:color w:val="000000"/>
          <w:spacing w:val="5"/>
          <w:kern w:val="0"/>
          <w:sz w:val="32"/>
          <w:szCs w:val="32"/>
          <w:highlight w:val="none"/>
          <w:lang w:val="en-US" w:eastAsia="zh-CN" w:bidi="ar-SA"/>
        </w:rPr>
        <w:t>第三十三条</w:t>
      </w:r>
      <w:r>
        <w:rPr>
          <w:rFonts w:hint="eastAsia" w:ascii="方正仿宋_GB2312" w:hAnsi="方正仿宋_GB2312" w:eastAsia="方正仿宋_GB2312" w:cs="方正仿宋_GB2312"/>
          <w:spacing w:val="127"/>
          <w:sz w:val="32"/>
          <w:szCs w:val="32"/>
          <w:highlight w:val="none"/>
        </w:rPr>
        <w:t xml:space="preserve"> </w:t>
      </w:r>
      <w:r>
        <w:rPr>
          <w:rFonts w:hint="eastAsia" w:ascii="方正仿宋_GB2312" w:hAnsi="方正仿宋_GB2312" w:eastAsia="方正仿宋_GB2312" w:cs="方正仿宋_GB2312"/>
          <w:spacing w:val="5"/>
          <w:sz w:val="32"/>
          <w:szCs w:val="32"/>
          <w:highlight w:val="none"/>
        </w:rPr>
        <w:t>产权交易合同生效后，产权交易机构应当将交</w:t>
      </w:r>
      <w:r>
        <w:rPr>
          <w:rFonts w:hint="eastAsia" w:ascii="方正仿宋_GB2312" w:hAnsi="方正仿宋_GB2312" w:eastAsia="方正仿宋_GB2312" w:cs="方正仿宋_GB2312"/>
          <w:spacing w:val="16"/>
          <w:sz w:val="32"/>
          <w:szCs w:val="32"/>
          <w:highlight w:val="none"/>
        </w:rPr>
        <w:t>易结果通过交易机构网站对外公告，公告内容包括交易标的名</w:t>
      </w:r>
      <w:r>
        <w:rPr>
          <w:rFonts w:hint="eastAsia" w:ascii="方正仿宋_GB2312" w:hAnsi="方正仿宋_GB2312" w:eastAsia="方正仿宋_GB2312" w:cs="方正仿宋_GB2312"/>
          <w:spacing w:val="7"/>
          <w:sz w:val="32"/>
          <w:szCs w:val="32"/>
          <w:highlight w:val="none"/>
        </w:rPr>
        <w:t>称、转让标的评估结果、转让底价、交易价格，公告期不少于5</w:t>
      </w:r>
      <w:r>
        <w:rPr>
          <w:rFonts w:hint="eastAsia" w:ascii="方正仿宋_GB2312" w:hAnsi="方正仿宋_GB2312" w:eastAsia="方正仿宋_GB2312" w:cs="方正仿宋_GB2312"/>
          <w:spacing w:val="4"/>
          <w:sz w:val="32"/>
          <w:szCs w:val="32"/>
          <w:highlight w:val="none"/>
        </w:rPr>
        <w:t>个工作日。</w:t>
      </w:r>
    </w:p>
    <w:p w14:paraId="653FA485">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第三十四条</w:t>
      </w:r>
      <w:r>
        <w:rPr>
          <w:rFonts w:hint="eastAsia" w:ascii="方正仿宋_GB2312" w:hAnsi="方正仿宋_GB2312" w:eastAsia="方正仿宋_GB2312" w:cs="方正仿宋_GB2312"/>
          <w:spacing w:val="125"/>
          <w:sz w:val="32"/>
          <w:szCs w:val="32"/>
          <w:highlight w:val="none"/>
        </w:rPr>
        <w:t xml:space="preserve"> </w:t>
      </w:r>
      <w:r>
        <w:rPr>
          <w:rFonts w:hint="eastAsia" w:ascii="方正仿宋_GB2312" w:hAnsi="方正仿宋_GB2312" w:eastAsia="方正仿宋_GB2312" w:cs="方正仿宋_GB2312"/>
          <w:spacing w:val="15"/>
          <w:sz w:val="32"/>
          <w:szCs w:val="32"/>
          <w:highlight w:val="none"/>
        </w:rPr>
        <w:t>以下情形的产权转让可以采取非公开协议转</w:t>
      </w:r>
      <w:r>
        <w:rPr>
          <w:rFonts w:hint="eastAsia" w:ascii="方正仿宋_GB2312" w:hAnsi="方正仿宋_GB2312" w:eastAsia="方正仿宋_GB2312" w:cs="方正仿宋_GB2312"/>
          <w:spacing w:val="-11"/>
          <w:sz w:val="32"/>
          <w:szCs w:val="32"/>
          <w:highlight w:val="none"/>
        </w:rPr>
        <w:t>让方式：</w:t>
      </w:r>
    </w:p>
    <w:p w14:paraId="07652646">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5"/>
          <w:sz w:val="32"/>
          <w:szCs w:val="32"/>
          <w:highlight w:val="none"/>
        </w:rPr>
        <w:t>（一）涉及主业处于关系国家安全、国民经济命脉的重要行业和关键领域企业的重组整合，对受让方有特殊要求，企业产权需要在国有及国有控股企业之间转让的，经</w:t>
      </w:r>
      <w:r>
        <w:rPr>
          <w:rFonts w:hint="eastAsia" w:ascii="方正仿宋_GB2312" w:hAnsi="方正仿宋_GB2312" w:eastAsia="方正仿宋_GB2312" w:cs="方正仿宋_GB2312"/>
          <w:spacing w:val="5"/>
          <w:sz w:val="32"/>
          <w:szCs w:val="32"/>
          <w:highlight w:val="none"/>
          <w:lang w:eastAsia="zh-CN"/>
        </w:rPr>
        <w:t>区国资办</w:t>
      </w:r>
      <w:r>
        <w:rPr>
          <w:rFonts w:hint="eastAsia" w:ascii="方正仿宋_GB2312" w:hAnsi="方正仿宋_GB2312" w:eastAsia="方正仿宋_GB2312" w:cs="方正仿宋_GB2312"/>
          <w:spacing w:val="5"/>
          <w:sz w:val="32"/>
          <w:szCs w:val="32"/>
          <w:highlight w:val="none"/>
        </w:rPr>
        <w:t>批准</w:t>
      </w:r>
      <w:r>
        <w:rPr>
          <w:rFonts w:hint="eastAsia" w:ascii="方正仿宋_GB2312" w:hAnsi="方正仿宋_GB2312" w:eastAsia="方正仿宋_GB2312" w:cs="方正仿宋_GB2312"/>
          <w:spacing w:val="5"/>
          <w:sz w:val="32"/>
          <w:szCs w:val="32"/>
          <w:highlight w:val="none"/>
          <w:lang w:eastAsia="zh-CN"/>
        </w:rPr>
        <w:t>，</w:t>
      </w:r>
      <w:r>
        <w:rPr>
          <w:rFonts w:hint="eastAsia" w:ascii="方正仿宋_GB2312" w:hAnsi="方正仿宋_GB2312" w:eastAsia="方正仿宋_GB2312" w:cs="方正仿宋_GB2312"/>
          <w:spacing w:val="5"/>
          <w:sz w:val="32"/>
          <w:szCs w:val="32"/>
          <w:highlight w:val="none"/>
        </w:rPr>
        <w:t>可以</w:t>
      </w:r>
      <w:r>
        <w:rPr>
          <w:rFonts w:hint="eastAsia" w:ascii="方正仿宋_GB2312" w:hAnsi="方正仿宋_GB2312" w:eastAsia="方正仿宋_GB2312" w:cs="方正仿宋_GB2312"/>
          <w:spacing w:val="7"/>
          <w:sz w:val="32"/>
          <w:szCs w:val="32"/>
          <w:highlight w:val="none"/>
        </w:rPr>
        <w:t>采取非公开协议转让方式。</w:t>
      </w:r>
    </w:p>
    <w:p w14:paraId="66114FD0">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5"/>
          <w:sz w:val="32"/>
          <w:szCs w:val="32"/>
          <w:highlight w:val="none"/>
        </w:rPr>
        <w:t>（二）同一</w:t>
      </w:r>
      <w:r>
        <w:rPr>
          <w:rFonts w:hint="eastAsia" w:ascii="方正仿宋_GB2312" w:hAnsi="方正仿宋_GB2312" w:eastAsia="方正仿宋_GB2312" w:cs="方正仿宋_GB2312"/>
          <w:spacing w:val="5"/>
          <w:sz w:val="32"/>
          <w:szCs w:val="32"/>
          <w:highlight w:val="none"/>
          <w:lang w:eastAsia="zh-CN"/>
        </w:rPr>
        <w:t>区属</w:t>
      </w:r>
      <w:r>
        <w:rPr>
          <w:rFonts w:hint="eastAsia" w:ascii="方正仿宋_GB2312" w:hAnsi="方正仿宋_GB2312" w:eastAsia="方正仿宋_GB2312" w:cs="方正仿宋_GB2312"/>
          <w:spacing w:val="5"/>
          <w:sz w:val="32"/>
          <w:szCs w:val="32"/>
          <w:highlight w:val="none"/>
        </w:rPr>
        <w:t>国有企业及其各级控股企业或实际控制企业之间因实施内部重组整合进行产权转让的，经该</w:t>
      </w:r>
      <w:r>
        <w:rPr>
          <w:rFonts w:hint="eastAsia" w:ascii="方正仿宋_GB2312" w:hAnsi="方正仿宋_GB2312" w:eastAsia="方正仿宋_GB2312" w:cs="方正仿宋_GB2312"/>
          <w:spacing w:val="5"/>
          <w:sz w:val="32"/>
          <w:szCs w:val="32"/>
          <w:highlight w:val="none"/>
          <w:lang w:eastAsia="zh-CN"/>
        </w:rPr>
        <w:t>区属</w:t>
      </w:r>
      <w:r>
        <w:rPr>
          <w:rFonts w:hint="eastAsia" w:ascii="方正仿宋_GB2312" w:hAnsi="方正仿宋_GB2312" w:eastAsia="方正仿宋_GB2312" w:cs="方正仿宋_GB2312"/>
          <w:spacing w:val="5"/>
          <w:sz w:val="32"/>
          <w:szCs w:val="32"/>
          <w:highlight w:val="none"/>
        </w:rPr>
        <w:t>国有企业审</w:t>
      </w:r>
      <w:r>
        <w:rPr>
          <w:rFonts w:hint="eastAsia" w:ascii="方正仿宋_GB2312" w:hAnsi="方正仿宋_GB2312" w:eastAsia="方正仿宋_GB2312" w:cs="方正仿宋_GB2312"/>
          <w:spacing w:val="6"/>
          <w:sz w:val="32"/>
          <w:szCs w:val="32"/>
          <w:highlight w:val="none"/>
        </w:rPr>
        <w:t>议决策，可以采取非公开协议转让方式。</w:t>
      </w:r>
    </w:p>
    <w:p w14:paraId="533DB7E0">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第三十五条</w:t>
      </w:r>
      <w:r>
        <w:rPr>
          <w:rFonts w:hint="eastAsia" w:ascii="方正仿宋_GB2312" w:hAnsi="方正仿宋_GB2312" w:eastAsia="方正仿宋_GB2312" w:cs="方正仿宋_GB2312"/>
          <w:spacing w:val="124"/>
          <w:sz w:val="32"/>
          <w:szCs w:val="32"/>
          <w:highlight w:val="none"/>
        </w:rPr>
        <w:t xml:space="preserve"> </w:t>
      </w:r>
      <w:r>
        <w:rPr>
          <w:rFonts w:hint="eastAsia" w:ascii="方正仿宋_GB2312" w:hAnsi="方正仿宋_GB2312" w:eastAsia="方正仿宋_GB2312" w:cs="方正仿宋_GB2312"/>
          <w:spacing w:val="5"/>
          <w:sz w:val="32"/>
          <w:szCs w:val="32"/>
          <w:highlight w:val="none"/>
        </w:rPr>
        <w:t>采取非公开协议转让方式转让企业产权，转让</w:t>
      </w:r>
      <w:r>
        <w:rPr>
          <w:rFonts w:hint="eastAsia" w:ascii="方正仿宋_GB2312" w:hAnsi="方正仿宋_GB2312" w:eastAsia="方正仿宋_GB2312" w:cs="方正仿宋_GB2312"/>
          <w:spacing w:val="6"/>
          <w:sz w:val="32"/>
          <w:szCs w:val="32"/>
          <w:highlight w:val="none"/>
        </w:rPr>
        <w:t>价格不得低于经核准或备案的评估结果。</w:t>
      </w:r>
    </w:p>
    <w:p w14:paraId="79787BD2">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2"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3"/>
          <w:sz w:val="32"/>
          <w:szCs w:val="32"/>
          <w:highlight w:val="none"/>
        </w:rPr>
        <w:t>以下情形按照《中华人民共和国公司法》、企业章程履行决</w:t>
      </w:r>
      <w:r>
        <w:rPr>
          <w:rFonts w:hint="eastAsia" w:ascii="方正仿宋_GB2312" w:hAnsi="方正仿宋_GB2312" w:eastAsia="方正仿宋_GB2312" w:cs="方正仿宋_GB2312"/>
          <w:spacing w:val="5"/>
          <w:sz w:val="32"/>
          <w:szCs w:val="32"/>
          <w:highlight w:val="none"/>
        </w:rPr>
        <w:t>策程序后，转让价格可以资产评估报告或最近一期审计报告确认</w:t>
      </w:r>
      <w:r>
        <w:rPr>
          <w:rFonts w:hint="eastAsia" w:ascii="方正仿宋_GB2312" w:hAnsi="方正仿宋_GB2312" w:eastAsia="方正仿宋_GB2312" w:cs="方正仿宋_GB2312"/>
          <w:spacing w:val="6"/>
          <w:sz w:val="32"/>
          <w:szCs w:val="32"/>
          <w:highlight w:val="none"/>
        </w:rPr>
        <w:t>的净资产值为基础确定，且不得低于经评估或审计的净资产</w:t>
      </w:r>
      <w:r>
        <w:rPr>
          <w:rFonts w:hint="eastAsia" w:ascii="方正仿宋_GB2312" w:hAnsi="方正仿宋_GB2312" w:eastAsia="方正仿宋_GB2312" w:cs="方正仿宋_GB2312"/>
          <w:spacing w:val="5"/>
          <w:sz w:val="32"/>
          <w:szCs w:val="32"/>
          <w:highlight w:val="none"/>
        </w:rPr>
        <w:t>值：</w:t>
      </w:r>
    </w:p>
    <w:p w14:paraId="2AAF4D57">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5"/>
          <w:sz w:val="32"/>
          <w:szCs w:val="32"/>
          <w:highlight w:val="none"/>
        </w:rPr>
        <w:t>（一）同一</w:t>
      </w:r>
      <w:r>
        <w:rPr>
          <w:rFonts w:hint="eastAsia" w:ascii="方正仿宋_GB2312" w:hAnsi="方正仿宋_GB2312" w:eastAsia="方正仿宋_GB2312" w:cs="方正仿宋_GB2312"/>
          <w:spacing w:val="5"/>
          <w:sz w:val="32"/>
          <w:szCs w:val="32"/>
          <w:highlight w:val="none"/>
          <w:lang w:eastAsia="zh-CN"/>
        </w:rPr>
        <w:t>区属</w:t>
      </w:r>
      <w:r>
        <w:rPr>
          <w:rFonts w:hint="eastAsia" w:ascii="方正仿宋_GB2312" w:hAnsi="方正仿宋_GB2312" w:eastAsia="方正仿宋_GB2312" w:cs="方正仿宋_GB2312"/>
          <w:spacing w:val="5"/>
          <w:sz w:val="32"/>
          <w:szCs w:val="32"/>
          <w:highlight w:val="none"/>
        </w:rPr>
        <w:t>国有企业内部实施重组整合，转让方和受让</w:t>
      </w:r>
      <w:r>
        <w:rPr>
          <w:rFonts w:hint="eastAsia" w:ascii="方正仿宋_GB2312" w:hAnsi="方正仿宋_GB2312" w:eastAsia="方正仿宋_GB2312" w:cs="方正仿宋_GB2312"/>
          <w:spacing w:val="6"/>
          <w:sz w:val="32"/>
          <w:szCs w:val="32"/>
          <w:highlight w:val="none"/>
        </w:rPr>
        <w:t>方为该</w:t>
      </w:r>
      <w:r>
        <w:rPr>
          <w:rFonts w:hint="eastAsia" w:ascii="方正仿宋_GB2312" w:hAnsi="方正仿宋_GB2312" w:eastAsia="方正仿宋_GB2312" w:cs="方正仿宋_GB2312"/>
          <w:spacing w:val="6"/>
          <w:sz w:val="32"/>
          <w:szCs w:val="32"/>
          <w:highlight w:val="none"/>
          <w:lang w:eastAsia="zh-CN"/>
        </w:rPr>
        <w:t>区属</w:t>
      </w:r>
      <w:r>
        <w:rPr>
          <w:rFonts w:hint="eastAsia" w:ascii="方正仿宋_GB2312" w:hAnsi="方正仿宋_GB2312" w:eastAsia="方正仿宋_GB2312" w:cs="方正仿宋_GB2312"/>
          <w:spacing w:val="6"/>
          <w:sz w:val="32"/>
          <w:szCs w:val="32"/>
          <w:highlight w:val="none"/>
        </w:rPr>
        <w:t>国有企业及其直接或间接全资拥有的子企业；</w:t>
      </w:r>
    </w:p>
    <w:p w14:paraId="070E2513">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pacing w:val="4"/>
          <w:sz w:val="32"/>
          <w:szCs w:val="32"/>
          <w:highlight w:val="none"/>
        </w:rPr>
      </w:pPr>
      <w:r>
        <w:rPr>
          <w:rFonts w:hint="eastAsia" w:ascii="方正仿宋_GB2312" w:hAnsi="方正仿宋_GB2312" w:eastAsia="方正仿宋_GB2312" w:cs="方正仿宋_GB2312"/>
          <w:spacing w:val="5"/>
          <w:sz w:val="32"/>
          <w:szCs w:val="32"/>
          <w:highlight w:val="none"/>
        </w:rPr>
        <w:t>（二）同一国有控股企业或国有实际控制企业内部实施重组整合，转让方和受让方为该国有控股企业或国有实际控制企业及</w:t>
      </w:r>
      <w:r>
        <w:rPr>
          <w:rFonts w:hint="eastAsia" w:ascii="方正仿宋_GB2312" w:hAnsi="方正仿宋_GB2312" w:eastAsia="方正仿宋_GB2312" w:cs="方正仿宋_GB2312"/>
          <w:spacing w:val="4"/>
          <w:sz w:val="32"/>
          <w:szCs w:val="32"/>
          <w:highlight w:val="none"/>
        </w:rPr>
        <w:t>其直接、间接全资拥有的子企业。</w:t>
      </w:r>
    </w:p>
    <w:p w14:paraId="53DD8D64">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第三十六条</w:t>
      </w:r>
      <w:r>
        <w:rPr>
          <w:rFonts w:hint="eastAsia" w:ascii="方正仿宋_GB2312" w:hAnsi="方正仿宋_GB2312" w:eastAsia="方正仿宋_GB2312" w:cs="方正仿宋_GB2312"/>
          <w:spacing w:val="125"/>
          <w:sz w:val="32"/>
          <w:szCs w:val="32"/>
          <w:highlight w:val="none"/>
        </w:rPr>
        <w:t xml:space="preserve"> </w:t>
      </w:r>
      <w:r>
        <w:rPr>
          <w:rFonts w:hint="eastAsia" w:ascii="方正仿宋_GB2312" w:hAnsi="方正仿宋_GB2312" w:eastAsia="方正仿宋_GB2312" w:cs="方正仿宋_GB2312"/>
          <w:spacing w:val="5"/>
          <w:sz w:val="32"/>
          <w:szCs w:val="32"/>
          <w:highlight w:val="none"/>
        </w:rPr>
        <w:t>对采取非公开协议方式的企业产权转让行为</w:t>
      </w:r>
      <w:r>
        <w:rPr>
          <w:rFonts w:hint="eastAsia" w:ascii="方正仿宋_GB2312" w:hAnsi="方正仿宋_GB2312" w:eastAsia="方正仿宋_GB2312" w:cs="方正仿宋_GB2312"/>
          <w:spacing w:val="5"/>
          <w:sz w:val="32"/>
          <w:szCs w:val="32"/>
          <w:highlight w:val="none"/>
          <w:lang w:eastAsia="zh-CN"/>
        </w:rPr>
        <w:t>，区国资办</w:t>
      </w:r>
      <w:r>
        <w:rPr>
          <w:rFonts w:hint="eastAsia" w:ascii="方正仿宋_GB2312" w:hAnsi="方正仿宋_GB2312" w:eastAsia="方正仿宋_GB2312" w:cs="方正仿宋_GB2312"/>
          <w:spacing w:val="7"/>
          <w:sz w:val="32"/>
          <w:szCs w:val="32"/>
          <w:highlight w:val="none"/>
        </w:rPr>
        <w:t>、</w:t>
      </w:r>
      <w:r>
        <w:rPr>
          <w:rFonts w:hint="eastAsia" w:ascii="方正仿宋_GB2312" w:hAnsi="方正仿宋_GB2312" w:eastAsia="方正仿宋_GB2312" w:cs="方正仿宋_GB2312"/>
          <w:spacing w:val="7"/>
          <w:sz w:val="32"/>
          <w:szCs w:val="32"/>
          <w:highlight w:val="none"/>
          <w:lang w:eastAsia="zh-CN"/>
        </w:rPr>
        <w:t>区属</w:t>
      </w:r>
      <w:r>
        <w:rPr>
          <w:rFonts w:hint="eastAsia" w:ascii="方正仿宋_GB2312" w:hAnsi="方正仿宋_GB2312" w:eastAsia="方正仿宋_GB2312" w:cs="方正仿宋_GB2312"/>
          <w:spacing w:val="7"/>
          <w:sz w:val="32"/>
          <w:szCs w:val="32"/>
          <w:highlight w:val="none"/>
        </w:rPr>
        <w:t>国有企业应当审核下列文件：</w:t>
      </w:r>
    </w:p>
    <w:p w14:paraId="6B8C9A11">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4"/>
          <w:sz w:val="32"/>
          <w:szCs w:val="32"/>
          <w:highlight w:val="none"/>
        </w:rPr>
        <w:t>（一）产权转让的有关决议文件；</w:t>
      </w:r>
    </w:p>
    <w:p w14:paraId="6EB5CC3E">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4"/>
          <w:sz w:val="32"/>
          <w:szCs w:val="32"/>
          <w:highlight w:val="none"/>
        </w:rPr>
        <w:t>（二）产权转让方案；</w:t>
      </w:r>
    </w:p>
    <w:p w14:paraId="49349CC4">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5"/>
          <w:sz w:val="32"/>
          <w:szCs w:val="32"/>
          <w:highlight w:val="none"/>
        </w:rPr>
        <w:t>（三）采取非公开协议方式转让产权的必要性以及受让方情</w:t>
      </w:r>
      <w:r>
        <w:rPr>
          <w:rFonts w:hint="eastAsia" w:ascii="方正仿宋_GB2312" w:hAnsi="方正仿宋_GB2312" w:eastAsia="方正仿宋_GB2312" w:cs="方正仿宋_GB2312"/>
          <w:spacing w:val="-7"/>
          <w:sz w:val="32"/>
          <w:szCs w:val="32"/>
          <w:highlight w:val="none"/>
        </w:rPr>
        <w:t>况；</w:t>
      </w:r>
    </w:p>
    <w:p w14:paraId="52A28D30">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5"/>
          <w:sz w:val="32"/>
          <w:szCs w:val="32"/>
          <w:highlight w:val="none"/>
        </w:rPr>
        <w:t>（四）转让标的企业审计报告、资产评估报告及其</w:t>
      </w:r>
      <w:r>
        <w:rPr>
          <w:rFonts w:hint="eastAsia" w:ascii="方正仿宋_GB2312" w:hAnsi="方正仿宋_GB2312" w:eastAsia="方正仿宋_GB2312" w:cs="方正仿宋_GB2312"/>
          <w:spacing w:val="4"/>
          <w:sz w:val="32"/>
          <w:szCs w:val="32"/>
          <w:highlight w:val="none"/>
        </w:rPr>
        <w:t>核准或备</w:t>
      </w:r>
      <w:r>
        <w:rPr>
          <w:rFonts w:hint="eastAsia" w:ascii="方正仿宋_GB2312" w:hAnsi="方正仿宋_GB2312" w:eastAsia="方正仿宋_GB2312" w:cs="方正仿宋_GB2312"/>
          <w:spacing w:val="-9"/>
          <w:sz w:val="32"/>
          <w:szCs w:val="32"/>
          <w:highlight w:val="none"/>
        </w:rPr>
        <w:t>案文件。其中属于第</w:t>
      </w:r>
      <w:r>
        <w:rPr>
          <w:rFonts w:hint="eastAsia" w:ascii="方正仿宋_GB2312" w:hAnsi="方正仿宋_GB2312" w:eastAsia="方正仿宋_GB2312" w:cs="方正仿宋_GB2312"/>
          <w:spacing w:val="-9"/>
          <w:sz w:val="32"/>
          <w:szCs w:val="32"/>
          <w:highlight w:val="none"/>
          <w:lang w:eastAsia="zh-CN"/>
        </w:rPr>
        <w:t>三十五</w:t>
      </w:r>
      <w:r>
        <w:rPr>
          <w:rFonts w:hint="eastAsia" w:ascii="方正仿宋_GB2312" w:hAnsi="方正仿宋_GB2312" w:eastAsia="方正仿宋_GB2312" w:cs="方正仿宋_GB2312"/>
          <w:spacing w:val="-9"/>
          <w:sz w:val="32"/>
          <w:szCs w:val="32"/>
          <w:highlight w:val="none"/>
        </w:rPr>
        <w:t>条（一）、（二）款情</w:t>
      </w:r>
      <w:r>
        <w:rPr>
          <w:rFonts w:hint="eastAsia" w:ascii="方正仿宋_GB2312" w:hAnsi="方正仿宋_GB2312" w:eastAsia="方正仿宋_GB2312" w:cs="方正仿宋_GB2312"/>
          <w:spacing w:val="-10"/>
          <w:sz w:val="32"/>
          <w:szCs w:val="32"/>
          <w:highlight w:val="none"/>
        </w:rPr>
        <w:t>形的，可以仅提</w:t>
      </w:r>
      <w:r>
        <w:rPr>
          <w:rFonts w:hint="eastAsia" w:ascii="方正仿宋_GB2312" w:hAnsi="方正仿宋_GB2312" w:eastAsia="方正仿宋_GB2312" w:cs="方正仿宋_GB2312"/>
          <w:spacing w:val="-1"/>
          <w:sz w:val="32"/>
          <w:szCs w:val="32"/>
          <w:highlight w:val="none"/>
        </w:rPr>
        <w:t>供企业审计报告；</w:t>
      </w:r>
    </w:p>
    <w:p w14:paraId="6204E1B6">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4"/>
          <w:sz w:val="32"/>
          <w:szCs w:val="32"/>
          <w:highlight w:val="none"/>
        </w:rPr>
        <w:t>（五）产权转让协议；</w:t>
      </w:r>
    </w:p>
    <w:p w14:paraId="08E1BBC6">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5"/>
          <w:sz w:val="32"/>
          <w:szCs w:val="32"/>
          <w:highlight w:val="none"/>
        </w:rPr>
        <w:t>（六）转让方、受让方和转让标的企业的国家出</w:t>
      </w:r>
      <w:r>
        <w:rPr>
          <w:rFonts w:hint="eastAsia" w:ascii="方正仿宋_GB2312" w:hAnsi="方正仿宋_GB2312" w:eastAsia="方正仿宋_GB2312" w:cs="方正仿宋_GB2312"/>
          <w:spacing w:val="4"/>
          <w:sz w:val="32"/>
          <w:szCs w:val="32"/>
          <w:highlight w:val="none"/>
        </w:rPr>
        <w:t>资企业产权</w:t>
      </w:r>
      <w:r>
        <w:rPr>
          <w:rFonts w:hint="eastAsia" w:ascii="方正仿宋_GB2312" w:hAnsi="方正仿宋_GB2312" w:eastAsia="方正仿宋_GB2312" w:cs="方正仿宋_GB2312"/>
          <w:spacing w:val="-19"/>
          <w:sz w:val="32"/>
          <w:szCs w:val="32"/>
          <w:highlight w:val="none"/>
        </w:rPr>
        <w:t>登记表（证</w:t>
      </w:r>
      <w:r>
        <w:rPr>
          <w:rFonts w:hint="eastAsia" w:ascii="方正仿宋_GB2312" w:hAnsi="方正仿宋_GB2312" w:eastAsia="方正仿宋_GB2312" w:cs="方正仿宋_GB2312"/>
          <w:spacing w:val="-11"/>
          <w:sz w:val="32"/>
          <w:szCs w:val="32"/>
          <w:highlight w:val="none"/>
        </w:rPr>
        <w:t>）；</w:t>
      </w:r>
    </w:p>
    <w:p w14:paraId="4B6D4551">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72"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8"/>
          <w:sz w:val="32"/>
          <w:szCs w:val="32"/>
          <w:highlight w:val="none"/>
        </w:rPr>
        <w:t>（七）产权转让行为的法律意见书；</w:t>
      </w:r>
    </w:p>
    <w:p w14:paraId="6FB72E8A">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方正仿宋_GB2312" w:hAnsi="方正仿宋_GB2312" w:eastAsia="方正仿宋_GB2312" w:cs="方正仿宋_GB2312"/>
          <w:spacing w:val="4"/>
          <w:sz w:val="32"/>
          <w:szCs w:val="32"/>
          <w:highlight w:val="none"/>
        </w:rPr>
      </w:pPr>
      <w:r>
        <w:rPr>
          <w:rFonts w:hint="eastAsia" w:ascii="方正仿宋_GB2312" w:hAnsi="方正仿宋_GB2312" w:eastAsia="方正仿宋_GB2312" w:cs="方正仿宋_GB2312"/>
          <w:spacing w:val="4"/>
          <w:sz w:val="32"/>
          <w:szCs w:val="32"/>
          <w:highlight w:val="none"/>
        </w:rPr>
        <w:t>（八）其他必要的文件。</w:t>
      </w:r>
    </w:p>
    <w:p w14:paraId="39FEF424">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56" w:firstLineChars="200"/>
        <w:jc w:val="both"/>
        <w:textAlignment w:val="baseline"/>
        <w:rPr>
          <w:rFonts w:hint="eastAsia" w:ascii="方正仿宋_GB2312" w:hAnsi="方正仿宋_GB2312" w:eastAsia="方正仿宋_GB2312" w:cs="方正仿宋_GB2312"/>
          <w:spacing w:val="4"/>
          <w:sz w:val="32"/>
          <w:szCs w:val="32"/>
          <w:highlight w:val="none"/>
        </w:rPr>
      </w:pPr>
    </w:p>
    <w:p w14:paraId="01747F3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6" w:lineRule="exact"/>
        <w:ind w:left="0" w:right="0" w:firstLine="704" w:firstLineChars="200"/>
        <w:jc w:val="center"/>
        <w:textAlignment w:val="baseline"/>
        <w:rPr>
          <w:rFonts w:hint="eastAsia" w:ascii="黑体" w:hAnsi="黑体" w:eastAsia="黑体" w:cs="黑体"/>
          <w:spacing w:val="16"/>
          <w:sz w:val="32"/>
          <w:szCs w:val="32"/>
          <w:highlight w:val="none"/>
        </w:rPr>
      </w:pPr>
      <w:r>
        <w:rPr>
          <w:rFonts w:hint="eastAsia" w:ascii="黑体" w:hAnsi="黑体" w:eastAsia="黑体" w:cs="黑体"/>
          <w:spacing w:val="16"/>
          <w:sz w:val="32"/>
          <w:szCs w:val="32"/>
          <w:highlight w:val="none"/>
        </w:rPr>
        <w:t>企业产权</w:t>
      </w:r>
      <w:r>
        <w:rPr>
          <w:rFonts w:hint="eastAsia" w:ascii="黑体" w:hAnsi="黑体" w:eastAsia="黑体" w:cs="黑体"/>
          <w:spacing w:val="16"/>
          <w:sz w:val="32"/>
          <w:szCs w:val="32"/>
          <w:highlight w:val="none"/>
          <w:lang w:eastAsia="zh-CN"/>
        </w:rPr>
        <w:t>（</w:t>
      </w:r>
      <w:r>
        <w:rPr>
          <w:rFonts w:hint="eastAsia" w:ascii="黑体" w:hAnsi="黑体" w:eastAsia="黑体" w:cs="黑体"/>
          <w:spacing w:val="16"/>
          <w:sz w:val="32"/>
          <w:szCs w:val="32"/>
          <w:highlight w:val="none"/>
          <w:lang w:val="en-US" w:eastAsia="zh-CN"/>
        </w:rPr>
        <w:t>股权）</w:t>
      </w:r>
      <w:r>
        <w:rPr>
          <w:rFonts w:hint="eastAsia" w:ascii="黑体" w:hAnsi="黑体" w:eastAsia="黑体" w:cs="黑体"/>
          <w:spacing w:val="16"/>
          <w:sz w:val="32"/>
          <w:szCs w:val="32"/>
          <w:highlight w:val="none"/>
          <w:lang w:eastAsia="zh-CN"/>
        </w:rPr>
        <w:t>无偿划转管理</w:t>
      </w:r>
    </w:p>
    <w:p w14:paraId="382F2A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200" w:right="0" w:rightChars="0"/>
        <w:jc w:val="both"/>
        <w:textAlignment w:val="baseline"/>
        <w:rPr>
          <w:rFonts w:hint="eastAsia" w:ascii="黑体" w:hAnsi="黑体" w:eastAsia="黑体" w:cs="黑体"/>
          <w:spacing w:val="16"/>
          <w:sz w:val="32"/>
          <w:szCs w:val="32"/>
          <w:highlight w:val="none"/>
        </w:rPr>
      </w:pPr>
    </w:p>
    <w:p w14:paraId="6F0F6846">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第三十七条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国有全资企业之间或国有全资企业与国有独资企业、国有独资公司之间，经双方全体股东一致同意，其所持股权可以实施无偿划转。</w:t>
      </w:r>
    </w:p>
    <w:p w14:paraId="36BDD871">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第三十八条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国有独资公司作为划入或划出一方的，应当符合《公司法》的有关规定。国有独资企业产权拟无偿划转国有独资公司或国有一人公司持有的，企业应当依法改制为公司。</w:t>
      </w:r>
    </w:p>
    <w:p w14:paraId="4F78027B">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第三十九条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企业国有产权无偿划转遵循以下原则：</w:t>
      </w:r>
    </w:p>
    <w:p w14:paraId="767BA206">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（一）符合国家有关法律、法规和产业政策规定；</w:t>
      </w:r>
    </w:p>
    <w:p w14:paraId="120D5A62">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（二）符合国有经济布局和结构调整的需要；</w:t>
      </w:r>
    </w:p>
    <w:p w14:paraId="59C5A4DA">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（三）有利于优化产业结构、提高企业核心竞争力；</w:t>
      </w:r>
    </w:p>
    <w:p w14:paraId="4CD1A26A">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（四）划转双方协商一致。</w:t>
      </w:r>
    </w:p>
    <w:p w14:paraId="1A4EF1BA">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napToGrid w:val="0"/>
          <w:color w:val="000000"/>
          <w:kern w:val="0"/>
          <w:sz w:val="32"/>
          <w:szCs w:val="32"/>
          <w:highlight w:val="none"/>
          <w:lang w:val="en-US" w:eastAsia="zh-CN" w:bidi="ar"/>
        </w:rPr>
      </w:pPr>
      <w:r>
        <w:rPr>
          <w:rFonts w:hint="eastAsia" w:ascii="黑体" w:hAnsi="黑体" w:eastAsia="黑体" w:cs="黑体"/>
          <w:b w:val="0"/>
          <w:bCs w:val="0"/>
          <w:spacing w:val="5"/>
          <w:sz w:val="32"/>
          <w:szCs w:val="32"/>
          <w:highlight w:val="none"/>
          <w:lang w:val="en-US" w:eastAsia="zh-CN"/>
        </w:rPr>
        <w:t>第四十条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被划转企业国有产权的权属应当清晰。权属关系不明确或存在权属纠纷的企业国有产权不得进行无偿划转。被设置为担保物权的企业国有产权无偿划转，应当符合《中华人民共和国担保法》的有关规定。有限责任公司国有股权的划转，还应当遵循《公司法》的有关规定。</w:t>
      </w:r>
    </w:p>
    <w:p w14:paraId="7D0BF279">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第四十一条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企业国有产权无偿划转按以下权限审批。经批准后，划出方和划入方调整产权划转比例或者划转协议有重大变化的，应当按照规定程序重新报批。</w:t>
      </w:r>
    </w:p>
    <w:p w14:paraId="3812EBCC">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（一）企业国有产权在区属国有企业内部无偿划转的，由区属国有企业审批并抄报区国资办备案。</w:t>
      </w:r>
    </w:p>
    <w:p w14:paraId="25009AF3">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（二）企业国有产权在区属国有企业之间无偿划转的，报区国资办审批。</w:t>
      </w:r>
    </w:p>
    <w:p w14:paraId="34087C4F">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（三）企业国有产权在区级不同监管机构之间无偿划转的、</w:t>
      </w:r>
    </w:p>
    <w:p w14:paraId="0FB47961">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jc w:val="both"/>
        <w:textAlignment w:val="baseline"/>
        <w:rPr>
          <w:rFonts w:hint="eastAsia" w:ascii="方正仿宋_GB2312" w:hAnsi="方正仿宋_GB2312" w:eastAsia="方正仿宋_GB2312" w:cs="方正仿宋_GB2312"/>
          <w:snapToGrid w:val="0"/>
          <w:color w:val="000000"/>
          <w:kern w:val="0"/>
          <w:sz w:val="32"/>
          <w:szCs w:val="32"/>
          <w:highlight w:val="none"/>
          <w:lang w:val="en-US" w:eastAsia="zh-CN" w:bidi="ar"/>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企业国有产权跨省市区之间无偿划转的，由区国资办审核后报区政府审批。</w:t>
      </w:r>
    </w:p>
    <w:p w14:paraId="3A484C8A">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第四十二条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企业国有产权无偿划转的程序如下：</w:t>
      </w:r>
    </w:p>
    <w:p w14:paraId="3C04393E">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napToGrid w:val="0"/>
          <w:color w:val="000000"/>
          <w:kern w:val="0"/>
          <w:sz w:val="32"/>
          <w:szCs w:val="32"/>
          <w:highlight w:val="none"/>
          <w:lang w:val="en-US" w:eastAsia="zh-CN" w:bidi="ar"/>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企业国有产权无偿划转应当做好可行性研究。无偿划转可行性论证报告一般应当载明被划转企业所处行业情况、主业情况、财务状况及或有负债情况、人员情况和划入方对被划转企业的重组方案等。</w:t>
      </w:r>
    </w:p>
    <w:p w14:paraId="4A52D38C">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napToGrid w:val="0"/>
          <w:color w:val="000000"/>
          <w:kern w:val="0"/>
          <w:sz w:val="32"/>
          <w:szCs w:val="32"/>
          <w:highlight w:val="none"/>
          <w:lang w:val="en-US" w:eastAsia="zh-CN" w:bidi="ar"/>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在可行性研究的基础上，划转双方按照内部决策程序进行审议，并形成书面决议。</w:t>
      </w:r>
    </w:p>
    <w:p w14:paraId="2880FD8A">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pacing w:val="5"/>
          <w:sz w:val="32"/>
          <w:szCs w:val="32"/>
          <w:highlight w:val="none"/>
          <w:lang w:eastAsia="zh-CN"/>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（三）</w:t>
      </w:r>
      <w:r>
        <w:rPr>
          <w:rFonts w:hint="eastAsia" w:ascii="方正仿宋_GB2312" w:hAnsi="方正仿宋_GB2312" w:eastAsia="方正仿宋_GB2312" w:cs="方正仿宋_GB2312"/>
          <w:spacing w:val="6"/>
          <w:sz w:val="32"/>
          <w:szCs w:val="32"/>
          <w:highlight w:val="none"/>
        </w:rPr>
        <w:t>企业产权转让涉及职工安置事项的</w:t>
      </w:r>
      <w:r>
        <w:rPr>
          <w:rFonts w:hint="eastAsia" w:ascii="方正仿宋_GB2312" w:hAnsi="方正仿宋_GB2312" w:eastAsia="方正仿宋_GB2312" w:cs="方正仿宋_GB2312"/>
          <w:spacing w:val="6"/>
          <w:sz w:val="32"/>
          <w:szCs w:val="32"/>
          <w:highlight w:val="none"/>
          <w:lang w:eastAsia="zh-CN"/>
        </w:rPr>
        <w:t>，</w:t>
      </w:r>
      <w:r>
        <w:rPr>
          <w:rFonts w:hint="eastAsia" w:ascii="方正仿宋_GB2312" w:hAnsi="方正仿宋_GB2312" w:eastAsia="方正仿宋_GB2312" w:cs="方正仿宋_GB2312"/>
          <w:spacing w:val="5"/>
          <w:sz w:val="32"/>
          <w:szCs w:val="32"/>
          <w:highlight w:val="none"/>
        </w:rPr>
        <w:t>安置方案应当经职工代表大会或职工大会审议通过</w:t>
      </w:r>
      <w:r>
        <w:rPr>
          <w:rFonts w:hint="eastAsia" w:ascii="方正仿宋_GB2312" w:hAnsi="方正仿宋_GB2312" w:eastAsia="方正仿宋_GB2312" w:cs="方正仿宋_GB2312"/>
          <w:spacing w:val="5"/>
          <w:sz w:val="32"/>
          <w:szCs w:val="32"/>
          <w:highlight w:val="none"/>
          <w:lang w:eastAsia="zh-CN"/>
        </w:rPr>
        <w:t>；涉及债权债务处置事项的，应当符合国家相关法律法规的规定。</w:t>
      </w:r>
    </w:p>
    <w:p w14:paraId="19C6E89D">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（四）划转双方应当组织被划转企业按照有关规定开展审计或清产核资，以中介机构出具的审计报告或经划出方国资监管机构批准的清产核资结果作为企业国有产权无偿划转的依据。</w:t>
      </w:r>
    </w:p>
    <w:p w14:paraId="20497A5C">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（五）划转双方协商一致后，应当签订企业国有产权无偿划转协议。无偿划转事项按照本办法规定程序批准后，划转协议生效。划转协议生效以前，划转双方不得履行或者部分履行。</w:t>
      </w:r>
    </w:p>
    <w:p w14:paraId="10BDCA74">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（六）划转双方应当依据相关批复文件及划转协议，进行账务调整，按规定办理产权登记等手续。</w:t>
      </w:r>
    </w:p>
    <w:p w14:paraId="1FC8C98C">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第四十三条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有下列情况之一的，不得实施无偿划转：</w:t>
      </w:r>
    </w:p>
    <w:p w14:paraId="740C65AD">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（一）被划转企业主业不符合划入方主业及发展规划的；</w:t>
      </w:r>
    </w:p>
    <w:p w14:paraId="6A734BB7">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（二）中介机构对被划转企业划转基准日的财务报告出具否定意见、无法表示意见审计报告的；</w:t>
      </w:r>
    </w:p>
    <w:p w14:paraId="4CD94E08">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（三）中介机构对被划转企业划转基准日的财务报告出具保留意见审计报告，划入方或划出方没有妥善处理意见的；</w:t>
      </w:r>
    </w:p>
    <w:p w14:paraId="154577CF">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（四）无偿划转涉及的职工分流安置事项未经被划转企业的职工代表大会审议通过的；</w:t>
      </w:r>
    </w:p>
    <w:p w14:paraId="668AEB32">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（五）被划转企业或有负债未有妥善解决方案的；</w:t>
      </w:r>
    </w:p>
    <w:p w14:paraId="0F46DCFA">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（六）划出方债务未有妥善处置方案的。</w:t>
      </w:r>
    </w:p>
    <w:p w14:paraId="7F4F8706">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第四十四条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下列无偿划转事项，依据中介机构出具的被划转企业上一年度（或最近一次）审计报告或经国资监管机构批准的清产核资结果，直接进行账务调整，并按规定办理产权登记等手续：</w:t>
      </w:r>
    </w:p>
    <w:p w14:paraId="4ED36FE3">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（一）区政府决定的企业国有产权无偿划转区国资办或区属国有企业持有的；</w:t>
      </w:r>
    </w:p>
    <w:p w14:paraId="02F31461">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（二）由上级政府决定的，企业国有产权在上下级国资监管机构之间无偿划转的；</w:t>
      </w:r>
    </w:p>
    <w:p w14:paraId="0C1A8CE5">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（三）由划入、划出方政府决定的，企业国有产权在互不隶属的国资监管机构之间无偿划转的；</w:t>
      </w:r>
    </w:p>
    <w:p w14:paraId="39A8ABB8">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napToGrid w:val="0"/>
          <w:color w:val="000000"/>
          <w:kern w:val="0"/>
          <w:sz w:val="32"/>
          <w:szCs w:val="32"/>
          <w:highlight w:val="none"/>
          <w:lang w:val="en-US" w:eastAsia="zh-CN" w:bidi="ar"/>
        </w:rPr>
        <w:t>（四）其他由区政府或区国资办根据国有经济布局、结构调整和重组需要决定的无偿划转事项。</w:t>
      </w:r>
    </w:p>
    <w:p w14:paraId="70FEAAFD">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黑体" w:eastAsia="黑体" w:cs="黑体"/>
          <w:b w:val="0"/>
          <w:bCs w:val="0"/>
          <w:spacing w:val="5"/>
          <w:sz w:val="32"/>
          <w:szCs w:val="32"/>
          <w:highlight w:val="none"/>
          <w:lang w:val="en-US" w:eastAsia="zh-CN"/>
        </w:rPr>
        <w:t>第四十五条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划转双方应当严格防范和控制无偿划转的风险，所作承诺事项应严谨合理、切实可行，且与被划转企业直接相关；划转协议的内容应当符合《企业国有产权无偿划转管理暂行办法》的规定，不得以重新划回产权等作为违约责任条款。</w:t>
      </w:r>
    </w:p>
    <w:p w14:paraId="478245E1">
      <w:pPr>
        <w:keepNext w:val="0"/>
        <w:keepLines w:val="0"/>
        <w:pageBreakBefore w:val="0"/>
        <w:widowControl/>
        <w:suppressLineNumbers w:val="0"/>
        <w:kinsoku w:val="0"/>
        <w:wordWrap/>
        <w:overflowPunct/>
        <w:topLinePunct w:val="0"/>
        <w:autoSpaceDE w:val="0"/>
        <w:autoSpaceDN w:val="0"/>
        <w:bidi w:val="0"/>
        <w:adjustRightInd w:val="0"/>
        <w:snapToGrid w:val="0"/>
        <w:spacing w:line="576" w:lineRule="exact"/>
        <w:ind w:firstLine="660" w:firstLineChars="200"/>
        <w:jc w:val="both"/>
        <w:textAlignment w:val="baseline"/>
        <w:rPr>
          <w:rFonts w:hint="eastAsia" w:ascii="方正仿宋_GB2312" w:hAnsi="方正仿宋_GB2312" w:eastAsia="方正仿宋_GB2312" w:cs="方正仿宋_GB2312"/>
          <w:snapToGrid w:val="0"/>
          <w:color w:val="000000"/>
          <w:kern w:val="0"/>
          <w:sz w:val="32"/>
          <w:szCs w:val="32"/>
          <w:highlight w:val="none"/>
          <w:lang w:val="en-US" w:eastAsia="zh-CN" w:bidi="ar"/>
        </w:rPr>
      </w:pPr>
      <w:r>
        <w:rPr>
          <w:rFonts w:hint="eastAsia" w:ascii="黑体" w:hAnsi="黑体" w:eastAsia="黑体" w:cs="黑体"/>
          <w:b w:val="0"/>
          <w:bCs w:val="0"/>
          <w:spacing w:val="5"/>
          <w:sz w:val="32"/>
          <w:szCs w:val="32"/>
          <w:highlight w:val="none"/>
          <w:lang w:val="en-US" w:eastAsia="zh-CN"/>
        </w:rPr>
        <w:t>第四十六条</w:t>
      </w:r>
      <w:r>
        <w:rPr>
          <w:rFonts w:hint="eastAsia" w:ascii="方正仿宋_GB2312" w:hAnsi="方正仿宋_GB2312" w:eastAsia="方正仿宋_GB2312" w:cs="方正仿宋_GB2312"/>
          <w:spacing w:val="160"/>
          <w:sz w:val="32"/>
          <w:szCs w:val="32"/>
          <w:highlight w:val="none"/>
        </w:rPr>
        <w:t xml:space="preserve"> </w:t>
      </w:r>
      <w:r>
        <w:rPr>
          <w:rFonts w:hint="eastAsia" w:ascii="方正仿宋_GB2312" w:hAnsi="方正仿宋_GB2312" w:eastAsia="方正仿宋_GB2312" w:cs="方正仿宋_GB2312"/>
          <w:snapToGrid w:val="0"/>
          <w:color w:val="000000"/>
          <w:kern w:val="0"/>
          <w:sz w:val="32"/>
          <w:szCs w:val="32"/>
          <w:highlight w:val="none"/>
          <w:lang w:val="en-US" w:eastAsia="zh-CN" w:bidi="ar"/>
        </w:rPr>
        <w:t>股份有限公司国有股无偿划转，按国家有关规定执行。</w:t>
      </w:r>
    </w:p>
    <w:p w14:paraId="13973C6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6" w:lineRule="exact"/>
        <w:ind w:left="0" w:leftChars="0" w:right="0" w:firstLine="724" w:firstLineChars="200"/>
        <w:jc w:val="center"/>
        <w:textAlignment w:val="baseline"/>
        <w:rPr>
          <w:rFonts w:hint="eastAsia" w:ascii="黑体" w:hAnsi="黑体" w:eastAsia="黑体" w:cs="黑体"/>
          <w:spacing w:val="-1"/>
          <w:sz w:val="32"/>
          <w:szCs w:val="32"/>
          <w:highlight w:val="none"/>
        </w:rPr>
      </w:pPr>
      <w:r>
        <w:rPr>
          <w:rFonts w:hint="eastAsia" w:ascii="黑体" w:hAnsi="黑体" w:eastAsia="黑体" w:cs="黑体"/>
          <w:spacing w:val="21"/>
          <w:sz w:val="32"/>
          <w:szCs w:val="32"/>
          <w:highlight w:val="none"/>
        </w:rPr>
        <w:t xml:space="preserve"> </w:t>
      </w:r>
      <w:r>
        <w:rPr>
          <w:rFonts w:hint="eastAsia" w:ascii="黑体" w:hAnsi="黑体" w:eastAsia="黑体" w:cs="黑体"/>
          <w:spacing w:val="-1"/>
          <w:sz w:val="32"/>
          <w:szCs w:val="32"/>
          <w:highlight w:val="none"/>
          <w:lang w:eastAsia="zh-CN"/>
        </w:rPr>
        <w:t>资产处置管理</w:t>
      </w:r>
    </w:p>
    <w:p w14:paraId="5A84FF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right="0" w:rightChars="0"/>
        <w:jc w:val="both"/>
        <w:textAlignment w:val="baseline"/>
        <w:rPr>
          <w:rFonts w:hint="eastAsia" w:ascii="黑体" w:hAnsi="黑体" w:eastAsia="黑体" w:cs="黑体"/>
          <w:spacing w:val="-1"/>
          <w:sz w:val="32"/>
          <w:szCs w:val="32"/>
          <w:highlight w:val="none"/>
        </w:rPr>
      </w:pPr>
    </w:p>
    <w:p w14:paraId="1AF7AAF1">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pacing w:val="17"/>
          <w:sz w:val="32"/>
          <w:szCs w:val="32"/>
          <w:highlight w:val="none"/>
        </w:rPr>
      </w:pPr>
      <w:r>
        <w:rPr>
          <w:rFonts w:ascii="黑体" w:hAnsi="宋体" w:eastAsia="黑体" w:cs="黑体"/>
          <w:snapToGrid w:val="0"/>
          <w:color w:val="000000"/>
          <w:kern w:val="0"/>
          <w:sz w:val="32"/>
          <w:szCs w:val="32"/>
          <w:lang w:val="en-US" w:eastAsia="zh-CN" w:bidi="ar"/>
        </w:rPr>
        <w:t>第</w:t>
      </w:r>
      <w:r>
        <w:rPr>
          <w:rFonts w:hint="eastAsia" w:ascii="黑体" w:hAnsi="黑体" w:eastAsia="黑体" w:cs="黑体"/>
          <w:b w:val="0"/>
          <w:bCs w:val="0"/>
          <w:spacing w:val="5"/>
          <w:sz w:val="32"/>
          <w:szCs w:val="32"/>
          <w:highlight w:val="none"/>
          <w:lang w:val="en-US" w:eastAsia="zh-CN"/>
        </w:rPr>
        <w:t>四十七</w:t>
      </w:r>
      <w:r>
        <w:rPr>
          <w:rFonts w:ascii="黑体" w:hAnsi="宋体" w:eastAsia="黑体" w:cs="黑体"/>
          <w:snapToGrid w:val="0"/>
          <w:color w:val="000000"/>
          <w:kern w:val="0"/>
          <w:sz w:val="32"/>
          <w:szCs w:val="32"/>
          <w:lang w:val="en-US" w:eastAsia="zh-CN" w:bidi="ar"/>
        </w:rPr>
        <w:t xml:space="preserve">条 </w:t>
      </w:r>
      <w:r>
        <w:rPr>
          <w:rFonts w:hint="eastAsia" w:ascii="方正仿宋_GB2312" w:hAnsi="方正仿宋_GB2312" w:eastAsia="方正仿宋_GB2312" w:cs="方正仿宋_GB2312"/>
          <w:spacing w:val="17"/>
          <w:sz w:val="32"/>
          <w:szCs w:val="32"/>
          <w:highlight w:val="none"/>
          <w:lang w:val="en-US" w:eastAsia="zh-CN"/>
        </w:rPr>
        <w:t xml:space="preserve">企业资产处置是指企业的资产转让置换和资产损失核销。 </w:t>
      </w:r>
    </w:p>
    <w:p w14:paraId="3241CDA4">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eastAsia" w:ascii="方正仿宋_GB2312" w:hAnsi="方正仿宋_GB2312" w:eastAsia="方正仿宋_GB2312" w:cs="方正仿宋_GB2312"/>
          <w:spacing w:val="17"/>
          <w:sz w:val="32"/>
          <w:szCs w:val="32"/>
          <w:highlight w:val="none"/>
        </w:rPr>
      </w:pPr>
      <w:r>
        <w:rPr>
          <w:rFonts w:hint="eastAsia" w:ascii="方正仿宋_GB2312" w:hAnsi="方正仿宋_GB2312" w:eastAsia="方正仿宋_GB2312" w:cs="方正仿宋_GB2312"/>
          <w:spacing w:val="17"/>
          <w:sz w:val="32"/>
          <w:szCs w:val="32"/>
          <w:highlight w:val="none"/>
          <w:lang w:val="en-US" w:eastAsia="zh-CN"/>
        </w:rPr>
        <w:t xml:space="preserve">（一）资产转让置换包括生产线、机器设备、交通工具等设备，土地、地面建筑物、构筑物及其附属设施和在建工程等，经营权、商标权、许可权、专利权等无形资产，不包括企业正常生产销售的产成品、半成品、商品和副产品等。 </w:t>
      </w:r>
    </w:p>
    <w:p w14:paraId="6A1A1273">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eastAsia" w:ascii="方正仿宋_GB2312" w:hAnsi="方正仿宋_GB2312" w:eastAsia="方正仿宋_GB2312" w:cs="方正仿宋_GB2312"/>
          <w:spacing w:val="17"/>
          <w:sz w:val="32"/>
          <w:szCs w:val="32"/>
          <w:highlight w:val="none"/>
        </w:rPr>
      </w:pPr>
      <w:r>
        <w:rPr>
          <w:rFonts w:hint="eastAsia" w:ascii="方正仿宋_GB2312" w:hAnsi="方正仿宋_GB2312" w:eastAsia="方正仿宋_GB2312" w:cs="方正仿宋_GB2312"/>
          <w:spacing w:val="17"/>
          <w:sz w:val="32"/>
          <w:szCs w:val="32"/>
          <w:highlight w:val="none"/>
          <w:lang w:val="en-US" w:eastAsia="zh-CN"/>
        </w:rPr>
        <w:t xml:space="preserve">（二）资产损失核销是指企业清查出的各项财产损失、经营潜亏及资金挂账，通过经济鉴证确认为资产损失，要求财务核销。 </w:t>
      </w:r>
    </w:p>
    <w:p w14:paraId="4EE443B8">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eastAsia" w:ascii="方正仿宋_GB2312" w:hAnsi="方正仿宋_GB2312" w:eastAsia="方正仿宋_GB2312" w:cs="方正仿宋_GB2312"/>
          <w:spacing w:val="17"/>
          <w:sz w:val="32"/>
          <w:szCs w:val="32"/>
          <w:highlight w:val="none"/>
        </w:rPr>
      </w:pPr>
      <w:r>
        <w:rPr>
          <w:rFonts w:hint="eastAsia" w:ascii="方正仿宋_GB2312" w:hAnsi="方正仿宋_GB2312" w:eastAsia="方正仿宋_GB2312" w:cs="方正仿宋_GB2312"/>
          <w:spacing w:val="17"/>
          <w:sz w:val="32"/>
          <w:szCs w:val="32"/>
          <w:highlight w:val="none"/>
          <w:lang w:val="en-US" w:eastAsia="zh-CN"/>
        </w:rPr>
        <w:t xml:space="preserve">（三）企业因改制涉及的资产提留、资产剥离等处置管理，按改制有关规定执行。 </w:t>
      </w:r>
    </w:p>
    <w:p w14:paraId="01090636">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pPr>
      <w:r>
        <w:rPr>
          <w:rFonts w:hint="eastAsia" w:ascii="方正仿宋_GB2312" w:hAnsi="方正仿宋_GB2312" w:eastAsia="方正仿宋_GB2312" w:cs="方正仿宋_GB2312"/>
          <w:spacing w:val="17"/>
          <w:sz w:val="32"/>
          <w:szCs w:val="32"/>
          <w:highlight w:val="none"/>
          <w:lang w:val="en-US" w:eastAsia="zh-CN"/>
        </w:rPr>
        <w:t>（四）企业资产租赁按区国资办有关租赁指导意见执行。</w:t>
      </w:r>
      <w:r>
        <w:rPr>
          <w:rFonts w:hint="eastAsia" w:ascii="仿宋_GB2312" w:hAnsi="宋体" w:eastAsia="仿宋_GB2312" w:cs="仿宋_GB2312"/>
          <w:snapToGrid w:val="0"/>
          <w:color w:val="000000"/>
          <w:kern w:val="0"/>
          <w:sz w:val="32"/>
          <w:szCs w:val="32"/>
          <w:lang w:val="en-US" w:eastAsia="zh-CN" w:bidi="ar"/>
        </w:rPr>
        <w:t xml:space="preserve"> </w:t>
      </w:r>
    </w:p>
    <w:p w14:paraId="78203825">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pacing w:val="17"/>
          <w:sz w:val="32"/>
          <w:szCs w:val="32"/>
          <w:highlight w:val="none"/>
          <w:lang w:val="en-US" w:eastAsia="zh-CN"/>
        </w:rPr>
      </w:pPr>
      <w:r>
        <w:rPr>
          <w:rFonts w:hint="eastAsia" w:ascii="黑体" w:hAnsi="宋体" w:eastAsia="黑体" w:cs="黑体"/>
          <w:snapToGrid w:val="0"/>
          <w:color w:val="000000"/>
          <w:kern w:val="0"/>
          <w:sz w:val="32"/>
          <w:szCs w:val="32"/>
          <w:highlight w:val="none"/>
          <w:lang w:val="en-US" w:eastAsia="zh-CN" w:bidi="ar"/>
        </w:rPr>
        <w:t>第</w:t>
      </w:r>
      <w:r>
        <w:rPr>
          <w:rFonts w:hint="eastAsia" w:ascii="黑体" w:hAnsi="黑体" w:eastAsia="黑体" w:cs="黑体"/>
          <w:b w:val="0"/>
          <w:bCs w:val="0"/>
          <w:spacing w:val="5"/>
          <w:sz w:val="32"/>
          <w:szCs w:val="32"/>
          <w:highlight w:val="none"/>
          <w:lang w:val="en-US" w:eastAsia="zh-CN"/>
        </w:rPr>
        <w:t>四十八</w:t>
      </w:r>
      <w:r>
        <w:rPr>
          <w:rFonts w:hint="eastAsia" w:ascii="黑体" w:hAnsi="宋体" w:eastAsia="黑体" w:cs="黑体"/>
          <w:snapToGrid w:val="0"/>
          <w:color w:val="000000"/>
          <w:kern w:val="0"/>
          <w:sz w:val="32"/>
          <w:szCs w:val="32"/>
          <w:highlight w:val="none"/>
          <w:lang w:val="en-US" w:eastAsia="zh-CN" w:bidi="ar"/>
        </w:rPr>
        <w:t xml:space="preserve">条 </w:t>
      </w:r>
      <w:r>
        <w:rPr>
          <w:rFonts w:hint="eastAsia" w:ascii="方正仿宋_GB2312" w:hAnsi="方正仿宋_GB2312" w:eastAsia="方正仿宋_GB2312" w:cs="方正仿宋_GB2312"/>
          <w:spacing w:val="17"/>
          <w:sz w:val="32"/>
          <w:szCs w:val="32"/>
          <w:highlight w:val="none"/>
          <w:lang w:val="en-US" w:eastAsia="zh-CN"/>
        </w:rPr>
        <w:t>资产转让置换等处置应当遵循等价有偿和公开、 公平、公正、竞争的原则，遵守企业国有产权转让制度的相关规定。</w:t>
      </w:r>
    </w:p>
    <w:p w14:paraId="37354422">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pacing w:val="17"/>
          <w:sz w:val="32"/>
          <w:szCs w:val="32"/>
          <w:highlight w:val="none"/>
        </w:rPr>
      </w:pPr>
      <w:r>
        <w:rPr>
          <w:rFonts w:ascii="黑体" w:hAnsi="宋体" w:eastAsia="黑体" w:cs="黑体"/>
          <w:snapToGrid w:val="0"/>
          <w:color w:val="000000"/>
          <w:kern w:val="0"/>
          <w:sz w:val="32"/>
          <w:szCs w:val="32"/>
          <w:lang w:val="en-US" w:eastAsia="zh-CN" w:bidi="ar"/>
        </w:rPr>
        <w:t>第</w:t>
      </w:r>
      <w:r>
        <w:rPr>
          <w:rFonts w:hint="eastAsia" w:ascii="黑体" w:hAnsi="黑体" w:eastAsia="黑体" w:cs="黑体"/>
          <w:b w:val="0"/>
          <w:bCs w:val="0"/>
          <w:spacing w:val="5"/>
          <w:sz w:val="32"/>
          <w:szCs w:val="32"/>
          <w:highlight w:val="none"/>
          <w:lang w:val="en-US" w:eastAsia="zh-CN"/>
        </w:rPr>
        <w:t>四十九</w:t>
      </w:r>
      <w:r>
        <w:rPr>
          <w:rFonts w:ascii="黑体" w:hAnsi="宋体" w:eastAsia="黑体" w:cs="黑体"/>
          <w:snapToGrid w:val="0"/>
          <w:color w:val="000000"/>
          <w:kern w:val="0"/>
          <w:sz w:val="32"/>
          <w:szCs w:val="32"/>
          <w:lang w:val="en-US" w:eastAsia="zh-CN" w:bidi="ar"/>
        </w:rPr>
        <w:t xml:space="preserve">条 </w:t>
      </w:r>
      <w:r>
        <w:rPr>
          <w:rFonts w:hint="eastAsia" w:ascii="方正仿宋_GB2312" w:hAnsi="方正仿宋_GB2312" w:eastAsia="方正仿宋_GB2312" w:cs="方正仿宋_GB2312"/>
          <w:spacing w:val="17"/>
          <w:sz w:val="32"/>
          <w:szCs w:val="32"/>
          <w:highlight w:val="none"/>
          <w:lang w:val="en-US" w:eastAsia="zh-CN"/>
        </w:rPr>
        <w:t xml:space="preserve">资产转让置换等处置按以下权限进行审批： </w:t>
      </w:r>
    </w:p>
    <w:p w14:paraId="0F05C496">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eastAsia" w:ascii="方正仿宋_GB2312" w:hAnsi="方正仿宋_GB2312" w:eastAsia="方正仿宋_GB2312" w:cs="方正仿宋_GB2312"/>
          <w:spacing w:val="17"/>
          <w:sz w:val="32"/>
          <w:szCs w:val="32"/>
          <w:highlight w:val="none"/>
        </w:rPr>
      </w:pPr>
      <w:r>
        <w:rPr>
          <w:rFonts w:hint="eastAsia" w:ascii="方正仿宋_GB2312" w:hAnsi="方正仿宋_GB2312" w:eastAsia="方正仿宋_GB2312" w:cs="方正仿宋_GB2312"/>
          <w:spacing w:val="17"/>
          <w:sz w:val="32"/>
          <w:szCs w:val="32"/>
          <w:highlight w:val="none"/>
          <w:lang w:val="en-US" w:eastAsia="zh-CN"/>
        </w:rPr>
        <w:t>（一）账面净值总额在1000万元以下的资产、使用年限已满或正常报废的资产，由</w:t>
      </w:r>
      <w:r>
        <w:rPr>
          <w:rFonts w:hint="eastAsia" w:ascii="方正仿宋_GB2312" w:hAnsi="方正仿宋_GB2312" w:eastAsia="方正仿宋_GB2312" w:cs="方正仿宋_GB2312"/>
          <w:spacing w:val="5"/>
          <w:sz w:val="32"/>
          <w:szCs w:val="32"/>
          <w:highlight w:val="none"/>
          <w:lang w:eastAsia="zh-CN"/>
        </w:rPr>
        <w:t>区属</w:t>
      </w:r>
      <w:r>
        <w:rPr>
          <w:rFonts w:hint="eastAsia" w:ascii="方正仿宋_GB2312" w:hAnsi="方正仿宋_GB2312" w:eastAsia="方正仿宋_GB2312" w:cs="方正仿宋_GB2312"/>
          <w:spacing w:val="5"/>
          <w:sz w:val="32"/>
          <w:szCs w:val="32"/>
          <w:highlight w:val="none"/>
        </w:rPr>
        <w:t>国有企业</w:t>
      </w:r>
      <w:r>
        <w:rPr>
          <w:rFonts w:hint="eastAsia" w:ascii="方正仿宋_GB2312" w:hAnsi="方正仿宋_GB2312" w:eastAsia="方正仿宋_GB2312" w:cs="方正仿宋_GB2312"/>
          <w:spacing w:val="17"/>
          <w:sz w:val="32"/>
          <w:szCs w:val="32"/>
          <w:highlight w:val="none"/>
          <w:lang w:val="en-US" w:eastAsia="zh-CN"/>
        </w:rPr>
        <w:t xml:space="preserve">履行内部决策程序后审批； </w:t>
      </w:r>
    </w:p>
    <w:p w14:paraId="2258D4C8">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eastAsia" w:ascii="方正仿宋_GB2312" w:hAnsi="方正仿宋_GB2312" w:eastAsia="方正仿宋_GB2312" w:cs="方正仿宋_GB2312"/>
          <w:spacing w:val="17"/>
          <w:sz w:val="32"/>
          <w:szCs w:val="32"/>
          <w:highlight w:val="none"/>
        </w:rPr>
      </w:pPr>
      <w:r>
        <w:rPr>
          <w:rFonts w:hint="eastAsia" w:ascii="方正仿宋_GB2312" w:hAnsi="方正仿宋_GB2312" w:eastAsia="方正仿宋_GB2312" w:cs="方正仿宋_GB2312"/>
          <w:spacing w:val="17"/>
          <w:sz w:val="32"/>
          <w:szCs w:val="32"/>
          <w:highlight w:val="none"/>
          <w:lang w:val="en-US" w:eastAsia="zh-CN"/>
        </w:rPr>
        <w:t>（二）账面净值总额在1000万元（含）以上2</w:t>
      </w:r>
      <w:r>
        <w:rPr>
          <w:rFonts w:hint="default" w:ascii="方正仿宋_GB2312" w:hAnsi="方正仿宋_GB2312" w:eastAsia="方正仿宋_GB2312" w:cs="方正仿宋_GB2312"/>
          <w:spacing w:val="17"/>
          <w:sz w:val="32"/>
          <w:szCs w:val="32"/>
          <w:highlight w:val="none"/>
          <w:lang w:val="en-US" w:eastAsia="zh-CN"/>
        </w:rPr>
        <w:t>000</w:t>
      </w:r>
      <w:r>
        <w:rPr>
          <w:rFonts w:hint="eastAsia" w:ascii="方正仿宋_GB2312" w:hAnsi="方正仿宋_GB2312" w:eastAsia="方正仿宋_GB2312" w:cs="方正仿宋_GB2312"/>
          <w:spacing w:val="17"/>
          <w:sz w:val="32"/>
          <w:szCs w:val="32"/>
          <w:highlight w:val="none"/>
          <w:lang w:val="en-US" w:eastAsia="zh-CN"/>
        </w:rPr>
        <w:t>万元以下的资产，由</w:t>
      </w:r>
      <w:r>
        <w:rPr>
          <w:rFonts w:hint="eastAsia" w:ascii="方正仿宋_GB2312" w:hAnsi="方正仿宋_GB2312" w:eastAsia="方正仿宋_GB2312" w:cs="方正仿宋_GB2312"/>
          <w:spacing w:val="5"/>
          <w:sz w:val="32"/>
          <w:szCs w:val="32"/>
          <w:highlight w:val="none"/>
          <w:lang w:eastAsia="zh-CN"/>
        </w:rPr>
        <w:t>区属</w:t>
      </w:r>
      <w:r>
        <w:rPr>
          <w:rFonts w:hint="eastAsia" w:ascii="方正仿宋_GB2312" w:hAnsi="方正仿宋_GB2312" w:eastAsia="方正仿宋_GB2312" w:cs="方正仿宋_GB2312"/>
          <w:spacing w:val="5"/>
          <w:sz w:val="32"/>
          <w:szCs w:val="32"/>
          <w:highlight w:val="none"/>
        </w:rPr>
        <w:t>国有企业</w:t>
      </w:r>
      <w:r>
        <w:rPr>
          <w:rFonts w:hint="eastAsia" w:ascii="方正仿宋_GB2312" w:hAnsi="方正仿宋_GB2312" w:eastAsia="方正仿宋_GB2312" w:cs="方正仿宋_GB2312"/>
          <w:spacing w:val="17"/>
          <w:sz w:val="32"/>
          <w:szCs w:val="32"/>
          <w:highlight w:val="none"/>
          <w:lang w:val="en-US" w:eastAsia="zh-CN"/>
        </w:rPr>
        <w:t xml:space="preserve">按内部决策程序，经审议通过后，报区国资办审批； </w:t>
      </w:r>
    </w:p>
    <w:p w14:paraId="26511865">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eastAsia" w:ascii="方正仿宋_GB2312" w:hAnsi="方正仿宋_GB2312" w:eastAsia="方正仿宋_GB2312" w:cs="方正仿宋_GB2312"/>
          <w:spacing w:val="17"/>
          <w:sz w:val="32"/>
          <w:szCs w:val="32"/>
          <w:highlight w:val="none"/>
        </w:rPr>
      </w:pPr>
      <w:r>
        <w:rPr>
          <w:rFonts w:hint="eastAsia" w:ascii="方正仿宋_GB2312" w:hAnsi="方正仿宋_GB2312" w:eastAsia="方正仿宋_GB2312" w:cs="方正仿宋_GB2312"/>
          <w:spacing w:val="17"/>
          <w:sz w:val="32"/>
          <w:szCs w:val="32"/>
          <w:highlight w:val="none"/>
          <w:lang w:val="en-US" w:eastAsia="zh-CN"/>
        </w:rPr>
        <w:t>（三）账面净值总额在2</w:t>
      </w:r>
      <w:r>
        <w:rPr>
          <w:rFonts w:hint="default" w:ascii="方正仿宋_GB2312" w:hAnsi="方正仿宋_GB2312" w:eastAsia="方正仿宋_GB2312" w:cs="方正仿宋_GB2312"/>
          <w:spacing w:val="17"/>
          <w:sz w:val="32"/>
          <w:szCs w:val="32"/>
          <w:highlight w:val="none"/>
          <w:lang w:val="en-US" w:eastAsia="zh-CN"/>
        </w:rPr>
        <w:t>000</w:t>
      </w:r>
      <w:r>
        <w:rPr>
          <w:rFonts w:hint="eastAsia" w:ascii="方正仿宋_GB2312" w:hAnsi="方正仿宋_GB2312" w:eastAsia="方正仿宋_GB2312" w:cs="方正仿宋_GB2312"/>
          <w:spacing w:val="17"/>
          <w:sz w:val="32"/>
          <w:szCs w:val="32"/>
          <w:highlight w:val="none"/>
          <w:lang w:val="en-US" w:eastAsia="zh-CN"/>
        </w:rPr>
        <w:t>万元（含）以上的资产，由</w:t>
      </w:r>
      <w:r>
        <w:rPr>
          <w:rFonts w:hint="eastAsia" w:ascii="方正仿宋_GB2312" w:hAnsi="方正仿宋_GB2312" w:eastAsia="方正仿宋_GB2312" w:cs="方正仿宋_GB2312"/>
          <w:spacing w:val="5"/>
          <w:sz w:val="32"/>
          <w:szCs w:val="32"/>
          <w:highlight w:val="none"/>
          <w:lang w:eastAsia="zh-CN"/>
        </w:rPr>
        <w:t>区属</w:t>
      </w:r>
      <w:r>
        <w:rPr>
          <w:rFonts w:hint="eastAsia" w:ascii="方正仿宋_GB2312" w:hAnsi="方正仿宋_GB2312" w:eastAsia="方正仿宋_GB2312" w:cs="方正仿宋_GB2312"/>
          <w:spacing w:val="5"/>
          <w:sz w:val="32"/>
          <w:szCs w:val="32"/>
          <w:highlight w:val="none"/>
        </w:rPr>
        <w:t>国有企业</w:t>
      </w:r>
      <w:r>
        <w:rPr>
          <w:rFonts w:hint="eastAsia" w:ascii="方正仿宋_GB2312" w:hAnsi="方正仿宋_GB2312" w:eastAsia="方正仿宋_GB2312" w:cs="方正仿宋_GB2312"/>
          <w:spacing w:val="17"/>
          <w:sz w:val="32"/>
          <w:szCs w:val="32"/>
          <w:highlight w:val="none"/>
          <w:lang w:val="en-US" w:eastAsia="zh-CN"/>
        </w:rPr>
        <w:t xml:space="preserve">按内部决策程序，再经区国资办审核后，报区政府审批。 </w:t>
      </w:r>
    </w:p>
    <w:p w14:paraId="23C22A2E">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pacing w:val="17"/>
          <w:sz w:val="32"/>
          <w:szCs w:val="32"/>
          <w:highlight w:val="none"/>
        </w:rPr>
      </w:pPr>
      <w:r>
        <w:rPr>
          <w:rFonts w:hint="eastAsia" w:ascii="黑体" w:hAnsi="宋体" w:eastAsia="黑体" w:cs="黑体"/>
          <w:snapToGrid w:val="0"/>
          <w:color w:val="000000"/>
          <w:kern w:val="0"/>
          <w:sz w:val="32"/>
          <w:szCs w:val="32"/>
          <w:lang w:val="en-US" w:eastAsia="zh-CN" w:bidi="ar"/>
        </w:rPr>
        <w:t xml:space="preserve">第五十条 </w:t>
      </w:r>
      <w:r>
        <w:rPr>
          <w:rFonts w:hint="eastAsia" w:ascii="方正仿宋_GB2312" w:hAnsi="方正仿宋_GB2312" w:eastAsia="方正仿宋_GB2312" w:cs="方正仿宋_GB2312"/>
          <w:spacing w:val="17"/>
          <w:sz w:val="32"/>
          <w:szCs w:val="32"/>
          <w:highlight w:val="none"/>
          <w:lang w:val="en-US" w:eastAsia="zh-CN"/>
        </w:rPr>
        <w:t xml:space="preserve">资产处置原则上采取公开交易方式。公开交易方式包括委托进场交易和自行组织公开交易： </w:t>
      </w:r>
    </w:p>
    <w:p w14:paraId="7A6918C1">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eastAsia" w:ascii="方正仿宋_GB2312" w:hAnsi="方正仿宋_GB2312" w:eastAsia="方正仿宋_GB2312" w:cs="方正仿宋_GB2312"/>
          <w:spacing w:val="17"/>
          <w:sz w:val="32"/>
          <w:szCs w:val="32"/>
          <w:highlight w:val="none"/>
        </w:rPr>
      </w:pPr>
      <w:r>
        <w:rPr>
          <w:rFonts w:hint="eastAsia" w:ascii="方正仿宋_GB2312" w:hAnsi="方正仿宋_GB2312" w:eastAsia="方正仿宋_GB2312" w:cs="方正仿宋_GB2312"/>
          <w:spacing w:val="17"/>
          <w:sz w:val="32"/>
          <w:szCs w:val="32"/>
          <w:highlight w:val="none"/>
          <w:lang w:val="en-US" w:eastAsia="zh-CN"/>
        </w:rPr>
        <w:t>（一）一般应当选择委托进场交易方式，委托具有交易业务资格的产权交易机构公开进行；</w:t>
      </w:r>
    </w:p>
    <w:p w14:paraId="2D87DC22">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eastAsia" w:ascii="仿宋_GB2312" w:hAnsi="宋体" w:eastAsia="仿宋_GB2312" w:cs="仿宋_GB2312"/>
          <w:snapToGrid w:val="0"/>
          <w:color w:val="000000"/>
          <w:kern w:val="0"/>
          <w:sz w:val="32"/>
          <w:szCs w:val="32"/>
          <w:highlight w:val="none"/>
          <w:lang w:val="en-US" w:eastAsia="zh-CN" w:bidi="ar"/>
        </w:rPr>
      </w:pPr>
      <w:r>
        <w:rPr>
          <w:rFonts w:hint="eastAsia" w:ascii="方正仿宋_GB2312" w:hAnsi="方正仿宋_GB2312" w:eastAsia="方正仿宋_GB2312" w:cs="方正仿宋_GB2312"/>
          <w:spacing w:val="17"/>
          <w:sz w:val="32"/>
          <w:szCs w:val="32"/>
          <w:highlight w:val="none"/>
          <w:lang w:val="en-US" w:eastAsia="zh-CN"/>
        </w:rPr>
        <w:t>（二）对账面净值总额低于10万元且各单项账面净值低于1万元的资产报废项目、评估值低于10万元的资产报废项目可以由企业按</w:t>
      </w:r>
      <w:r>
        <w:rPr>
          <w:rFonts w:hint="eastAsia" w:ascii="方正仿宋_GB2312" w:hAnsi="方正仿宋_GB2312" w:eastAsia="方正仿宋_GB2312" w:cs="方正仿宋_GB2312"/>
          <w:spacing w:val="5"/>
          <w:sz w:val="32"/>
          <w:szCs w:val="32"/>
          <w:highlight w:val="none"/>
          <w:lang w:eastAsia="zh-CN"/>
        </w:rPr>
        <w:t>区属</w:t>
      </w:r>
      <w:r>
        <w:rPr>
          <w:rFonts w:hint="eastAsia" w:ascii="方正仿宋_GB2312" w:hAnsi="方正仿宋_GB2312" w:eastAsia="方正仿宋_GB2312" w:cs="方正仿宋_GB2312"/>
          <w:spacing w:val="5"/>
          <w:sz w:val="32"/>
          <w:szCs w:val="32"/>
          <w:highlight w:val="none"/>
        </w:rPr>
        <w:t>国有企业</w:t>
      </w:r>
      <w:r>
        <w:rPr>
          <w:rFonts w:hint="eastAsia" w:ascii="方正仿宋_GB2312" w:hAnsi="方正仿宋_GB2312" w:eastAsia="方正仿宋_GB2312" w:cs="方正仿宋_GB2312"/>
          <w:spacing w:val="17"/>
          <w:sz w:val="32"/>
          <w:szCs w:val="32"/>
          <w:highlight w:val="none"/>
          <w:lang w:val="en-US" w:eastAsia="zh-CN"/>
        </w:rPr>
        <w:t>产权管理制度中确定的公开交易程序自行组织交易。</w:t>
      </w:r>
      <w:r>
        <w:rPr>
          <w:rFonts w:hint="eastAsia" w:ascii="仿宋_GB2312" w:hAnsi="宋体" w:eastAsia="仿宋_GB2312" w:cs="仿宋_GB2312"/>
          <w:snapToGrid w:val="0"/>
          <w:color w:val="000000"/>
          <w:kern w:val="0"/>
          <w:sz w:val="32"/>
          <w:szCs w:val="32"/>
          <w:highlight w:val="none"/>
          <w:lang w:val="en-US" w:eastAsia="zh-CN" w:bidi="ar"/>
        </w:rPr>
        <w:t xml:space="preserve"> </w:t>
      </w:r>
    </w:p>
    <w:p w14:paraId="31318A5F">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eastAsia" w:ascii="方正仿宋_GB2312" w:hAnsi="方正仿宋_GB2312" w:eastAsia="方正仿宋_GB2312" w:cs="方正仿宋_GB2312"/>
          <w:spacing w:val="17"/>
          <w:sz w:val="32"/>
          <w:szCs w:val="32"/>
          <w:highlight w:val="none"/>
          <w:lang w:val="en-US" w:eastAsia="zh-CN"/>
        </w:rPr>
      </w:pPr>
      <w:r>
        <w:rPr>
          <w:rFonts w:hint="eastAsia" w:ascii="方正仿宋_GB2312" w:hAnsi="方正仿宋_GB2312" w:eastAsia="方正仿宋_GB2312" w:cs="方正仿宋_GB2312"/>
          <w:spacing w:val="17"/>
          <w:sz w:val="32"/>
          <w:szCs w:val="32"/>
          <w:highlight w:val="none"/>
          <w:lang w:val="en-US" w:eastAsia="zh-CN"/>
        </w:rPr>
        <w:t>（三）涉及区属国有企业内部或特定行业的资产转让，确需在国有及国有控股、国有实际控制企业之间非公开转让的，由转让方逐级报区属国有企业审核。</w:t>
      </w:r>
    </w:p>
    <w:p w14:paraId="08891440">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pPr>
      <w:r>
        <w:rPr>
          <w:rFonts w:hint="eastAsia" w:ascii="黑体" w:hAnsi="宋体" w:eastAsia="黑体" w:cs="黑体"/>
          <w:snapToGrid w:val="0"/>
          <w:color w:val="000000"/>
          <w:kern w:val="0"/>
          <w:sz w:val="32"/>
          <w:szCs w:val="32"/>
          <w:lang w:val="en-US" w:eastAsia="zh-CN" w:bidi="ar"/>
        </w:rPr>
        <w:t xml:space="preserve">第五十一条 </w:t>
      </w:r>
      <w:r>
        <w:rPr>
          <w:rFonts w:hint="eastAsia" w:ascii="方正仿宋_GB2312" w:hAnsi="方正仿宋_GB2312" w:eastAsia="方正仿宋_GB2312" w:cs="方正仿宋_GB2312"/>
          <w:spacing w:val="17"/>
          <w:sz w:val="32"/>
          <w:szCs w:val="32"/>
          <w:highlight w:val="none"/>
          <w:lang w:val="en-US" w:eastAsia="zh-CN"/>
        </w:rPr>
        <w:t>企业可以根据转让标的情况合理确定转让信 息公告期限，其中首次挂牌价格高于100万元（含）、低于1000万元的资产转让项目，信息公告期不得少于10个工作日；首次挂牌价格高于1000万元（含）的资产转让项目，信息公告期不得少于20个工作日。</w:t>
      </w:r>
      <w:r>
        <w:rPr>
          <w:rFonts w:hint="eastAsia" w:ascii="仿宋_GB2312" w:hAnsi="宋体" w:eastAsia="仿宋_GB2312" w:cs="仿宋_GB2312"/>
          <w:snapToGrid w:val="0"/>
          <w:color w:val="000000"/>
          <w:kern w:val="0"/>
          <w:sz w:val="32"/>
          <w:szCs w:val="32"/>
          <w:lang w:val="en-US" w:eastAsia="zh-CN" w:bidi="ar"/>
        </w:rPr>
        <w:t xml:space="preserve"> </w:t>
      </w:r>
    </w:p>
    <w:p w14:paraId="52FB2B8E">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pacing w:val="17"/>
          <w:sz w:val="32"/>
          <w:szCs w:val="32"/>
          <w:highlight w:val="none"/>
        </w:rPr>
      </w:pPr>
      <w:r>
        <w:rPr>
          <w:rFonts w:hint="eastAsia" w:ascii="黑体" w:hAnsi="宋体" w:eastAsia="黑体" w:cs="黑体"/>
          <w:snapToGrid w:val="0"/>
          <w:color w:val="000000"/>
          <w:kern w:val="0"/>
          <w:sz w:val="32"/>
          <w:szCs w:val="32"/>
          <w:lang w:val="en-US" w:eastAsia="zh-CN" w:bidi="ar"/>
        </w:rPr>
        <w:t xml:space="preserve">第五十二条 </w:t>
      </w:r>
      <w:r>
        <w:rPr>
          <w:rFonts w:hint="eastAsia" w:ascii="方正仿宋_GB2312" w:hAnsi="方正仿宋_GB2312" w:eastAsia="方正仿宋_GB2312" w:cs="方正仿宋_GB2312"/>
          <w:spacing w:val="17"/>
          <w:sz w:val="32"/>
          <w:szCs w:val="32"/>
          <w:highlight w:val="none"/>
          <w:lang w:val="en-US" w:eastAsia="zh-CN"/>
        </w:rPr>
        <w:t xml:space="preserve">区属国有企业及所属控股企业重要国有资产 处置会导致企业主营业务或主要利润来源转移以及停、歇业的，按照改制的相关规定程序办理批准手续。 </w:t>
      </w:r>
    </w:p>
    <w:p w14:paraId="5E82E545">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pacing w:val="17"/>
          <w:sz w:val="32"/>
          <w:szCs w:val="32"/>
          <w:highlight w:val="none"/>
        </w:rPr>
      </w:pPr>
      <w:r>
        <w:rPr>
          <w:rFonts w:hint="eastAsia" w:ascii="黑体" w:hAnsi="宋体" w:eastAsia="黑体" w:cs="黑体"/>
          <w:snapToGrid w:val="0"/>
          <w:color w:val="000000"/>
          <w:kern w:val="0"/>
          <w:sz w:val="32"/>
          <w:szCs w:val="32"/>
          <w:lang w:val="en-US" w:eastAsia="zh-CN" w:bidi="ar"/>
        </w:rPr>
        <w:t xml:space="preserve">第五十三条 </w:t>
      </w:r>
      <w:r>
        <w:rPr>
          <w:rFonts w:hint="eastAsia" w:ascii="方正仿宋_GB2312" w:hAnsi="方正仿宋_GB2312" w:eastAsia="方正仿宋_GB2312" w:cs="方正仿宋_GB2312"/>
          <w:spacing w:val="17"/>
          <w:sz w:val="32"/>
          <w:szCs w:val="32"/>
          <w:highlight w:val="none"/>
          <w:lang w:val="en-US" w:eastAsia="zh-CN"/>
        </w:rPr>
        <w:t xml:space="preserve">企业资产损失核销，按以下权限审批办理： </w:t>
      </w:r>
    </w:p>
    <w:p w14:paraId="66EE3F0F">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eastAsia" w:ascii="方正仿宋_GB2312" w:hAnsi="方正仿宋_GB2312" w:eastAsia="方正仿宋_GB2312" w:cs="方正仿宋_GB2312"/>
          <w:spacing w:val="17"/>
          <w:sz w:val="32"/>
          <w:szCs w:val="32"/>
          <w:highlight w:val="none"/>
        </w:rPr>
      </w:pPr>
      <w:r>
        <w:rPr>
          <w:rFonts w:hint="eastAsia" w:ascii="方正仿宋_GB2312" w:hAnsi="方正仿宋_GB2312" w:eastAsia="方正仿宋_GB2312" w:cs="方正仿宋_GB2312"/>
          <w:spacing w:val="17"/>
          <w:sz w:val="32"/>
          <w:szCs w:val="32"/>
          <w:highlight w:val="none"/>
          <w:lang w:val="en-US" w:eastAsia="zh-CN"/>
        </w:rPr>
        <w:t>（一）申请核销资产损失总额在</w:t>
      </w:r>
      <w:r>
        <w:rPr>
          <w:rFonts w:hint="default" w:ascii="方正仿宋_GB2312" w:hAnsi="方正仿宋_GB2312" w:eastAsia="方正仿宋_GB2312" w:cs="方正仿宋_GB2312"/>
          <w:spacing w:val="17"/>
          <w:sz w:val="32"/>
          <w:szCs w:val="32"/>
          <w:highlight w:val="none"/>
          <w:lang w:val="en-US" w:eastAsia="zh-CN"/>
        </w:rPr>
        <w:t>500</w:t>
      </w:r>
      <w:r>
        <w:rPr>
          <w:rFonts w:hint="eastAsia" w:ascii="方正仿宋_GB2312" w:hAnsi="方正仿宋_GB2312" w:eastAsia="方正仿宋_GB2312" w:cs="方正仿宋_GB2312"/>
          <w:spacing w:val="17"/>
          <w:sz w:val="32"/>
          <w:szCs w:val="32"/>
          <w:highlight w:val="none"/>
          <w:lang w:val="en-US" w:eastAsia="zh-CN"/>
        </w:rPr>
        <w:t xml:space="preserve">万元以下的，区属国有企业按内部决策程序审批核销并抄报区国资办备案。 </w:t>
      </w:r>
    </w:p>
    <w:p w14:paraId="300A7FA9">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rPr>
          <w:rFonts w:hint="eastAsia" w:ascii="方正仿宋_GB2312" w:hAnsi="方正仿宋_GB2312" w:eastAsia="方正仿宋_GB2312" w:cs="方正仿宋_GB2312"/>
          <w:spacing w:val="17"/>
          <w:sz w:val="32"/>
          <w:szCs w:val="32"/>
          <w:highlight w:val="none"/>
        </w:rPr>
      </w:pPr>
      <w:r>
        <w:rPr>
          <w:rFonts w:hint="eastAsia" w:ascii="方正仿宋_GB2312" w:hAnsi="方正仿宋_GB2312" w:eastAsia="方正仿宋_GB2312" w:cs="方正仿宋_GB2312"/>
          <w:spacing w:val="17"/>
          <w:sz w:val="32"/>
          <w:szCs w:val="32"/>
          <w:highlight w:val="none"/>
          <w:lang w:val="en-US" w:eastAsia="zh-CN"/>
        </w:rPr>
        <w:t>（二）申请核销资产损失总额在</w:t>
      </w:r>
      <w:r>
        <w:rPr>
          <w:rFonts w:hint="default" w:ascii="方正仿宋_GB2312" w:hAnsi="方正仿宋_GB2312" w:eastAsia="方正仿宋_GB2312" w:cs="方正仿宋_GB2312"/>
          <w:spacing w:val="17"/>
          <w:sz w:val="32"/>
          <w:szCs w:val="32"/>
          <w:highlight w:val="none"/>
          <w:lang w:val="en-US" w:eastAsia="zh-CN"/>
        </w:rPr>
        <w:t>500</w:t>
      </w:r>
      <w:r>
        <w:rPr>
          <w:rFonts w:hint="eastAsia" w:ascii="方正仿宋_GB2312" w:hAnsi="方正仿宋_GB2312" w:eastAsia="方正仿宋_GB2312" w:cs="方正仿宋_GB2312"/>
          <w:spacing w:val="17"/>
          <w:sz w:val="32"/>
          <w:szCs w:val="32"/>
          <w:highlight w:val="none"/>
          <w:lang w:val="en-US" w:eastAsia="zh-CN"/>
        </w:rPr>
        <w:t xml:space="preserve">万元（含）以上的，区属国有企业按内部决策程序，经审议通过后，由区国资办审核后报区政府审批。 </w:t>
      </w:r>
    </w:p>
    <w:p w14:paraId="78E7BF9F">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pPr>
      <w:r>
        <w:rPr>
          <w:rFonts w:hint="eastAsia" w:ascii="方正仿宋_GB2312" w:hAnsi="方正仿宋_GB2312" w:eastAsia="方正仿宋_GB2312" w:cs="方正仿宋_GB2312"/>
          <w:spacing w:val="17"/>
          <w:sz w:val="32"/>
          <w:szCs w:val="32"/>
          <w:highlight w:val="none"/>
          <w:lang w:val="en-US" w:eastAsia="zh-CN"/>
        </w:rPr>
        <w:t>（三）区国资办统一组织的专项清产核资工作，清查核实确认为资产损失而提出核销的资产，按清产核资的统一政策办理。</w:t>
      </w:r>
      <w:r>
        <w:rPr>
          <w:rFonts w:hint="eastAsia" w:ascii="仿宋_GB2312" w:hAnsi="宋体" w:eastAsia="仿宋_GB2312" w:cs="仿宋_GB2312"/>
          <w:snapToGrid w:val="0"/>
          <w:color w:val="000000"/>
          <w:kern w:val="0"/>
          <w:sz w:val="32"/>
          <w:szCs w:val="32"/>
          <w:lang w:val="en-US" w:eastAsia="zh-CN" w:bidi="ar"/>
        </w:rPr>
        <w:t xml:space="preserve"> </w:t>
      </w:r>
    </w:p>
    <w:p w14:paraId="07B848EC">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pacing w:val="17"/>
          <w:sz w:val="32"/>
          <w:szCs w:val="32"/>
          <w:highlight w:val="none"/>
          <w:lang w:val="en-US" w:eastAsia="zh-CN"/>
        </w:rPr>
      </w:pPr>
      <w:r>
        <w:rPr>
          <w:rFonts w:hint="eastAsia" w:ascii="黑体" w:hAnsi="宋体" w:eastAsia="黑体" w:cs="黑体"/>
          <w:snapToGrid w:val="0"/>
          <w:color w:val="000000"/>
          <w:kern w:val="0"/>
          <w:sz w:val="32"/>
          <w:szCs w:val="32"/>
          <w:lang w:val="en-US" w:eastAsia="zh-CN" w:bidi="ar"/>
        </w:rPr>
        <w:t xml:space="preserve">第五十四条 </w:t>
      </w:r>
      <w:r>
        <w:rPr>
          <w:rFonts w:hint="eastAsia" w:ascii="方正仿宋_GB2312" w:hAnsi="方正仿宋_GB2312" w:eastAsia="方正仿宋_GB2312" w:cs="方正仿宋_GB2312"/>
          <w:spacing w:val="17"/>
          <w:sz w:val="32"/>
          <w:szCs w:val="32"/>
          <w:highlight w:val="none"/>
          <w:lang w:val="en-US" w:eastAsia="zh-CN"/>
        </w:rPr>
        <w:t xml:space="preserve">企业需要申报认定的各项资产损失，均应提供合法证据，包括具有法律效力的外部证据、社会中介机构的经济鉴证证明和特定事项的企业内部证据。 </w:t>
      </w:r>
    </w:p>
    <w:p w14:paraId="0801715B">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708" w:firstLineChars="200"/>
        <w:jc w:val="both"/>
        <w:textAlignment w:val="baseline"/>
      </w:pPr>
      <w:r>
        <w:rPr>
          <w:rFonts w:hint="eastAsia" w:ascii="方正仿宋_GB2312" w:hAnsi="方正仿宋_GB2312" w:eastAsia="方正仿宋_GB2312" w:cs="方正仿宋_GB2312"/>
          <w:spacing w:val="17"/>
          <w:sz w:val="32"/>
          <w:szCs w:val="32"/>
          <w:highlight w:val="none"/>
          <w:lang w:val="en-US" w:eastAsia="zh-CN"/>
        </w:rPr>
        <w:t>对作为资产损失的所有证据，企业都应当根据内部控制制度和财务管理制度，进行逐级审核，认真把关。</w:t>
      </w:r>
      <w:r>
        <w:rPr>
          <w:rFonts w:hint="eastAsia" w:ascii="仿宋_GB2312" w:hAnsi="宋体" w:eastAsia="仿宋_GB2312" w:cs="仿宋_GB2312"/>
          <w:snapToGrid w:val="0"/>
          <w:color w:val="000000"/>
          <w:kern w:val="0"/>
          <w:sz w:val="32"/>
          <w:szCs w:val="32"/>
          <w:lang w:val="en-US" w:eastAsia="zh-CN" w:bidi="ar"/>
        </w:rPr>
        <w:t xml:space="preserve"> </w:t>
      </w:r>
    </w:p>
    <w:p w14:paraId="24EDEC5A">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pacing w:val="17"/>
          <w:sz w:val="32"/>
          <w:szCs w:val="32"/>
          <w:highlight w:val="none"/>
        </w:rPr>
      </w:pPr>
      <w:r>
        <w:rPr>
          <w:rFonts w:hint="eastAsia" w:ascii="黑体" w:hAnsi="宋体" w:eastAsia="黑体" w:cs="黑体"/>
          <w:snapToGrid w:val="0"/>
          <w:color w:val="000000"/>
          <w:kern w:val="0"/>
          <w:sz w:val="32"/>
          <w:szCs w:val="32"/>
          <w:lang w:val="en-US" w:eastAsia="zh-CN" w:bidi="ar"/>
        </w:rPr>
        <w:t xml:space="preserve">第五十五条 </w:t>
      </w:r>
      <w:r>
        <w:rPr>
          <w:rFonts w:hint="eastAsia" w:ascii="方正仿宋_GB2312" w:hAnsi="方正仿宋_GB2312" w:eastAsia="方正仿宋_GB2312" w:cs="方正仿宋_GB2312"/>
          <w:spacing w:val="17"/>
          <w:sz w:val="32"/>
          <w:szCs w:val="32"/>
          <w:highlight w:val="none"/>
          <w:lang w:val="en-US" w:eastAsia="zh-CN"/>
        </w:rPr>
        <w:t xml:space="preserve">企业对清理出来的不良资产的核实和认定， </w:t>
      </w:r>
    </w:p>
    <w:p w14:paraId="4F33AB55">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both"/>
        <w:textAlignment w:val="baseline"/>
        <w:rPr>
          <w:rFonts w:hint="eastAsia" w:ascii="方正仿宋_GB2312" w:hAnsi="方正仿宋_GB2312" w:eastAsia="方正仿宋_GB2312" w:cs="方正仿宋_GB2312"/>
          <w:spacing w:val="17"/>
          <w:sz w:val="32"/>
          <w:szCs w:val="32"/>
          <w:highlight w:val="none"/>
          <w:lang w:val="en-US" w:eastAsia="zh-CN"/>
        </w:rPr>
      </w:pPr>
      <w:r>
        <w:rPr>
          <w:rFonts w:hint="eastAsia" w:ascii="方正仿宋_GB2312" w:hAnsi="方正仿宋_GB2312" w:eastAsia="方正仿宋_GB2312" w:cs="方正仿宋_GB2312"/>
          <w:spacing w:val="17"/>
          <w:sz w:val="32"/>
          <w:szCs w:val="32"/>
          <w:highlight w:val="none"/>
          <w:lang w:val="en-US" w:eastAsia="zh-CN"/>
        </w:rPr>
        <w:t>具体按照国务院国资委《国有企业资产损失认定工作规则》的有关规定进行。</w:t>
      </w:r>
    </w:p>
    <w:p w14:paraId="0A78A0B9">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both"/>
        <w:textAlignment w:val="baseline"/>
        <w:rPr>
          <w:rFonts w:hint="eastAsia" w:ascii="方正仿宋_GB2312" w:hAnsi="方正仿宋_GB2312" w:eastAsia="方正仿宋_GB2312" w:cs="方正仿宋_GB2312"/>
          <w:spacing w:val="17"/>
          <w:sz w:val="32"/>
          <w:szCs w:val="32"/>
          <w:highlight w:val="none"/>
          <w:lang w:val="en-US" w:eastAsia="zh-CN"/>
        </w:rPr>
      </w:pPr>
    </w:p>
    <w:p w14:paraId="34DF4C2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6" w:lineRule="exact"/>
        <w:ind w:left="0" w:leftChars="0" w:right="0" w:firstLine="724" w:firstLineChars="200"/>
        <w:jc w:val="center"/>
        <w:textAlignment w:val="baseline"/>
        <w:rPr>
          <w:rFonts w:hint="eastAsia" w:ascii="黑体" w:hAnsi="黑体" w:eastAsia="黑体" w:cs="黑体"/>
          <w:spacing w:val="-1"/>
          <w:sz w:val="32"/>
          <w:szCs w:val="32"/>
          <w:highlight w:val="none"/>
        </w:rPr>
      </w:pPr>
      <w:r>
        <w:rPr>
          <w:rFonts w:hint="eastAsia" w:ascii="黑体" w:hAnsi="黑体" w:eastAsia="黑体" w:cs="黑体"/>
          <w:spacing w:val="21"/>
          <w:sz w:val="32"/>
          <w:szCs w:val="32"/>
          <w:highlight w:val="none"/>
        </w:rPr>
        <w:t xml:space="preserve"> </w:t>
      </w:r>
      <w:r>
        <w:rPr>
          <w:rFonts w:hint="eastAsia" w:ascii="黑体" w:hAnsi="黑体" w:eastAsia="黑体" w:cs="黑体"/>
          <w:spacing w:val="-1"/>
          <w:sz w:val="32"/>
          <w:szCs w:val="32"/>
          <w:highlight w:val="none"/>
        </w:rPr>
        <w:t>附</w:t>
      </w:r>
      <w:r>
        <w:rPr>
          <w:rFonts w:hint="eastAsia" w:ascii="黑体" w:hAnsi="黑体" w:eastAsia="黑体" w:cs="黑体"/>
          <w:spacing w:val="10"/>
          <w:sz w:val="32"/>
          <w:szCs w:val="32"/>
          <w:highlight w:val="none"/>
        </w:rPr>
        <w:t xml:space="preserve">  </w:t>
      </w:r>
      <w:r>
        <w:rPr>
          <w:rFonts w:hint="eastAsia" w:ascii="黑体" w:hAnsi="黑体" w:eastAsia="黑体" w:cs="黑体"/>
          <w:spacing w:val="-1"/>
          <w:sz w:val="32"/>
          <w:szCs w:val="32"/>
          <w:highlight w:val="none"/>
        </w:rPr>
        <w:t>则</w:t>
      </w:r>
    </w:p>
    <w:p w14:paraId="1E83B4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right="0" w:rightChars="0"/>
        <w:jc w:val="both"/>
        <w:textAlignment w:val="baseline"/>
        <w:rPr>
          <w:rFonts w:hint="eastAsia" w:ascii="黑体" w:hAnsi="黑体" w:eastAsia="黑体" w:cs="黑体"/>
          <w:spacing w:val="-1"/>
          <w:sz w:val="32"/>
          <w:szCs w:val="32"/>
          <w:highlight w:val="none"/>
        </w:rPr>
      </w:pPr>
    </w:p>
    <w:p w14:paraId="1186E8C9">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宋体" w:eastAsia="黑体" w:cs="黑体"/>
          <w:snapToGrid w:val="0"/>
          <w:color w:val="000000"/>
          <w:kern w:val="0"/>
          <w:sz w:val="32"/>
          <w:szCs w:val="32"/>
          <w:lang w:val="en-US" w:eastAsia="zh-CN" w:bidi="ar"/>
        </w:rPr>
        <w:t>第五十六条</w:t>
      </w:r>
      <w:r>
        <w:rPr>
          <w:rFonts w:hint="eastAsia" w:ascii="方正仿宋_GB2312" w:hAnsi="方正仿宋_GB2312" w:eastAsia="方正仿宋_GB2312" w:cs="方正仿宋_GB2312"/>
          <w:spacing w:val="157"/>
          <w:sz w:val="32"/>
          <w:szCs w:val="32"/>
          <w:highlight w:val="none"/>
        </w:rPr>
        <w:t xml:space="preserve"> </w:t>
      </w:r>
      <w:r>
        <w:rPr>
          <w:rFonts w:hint="eastAsia" w:ascii="方正仿宋_GB2312" w:hAnsi="方正仿宋_GB2312" w:eastAsia="方正仿宋_GB2312" w:cs="方正仿宋_GB2312"/>
          <w:spacing w:val="17"/>
          <w:sz w:val="32"/>
          <w:szCs w:val="32"/>
          <w:highlight w:val="none"/>
        </w:rPr>
        <w:t>本办法所称产权交易机构是指</w:t>
      </w:r>
      <w:r>
        <w:rPr>
          <w:rFonts w:hint="eastAsia" w:ascii="方正仿宋_GB2312" w:hAnsi="方正仿宋_GB2312" w:eastAsia="方正仿宋_GB2312" w:cs="方正仿宋_GB2312"/>
          <w:spacing w:val="17"/>
          <w:sz w:val="32"/>
          <w:szCs w:val="32"/>
          <w:highlight w:val="none"/>
          <w:lang w:eastAsia="zh-CN"/>
        </w:rPr>
        <w:t>市</w:t>
      </w:r>
      <w:r>
        <w:rPr>
          <w:rFonts w:hint="eastAsia" w:ascii="方正仿宋_GB2312" w:hAnsi="方正仿宋_GB2312" w:eastAsia="方正仿宋_GB2312" w:cs="方正仿宋_GB2312"/>
          <w:spacing w:val="17"/>
          <w:sz w:val="32"/>
          <w:szCs w:val="32"/>
          <w:highlight w:val="none"/>
        </w:rPr>
        <w:t>级</w:t>
      </w:r>
      <w:r>
        <w:rPr>
          <w:rFonts w:hint="eastAsia" w:ascii="方正仿宋_GB2312" w:hAnsi="方正仿宋_GB2312" w:eastAsia="方正仿宋_GB2312" w:cs="方正仿宋_GB2312"/>
          <w:spacing w:val="17"/>
          <w:sz w:val="32"/>
          <w:szCs w:val="32"/>
          <w:highlight w:val="none"/>
          <w:lang w:eastAsia="zh-CN"/>
        </w:rPr>
        <w:t>及</w:t>
      </w:r>
      <w:r>
        <w:rPr>
          <w:rFonts w:hint="eastAsia" w:ascii="方正仿宋_GB2312" w:hAnsi="方正仿宋_GB2312" w:eastAsia="方正仿宋_GB2312" w:cs="方正仿宋_GB2312"/>
          <w:spacing w:val="17"/>
          <w:sz w:val="32"/>
          <w:szCs w:val="32"/>
          <w:highlight w:val="none"/>
        </w:rPr>
        <w:t>以上国资监</w:t>
      </w:r>
      <w:r>
        <w:rPr>
          <w:rFonts w:hint="eastAsia" w:ascii="方正仿宋_GB2312" w:hAnsi="方正仿宋_GB2312" w:eastAsia="方正仿宋_GB2312" w:cs="方正仿宋_GB2312"/>
          <w:spacing w:val="-1"/>
          <w:sz w:val="32"/>
          <w:szCs w:val="32"/>
          <w:highlight w:val="none"/>
        </w:rPr>
        <w:t>管机构选择确定的产权交易所（中心）。</w:t>
      </w:r>
      <w:r>
        <w:rPr>
          <w:rFonts w:hint="eastAsia" w:ascii="方正仿宋_GB2312" w:hAnsi="方正仿宋_GB2312" w:eastAsia="方正仿宋_GB2312" w:cs="方正仿宋_GB2312"/>
          <w:spacing w:val="17"/>
          <w:sz w:val="32"/>
          <w:szCs w:val="32"/>
          <w:highlight w:val="none"/>
        </w:rPr>
        <w:t>企业应当在</w:t>
      </w:r>
      <w:r>
        <w:rPr>
          <w:rFonts w:hint="eastAsia" w:ascii="方正仿宋_GB2312" w:hAnsi="方正仿宋_GB2312" w:eastAsia="方正仿宋_GB2312" w:cs="方正仿宋_GB2312"/>
          <w:spacing w:val="17"/>
          <w:sz w:val="32"/>
          <w:szCs w:val="32"/>
          <w:highlight w:val="none"/>
          <w:lang w:eastAsia="zh-CN"/>
        </w:rPr>
        <w:t>市</w:t>
      </w:r>
      <w:r>
        <w:rPr>
          <w:rFonts w:hint="eastAsia" w:ascii="方正仿宋_GB2312" w:hAnsi="方正仿宋_GB2312" w:eastAsia="方正仿宋_GB2312" w:cs="方正仿宋_GB2312"/>
          <w:spacing w:val="17"/>
          <w:sz w:val="32"/>
          <w:szCs w:val="32"/>
          <w:highlight w:val="none"/>
        </w:rPr>
        <w:t>级以上国资监管机构选择的产权交易机构中</w:t>
      </w:r>
      <w:r>
        <w:rPr>
          <w:rFonts w:hint="eastAsia" w:ascii="方正仿宋_GB2312" w:hAnsi="方正仿宋_GB2312" w:eastAsia="方正仿宋_GB2312" w:cs="方正仿宋_GB2312"/>
          <w:spacing w:val="6"/>
          <w:sz w:val="32"/>
          <w:szCs w:val="32"/>
          <w:highlight w:val="none"/>
        </w:rPr>
        <w:t>选择产权交易机构。</w:t>
      </w:r>
    </w:p>
    <w:p w14:paraId="405631BC">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宋体" w:eastAsia="黑体" w:cs="黑体"/>
          <w:snapToGrid w:val="0"/>
          <w:color w:val="000000"/>
          <w:kern w:val="0"/>
          <w:sz w:val="32"/>
          <w:szCs w:val="32"/>
          <w:lang w:val="en-US" w:eastAsia="zh-CN" w:bidi="ar"/>
        </w:rPr>
        <w:t>第五十七条</w:t>
      </w:r>
      <w:r>
        <w:rPr>
          <w:rFonts w:hint="eastAsia" w:ascii="方正仿宋_GB2312" w:hAnsi="方正仿宋_GB2312" w:eastAsia="方正仿宋_GB2312" w:cs="方正仿宋_GB2312"/>
          <w:spacing w:val="127"/>
          <w:sz w:val="32"/>
          <w:szCs w:val="32"/>
          <w:highlight w:val="none"/>
        </w:rPr>
        <w:t xml:space="preserve"> </w:t>
      </w:r>
      <w:r>
        <w:rPr>
          <w:rFonts w:hint="eastAsia" w:ascii="方正仿宋_GB2312" w:hAnsi="方正仿宋_GB2312" w:eastAsia="方正仿宋_GB2312" w:cs="方正仿宋_GB2312"/>
          <w:spacing w:val="5"/>
          <w:sz w:val="32"/>
          <w:szCs w:val="32"/>
          <w:highlight w:val="none"/>
        </w:rPr>
        <w:t>境外国有及国有控股企业、国有实际控制企业</w:t>
      </w:r>
      <w:r>
        <w:rPr>
          <w:rFonts w:hint="eastAsia" w:ascii="方正仿宋_GB2312" w:hAnsi="方正仿宋_GB2312" w:eastAsia="方正仿宋_GB2312" w:cs="方正仿宋_GB2312"/>
          <w:spacing w:val="8"/>
          <w:sz w:val="32"/>
          <w:szCs w:val="32"/>
          <w:highlight w:val="none"/>
        </w:rPr>
        <w:t>在境内投资企业的资产交易，比照本办法规定执行。</w:t>
      </w:r>
    </w:p>
    <w:p w14:paraId="5B032FEB">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宋体" w:eastAsia="黑体" w:cs="黑体"/>
          <w:snapToGrid w:val="0"/>
          <w:color w:val="000000"/>
          <w:kern w:val="0"/>
          <w:sz w:val="32"/>
          <w:szCs w:val="32"/>
          <w:lang w:val="en-US" w:eastAsia="zh-CN" w:bidi="ar"/>
        </w:rPr>
        <w:t>第五十八条</w:t>
      </w:r>
      <w:r>
        <w:rPr>
          <w:rFonts w:hint="eastAsia" w:ascii="方正仿宋_GB2312" w:hAnsi="方正仿宋_GB2312" w:eastAsia="方正仿宋_GB2312" w:cs="方正仿宋_GB2312"/>
          <w:spacing w:val="135"/>
          <w:sz w:val="32"/>
          <w:szCs w:val="32"/>
          <w:highlight w:val="none"/>
        </w:rPr>
        <w:t xml:space="preserve"> </w:t>
      </w:r>
      <w:r>
        <w:rPr>
          <w:rFonts w:hint="eastAsia" w:ascii="方正仿宋_GB2312" w:hAnsi="方正仿宋_GB2312" w:eastAsia="方正仿宋_GB2312" w:cs="方正仿宋_GB2312"/>
          <w:spacing w:val="4"/>
          <w:sz w:val="32"/>
          <w:szCs w:val="32"/>
          <w:highlight w:val="none"/>
        </w:rPr>
        <w:t>企业在资产交易过程中发现产权归属不清的</w:t>
      </w:r>
      <w:r>
        <w:rPr>
          <w:rFonts w:hint="eastAsia" w:ascii="方正仿宋_GB2312" w:hAnsi="方正仿宋_GB2312" w:eastAsia="方正仿宋_GB2312" w:cs="方正仿宋_GB2312"/>
          <w:spacing w:val="4"/>
          <w:sz w:val="32"/>
          <w:szCs w:val="32"/>
          <w:highlight w:val="none"/>
          <w:lang w:eastAsia="zh-CN"/>
        </w:rPr>
        <w:t>，</w:t>
      </w:r>
      <w:r>
        <w:rPr>
          <w:rFonts w:hint="eastAsia" w:ascii="方正仿宋_GB2312" w:hAnsi="方正仿宋_GB2312" w:eastAsia="方正仿宋_GB2312" w:cs="方正仿宋_GB2312"/>
          <w:spacing w:val="4"/>
          <w:sz w:val="32"/>
          <w:szCs w:val="32"/>
          <w:highlight w:val="none"/>
        </w:rPr>
        <w:t>应通过司法途径进行产权界定。</w:t>
      </w:r>
    </w:p>
    <w:p w14:paraId="2ECF3031">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宋体" w:eastAsia="黑体" w:cs="黑体"/>
          <w:snapToGrid w:val="0"/>
          <w:color w:val="000000"/>
          <w:kern w:val="0"/>
          <w:sz w:val="32"/>
          <w:szCs w:val="32"/>
          <w:lang w:val="en-US" w:eastAsia="zh-CN" w:bidi="ar"/>
        </w:rPr>
        <w:t>第五十九条</w:t>
      </w:r>
      <w:r>
        <w:rPr>
          <w:rFonts w:hint="eastAsia" w:ascii="方正仿宋_GB2312" w:hAnsi="方正仿宋_GB2312" w:eastAsia="方正仿宋_GB2312" w:cs="方正仿宋_GB2312"/>
          <w:spacing w:val="127"/>
          <w:sz w:val="32"/>
          <w:szCs w:val="32"/>
          <w:highlight w:val="none"/>
        </w:rPr>
        <w:t xml:space="preserve"> </w:t>
      </w:r>
      <w:r>
        <w:rPr>
          <w:rFonts w:hint="eastAsia" w:ascii="方正仿宋_GB2312" w:hAnsi="方正仿宋_GB2312" w:eastAsia="方正仿宋_GB2312" w:cs="方正仿宋_GB2312"/>
          <w:spacing w:val="5"/>
          <w:sz w:val="32"/>
          <w:szCs w:val="32"/>
          <w:highlight w:val="none"/>
        </w:rPr>
        <w:t>金融、文化类国家出资企业的国有资产交易和</w:t>
      </w:r>
      <w:r>
        <w:rPr>
          <w:rFonts w:hint="eastAsia" w:ascii="方正仿宋_GB2312" w:hAnsi="方正仿宋_GB2312" w:eastAsia="方正仿宋_GB2312" w:cs="方正仿宋_GB2312"/>
          <w:spacing w:val="-3"/>
          <w:sz w:val="32"/>
          <w:szCs w:val="32"/>
          <w:highlight w:val="none"/>
        </w:rPr>
        <w:t>上市公司的国有股权转让等行为，国家另有规定的，依照其规定。</w:t>
      </w:r>
    </w:p>
    <w:p w14:paraId="45F819DA">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黑体" w:hAnsi="宋体" w:eastAsia="黑体" w:cs="黑体"/>
          <w:snapToGrid w:val="0"/>
          <w:color w:val="000000"/>
          <w:kern w:val="0"/>
          <w:sz w:val="32"/>
          <w:szCs w:val="32"/>
          <w:lang w:val="en-US" w:eastAsia="zh-CN" w:bidi="ar"/>
        </w:rPr>
        <w:t>第六十条</w:t>
      </w:r>
      <w:r>
        <w:rPr>
          <w:rFonts w:hint="eastAsia" w:ascii="方正仿宋_GB2312" w:hAnsi="方正仿宋_GB2312" w:eastAsia="方正仿宋_GB2312" w:cs="方正仿宋_GB2312"/>
          <w:spacing w:val="156"/>
          <w:sz w:val="32"/>
          <w:szCs w:val="32"/>
          <w:highlight w:val="none"/>
        </w:rPr>
        <w:t xml:space="preserve"> </w:t>
      </w:r>
      <w:r>
        <w:rPr>
          <w:rFonts w:hint="eastAsia" w:ascii="方正仿宋_GB2312" w:hAnsi="方正仿宋_GB2312" w:eastAsia="方正仿宋_GB2312" w:cs="方正仿宋_GB2312"/>
          <w:spacing w:val="17"/>
          <w:sz w:val="32"/>
          <w:szCs w:val="32"/>
          <w:highlight w:val="none"/>
        </w:rPr>
        <w:t>政府设立的各类股权投资基金投资形成的企</w:t>
      </w:r>
      <w:r>
        <w:rPr>
          <w:rFonts w:hint="eastAsia" w:ascii="方正仿宋_GB2312" w:hAnsi="方正仿宋_GB2312" w:eastAsia="方正仿宋_GB2312" w:cs="方正仿宋_GB2312"/>
          <w:spacing w:val="7"/>
          <w:sz w:val="32"/>
          <w:szCs w:val="32"/>
          <w:highlight w:val="none"/>
        </w:rPr>
        <w:t>业产（股）权对外转让，按照有关法律法规规定</w:t>
      </w:r>
      <w:r>
        <w:rPr>
          <w:rFonts w:hint="eastAsia" w:ascii="方正仿宋_GB2312" w:hAnsi="方正仿宋_GB2312" w:eastAsia="方正仿宋_GB2312" w:cs="方正仿宋_GB2312"/>
          <w:spacing w:val="6"/>
          <w:sz w:val="32"/>
          <w:szCs w:val="32"/>
          <w:highlight w:val="none"/>
        </w:rPr>
        <w:t>执行。</w:t>
      </w:r>
    </w:p>
    <w:p w14:paraId="3D381CE6">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pacing w:val="6"/>
          <w:sz w:val="32"/>
          <w:szCs w:val="32"/>
          <w:highlight w:val="none"/>
        </w:rPr>
      </w:pPr>
      <w:r>
        <w:rPr>
          <w:rFonts w:hint="eastAsia" w:ascii="黑体" w:hAnsi="宋体" w:eastAsia="黑体" w:cs="黑体"/>
          <w:snapToGrid w:val="0"/>
          <w:color w:val="000000"/>
          <w:kern w:val="0"/>
          <w:sz w:val="32"/>
          <w:szCs w:val="32"/>
          <w:lang w:val="en-US" w:eastAsia="zh-CN" w:bidi="ar"/>
        </w:rPr>
        <w:t>第六十一条</w:t>
      </w:r>
      <w:r>
        <w:rPr>
          <w:rFonts w:hint="eastAsia" w:ascii="方正仿宋_GB2312" w:hAnsi="方正仿宋_GB2312" w:eastAsia="方正仿宋_GB2312" w:cs="方正仿宋_GB2312"/>
          <w:spacing w:val="127"/>
          <w:sz w:val="32"/>
          <w:szCs w:val="32"/>
          <w:highlight w:val="none"/>
        </w:rPr>
        <w:t xml:space="preserve"> </w:t>
      </w:r>
      <w:r>
        <w:rPr>
          <w:rFonts w:hint="eastAsia" w:ascii="方正仿宋_GB2312" w:hAnsi="方正仿宋_GB2312" w:eastAsia="方正仿宋_GB2312" w:cs="方正仿宋_GB2312"/>
          <w:spacing w:val="5"/>
          <w:sz w:val="32"/>
          <w:szCs w:val="32"/>
          <w:highlight w:val="none"/>
        </w:rPr>
        <w:t>本办法自印发之日起执行。我</w:t>
      </w:r>
      <w:r>
        <w:rPr>
          <w:rFonts w:hint="eastAsia" w:ascii="方正仿宋_GB2312" w:hAnsi="方正仿宋_GB2312" w:eastAsia="方正仿宋_GB2312" w:cs="方正仿宋_GB2312"/>
          <w:spacing w:val="5"/>
          <w:sz w:val="32"/>
          <w:szCs w:val="32"/>
          <w:highlight w:val="none"/>
          <w:lang w:eastAsia="zh-CN"/>
        </w:rPr>
        <w:t>区</w:t>
      </w:r>
      <w:r>
        <w:rPr>
          <w:rFonts w:hint="eastAsia" w:ascii="方正仿宋_GB2312" w:hAnsi="方正仿宋_GB2312" w:eastAsia="方正仿宋_GB2312" w:cs="方正仿宋_GB2312"/>
          <w:spacing w:val="5"/>
          <w:sz w:val="32"/>
          <w:szCs w:val="32"/>
          <w:highlight w:val="none"/>
        </w:rPr>
        <w:t>现行企业国有</w:t>
      </w:r>
      <w:r>
        <w:rPr>
          <w:rFonts w:hint="eastAsia" w:ascii="方正仿宋_GB2312" w:hAnsi="方正仿宋_GB2312" w:eastAsia="方正仿宋_GB2312" w:cs="方正仿宋_GB2312"/>
          <w:spacing w:val="7"/>
          <w:sz w:val="32"/>
          <w:szCs w:val="32"/>
          <w:highlight w:val="none"/>
          <w:lang w:val="en-US" w:eastAsia="zh-CN"/>
        </w:rPr>
        <w:t>产权管理</w:t>
      </w:r>
      <w:r>
        <w:rPr>
          <w:rFonts w:hint="eastAsia" w:ascii="方正仿宋_GB2312" w:hAnsi="方正仿宋_GB2312" w:eastAsia="方正仿宋_GB2312" w:cs="方正仿宋_GB2312"/>
          <w:spacing w:val="7"/>
          <w:sz w:val="32"/>
          <w:szCs w:val="32"/>
          <w:highlight w:val="none"/>
        </w:rPr>
        <w:t>有关规定与本办法不一致的，以本办法</w:t>
      </w:r>
      <w:r>
        <w:rPr>
          <w:rFonts w:hint="eastAsia" w:ascii="方正仿宋_GB2312" w:hAnsi="方正仿宋_GB2312" w:eastAsia="方正仿宋_GB2312" w:cs="方正仿宋_GB2312"/>
          <w:spacing w:val="6"/>
          <w:sz w:val="32"/>
          <w:szCs w:val="32"/>
          <w:highlight w:val="none"/>
        </w:rPr>
        <w:t>为准。</w:t>
      </w:r>
    </w:p>
    <w:p w14:paraId="29A5CCED">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方正仿宋_GB2312" w:hAnsi="方正仿宋_GB2312" w:eastAsia="方正仿宋_GB2312" w:cs="方正仿宋_GB2312"/>
          <w:spacing w:val="6"/>
          <w:sz w:val="32"/>
          <w:szCs w:val="32"/>
          <w:highlight w:val="none"/>
        </w:rPr>
      </w:pPr>
      <w:r>
        <w:rPr>
          <w:rFonts w:hint="eastAsia" w:ascii="黑体" w:hAnsi="宋体" w:eastAsia="黑体" w:cs="黑体"/>
          <w:snapToGrid w:val="0"/>
          <w:color w:val="000000"/>
          <w:kern w:val="0"/>
          <w:sz w:val="32"/>
          <w:szCs w:val="32"/>
          <w:lang w:val="en-US" w:eastAsia="zh-CN" w:bidi="ar"/>
        </w:rPr>
        <w:t xml:space="preserve">第六十二条  </w:t>
      </w:r>
      <w:r>
        <w:rPr>
          <w:rFonts w:hint="eastAsia" w:ascii="方正仿宋_GB2312" w:hAnsi="方正仿宋_GB2312" w:eastAsia="方正仿宋_GB2312" w:cs="方正仿宋_GB2312"/>
          <w:spacing w:val="5"/>
          <w:sz w:val="32"/>
          <w:szCs w:val="32"/>
          <w:highlight w:val="none"/>
          <w:lang w:val="en-US" w:eastAsia="zh-CN"/>
        </w:rPr>
        <w:t>区属国有企业</w:t>
      </w:r>
      <w:r>
        <w:rPr>
          <w:rFonts w:hint="eastAsia" w:ascii="方正仿宋_GB2312" w:hAnsi="方正仿宋_GB2312" w:eastAsia="方正仿宋_GB2312" w:cs="方正仿宋_GB2312"/>
          <w:spacing w:val="5"/>
          <w:sz w:val="32"/>
          <w:szCs w:val="32"/>
          <w:highlight w:val="none"/>
        </w:rPr>
        <w:t>根据国家、省、市</w:t>
      </w:r>
      <w:r>
        <w:rPr>
          <w:rFonts w:hint="eastAsia" w:ascii="方正仿宋_GB2312" w:hAnsi="方正仿宋_GB2312" w:eastAsia="方正仿宋_GB2312" w:cs="方正仿宋_GB2312"/>
          <w:spacing w:val="5"/>
          <w:sz w:val="32"/>
          <w:szCs w:val="32"/>
          <w:highlight w:val="none"/>
          <w:lang w:eastAsia="zh-CN"/>
        </w:rPr>
        <w:t>、区</w:t>
      </w:r>
      <w:r>
        <w:rPr>
          <w:rFonts w:hint="eastAsia" w:ascii="方正仿宋_GB2312" w:hAnsi="方正仿宋_GB2312" w:eastAsia="方正仿宋_GB2312" w:cs="方正仿宋_GB2312"/>
          <w:spacing w:val="5"/>
          <w:sz w:val="32"/>
          <w:szCs w:val="32"/>
          <w:highlight w:val="none"/>
        </w:rPr>
        <w:t>国有资产管理的有关规定，制定本企业</w:t>
      </w:r>
      <w:r>
        <w:rPr>
          <w:rFonts w:hint="eastAsia" w:ascii="方正仿宋_GB2312" w:hAnsi="方正仿宋_GB2312" w:eastAsia="方正仿宋_GB2312" w:cs="方正仿宋_GB2312"/>
          <w:spacing w:val="5"/>
          <w:sz w:val="32"/>
          <w:szCs w:val="32"/>
          <w:highlight w:val="none"/>
          <w:lang w:val="en-US" w:eastAsia="zh-CN"/>
        </w:rPr>
        <w:t>产权管理</w:t>
      </w:r>
      <w:r>
        <w:rPr>
          <w:rFonts w:hint="eastAsia" w:ascii="方正仿宋_GB2312" w:hAnsi="方正仿宋_GB2312" w:eastAsia="方正仿宋_GB2312" w:cs="方正仿宋_GB2312"/>
          <w:spacing w:val="5"/>
          <w:sz w:val="32"/>
          <w:szCs w:val="32"/>
          <w:highlight w:val="none"/>
        </w:rPr>
        <w:t>相关制度、办法，</w:t>
      </w:r>
      <w:r>
        <w:rPr>
          <w:rFonts w:hint="eastAsia" w:ascii="方正仿宋_GB2312" w:hAnsi="方正仿宋_GB2312" w:eastAsia="方正仿宋_GB2312" w:cs="方正仿宋_GB2312"/>
          <w:spacing w:val="5"/>
          <w:sz w:val="32"/>
          <w:szCs w:val="32"/>
          <w:highlight w:val="none"/>
          <w:lang w:eastAsia="zh-CN"/>
        </w:rPr>
        <w:t>于</w:t>
      </w:r>
      <w:r>
        <w:rPr>
          <w:rFonts w:hint="eastAsia" w:ascii="方正仿宋_GB2312" w:hAnsi="方正仿宋_GB2312" w:eastAsia="方正仿宋_GB2312" w:cs="方正仿宋_GB2312"/>
          <w:spacing w:val="5"/>
          <w:sz w:val="32"/>
          <w:szCs w:val="32"/>
          <w:highlight w:val="none"/>
          <w:lang w:val="en-US" w:eastAsia="zh-CN"/>
        </w:rPr>
        <w:t>2025年5月15日前报区国资办备案。</w:t>
      </w:r>
    </w:p>
    <w:p w14:paraId="4076722E">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4" w:firstLineChars="200"/>
        <w:jc w:val="both"/>
        <w:textAlignment w:val="baseline"/>
        <w:rPr>
          <w:rFonts w:hint="eastAsia" w:ascii="方正仿宋_GB2312" w:hAnsi="方正仿宋_GB2312" w:eastAsia="方正仿宋_GB2312" w:cs="方正仿宋_GB2312"/>
          <w:spacing w:val="6"/>
          <w:sz w:val="32"/>
          <w:szCs w:val="32"/>
          <w:highlight w:val="none"/>
        </w:rPr>
      </w:pPr>
    </w:p>
    <w:p w14:paraId="115E382A">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4" w:firstLineChars="200"/>
        <w:jc w:val="both"/>
        <w:textAlignment w:val="baseline"/>
        <w:rPr>
          <w:rFonts w:hint="eastAsia" w:ascii="方正仿宋_GB2312" w:hAnsi="方正仿宋_GB2312" w:eastAsia="方正仿宋_GB2312" w:cs="方正仿宋_GB2312"/>
          <w:spacing w:val="6"/>
          <w:sz w:val="32"/>
          <w:szCs w:val="32"/>
          <w:highlight w:val="none"/>
        </w:rPr>
      </w:pPr>
    </w:p>
    <w:p w14:paraId="13830325">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64" w:firstLineChars="200"/>
        <w:jc w:val="both"/>
        <w:textAlignment w:val="baseline"/>
        <w:rPr>
          <w:rFonts w:hint="eastAsia" w:ascii="方正仿宋_GB2312" w:hAnsi="方正仿宋_GB2312" w:eastAsia="方正仿宋_GB2312" w:cs="方正仿宋_GB2312"/>
          <w:spacing w:val="6"/>
          <w:sz w:val="32"/>
          <w:szCs w:val="32"/>
          <w:highlight w:val="none"/>
        </w:rPr>
      </w:pPr>
    </w:p>
    <w:p w14:paraId="054355F6">
      <w:pPr>
        <w:rPr>
          <w:rFonts w:hint="eastAsia" w:ascii="方正仿宋_GB2312" w:hAnsi="方正仿宋_GB2312" w:eastAsia="方正仿宋_GB2312" w:cs="方正仿宋_GB2312"/>
          <w:spacing w:val="6"/>
          <w:sz w:val="32"/>
          <w:szCs w:val="32"/>
          <w:highlight w:val="none"/>
        </w:rPr>
        <w:sectPr>
          <w:footerReference r:id="rId5" w:type="default"/>
          <w:pgSz w:w="11907" w:h="16839"/>
          <w:pgMar w:top="1431" w:right="1440" w:bottom="1759" w:left="1531" w:header="0" w:footer="1485" w:gutter="0"/>
          <w:cols w:space="0" w:num="1"/>
          <w:rtlGutter w:val="0"/>
          <w:docGrid w:linePitch="0" w:charSpace="0"/>
        </w:sectPr>
      </w:pPr>
      <w:r>
        <w:rPr>
          <w:rFonts w:hint="eastAsia" w:ascii="方正仿宋_GB2312" w:hAnsi="方正仿宋_GB2312" w:eastAsia="方正仿宋_GB2312" w:cs="方正仿宋_GB2312"/>
          <w:spacing w:val="6"/>
          <w:sz w:val="32"/>
          <w:szCs w:val="32"/>
          <w:highlight w:val="none"/>
        </w:rPr>
        <w:br w:type="page"/>
      </w:r>
    </w:p>
    <w:p w14:paraId="5ED87EF9">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both"/>
        <w:textAlignment w:val="baseline"/>
        <w:rPr>
          <w:rFonts w:hint="default" w:ascii="方正公文小标宋" w:hAnsi="方正公文小标宋" w:eastAsia="方正公文小标宋" w:cs="方正公文小标宋"/>
          <w:b w:val="0"/>
          <w:bCs w:val="0"/>
          <w:spacing w:val="6"/>
          <w:sz w:val="36"/>
          <w:szCs w:val="36"/>
          <w:highlight w:val="none"/>
          <w:lang w:val="en-US" w:eastAsia="zh-CN"/>
        </w:rPr>
      </w:pPr>
      <w:r>
        <w:rPr>
          <w:rFonts w:hint="eastAsia" w:ascii="方正公文小标宋" w:hAnsi="方正公文小标宋" w:eastAsia="方正公文小标宋" w:cs="方正公文小标宋"/>
          <w:b w:val="0"/>
          <w:bCs w:val="0"/>
          <w:spacing w:val="6"/>
          <w:sz w:val="36"/>
          <w:szCs w:val="36"/>
          <w:highlight w:val="none"/>
          <w:lang w:eastAsia="zh-CN"/>
        </w:rPr>
        <w:t>附件</w:t>
      </w:r>
      <w:r>
        <w:rPr>
          <w:rFonts w:hint="eastAsia" w:ascii="方正公文小标宋" w:hAnsi="方正公文小标宋" w:eastAsia="方正公文小标宋" w:cs="方正公文小标宋"/>
          <w:b w:val="0"/>
          <w:bCs w:val="0"/>
          <w:spacing w:val="6"/>
          <w:sz w:val="36"/>
          <w:szCs w:val="36"/>
          <w:highlight w:val="none"/>
          <w:lang w:val="en-US" w:eastAsia="zh-CN"/>
        </w:rPr>
        <w:t>1</w:t>
      </w:r>
    </w:p>
    <w:p w14:paraId="6AEC6544">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center"/>
        <w:textAlignment w:val="baseline"/>
        <w:rPr>
          <w:rFonts w:hint="eastAsia" w:ascii="方正公文小标宋" w:hAnsi="方正公文小标宋" w:eastAsia="方正公文小标宋" w:cs="方正公文小标宋"/>
          <w:b w:val="0"/>
          <w:bCs w:val="0"/>
          <w:spacing w:val="6"/>
          <w:sz w:val="36"/>
          <w:szCs w:val="36"/>
          <w:highlight w:val="none"/>
          <w:lang w:eastAsia="zh-CN"/>
        </w:rPr>
        <w:sectPr>
          <w:pgSz w:w="23814" w:h="16840" w:orient="landscape"/>
          <w:pgMar w:top="1797" w:right="1440" w:bottom="1797" w:left="1440" w:header="851" w:footer="992" w:gutter="0"/>
          <w:cols w:space="425" w:num="2"/>
          <w:docGrid w:type="lines" w:linePitch="312" w:charSpace="0"/>
        </w:sectPr>
      </w:pPr>
    </w:p>
    <w:p w14:paraId="0E8B1928">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center"/>
        <w:textAlignment w:val="baseline"/>
        <w:rPr>
          <w:rFonts w:hint="eastAsia" w:ascii="方正公文小标宋" w:hAnsi="方正公文小标宋" w:eastAsia="方正公文小标宋" w:cs="方正公文小标宋"/>
          <w:b w:val="0"/>
          <w:bCs w:val="0"/>
          <w:spacing w:val="6"/>
          <w:sz w:val="52"/>
          <w:szCs w:val="52"/>
          <w:highlight w:val="none"/>
          <w:lang w:eastAsia="zh-CN"/>
        </w:rPr>
      </w:pPr>
      <w:r>
        <w:rPr>
          <w:rFonts w:hint="eastAsia" w:ascii="方正公文小标宋" w:hAnsi="方正公文小标宋" w:eastAsia="方正公文小标宋" w:cs="方正公文小标宋"/>
          <w:b w:val="0"/>
          <w:bCs w:val="0"/>
          <w:spacing w:val="6"/>
          <w:sz w:val="52"/>
          <w:szCs w:val="52"/>
          <w:highlight w:val="none"/>
          <w:lang w:eastAsia="zh-CN"/>
        </w:rPr>
        <w:t>瓯海区国有企业</w:t>
      </w:r>
      <w:r>
        <w:rPr>
          <w:rFonts w:hint="eastAsia" w:ascii="方正公文小标宋" w:hAnsi="方正公文小标宋" w:eastAsia="方正公文小标宋" w:cs="方正公文小标宋"/>
          <w:b w:val="0"/>
          <w:bCs w:val="0"/>
          <w:spacing w:val="6"/>
          <w:sz w:val="52"/>
          <w:szCs w:val="52"/>
          <w:highlight w:val="none"/>
        </w:rPr>
        <w:t>产权转让事项</w:t>
      </w:r>
      <w:r>
        <w:rPr>
          <w:rFonts w:hint="eastAsia" w:ascii="方正公文小标宋" w:hAnsi="方正公文小标宋" w:eastAsia="方正公文小标宋" w:cs="方正公文小标宋"/>
          <w:b w:val="0"/>
          <w:bCs w:val="0"/>
          <w:spacing w:val="6"/>
          <w:sz w:val="52"/>
          <w:szCs w:val="52"/>
          <w:highlight w:val="none"/>
          <w:lang w:eastAsia="zh-CN"/>
        </w:rPr>
        <w:t>备案</w:t>
      </w:r>
      <w:r>
        <w:rPr>
          <w:rFonts w:hint="eastAsia" w:ascii="方正公文小标宋" w:hAnsi="方正公文小标宋" w:eastAsia="方正公文小标宋" w:cs="方正公文小标宋"/>
          <w:b w:val="0"/>
          <w:bCs w:val="0"/>
          <w:spacing w:val="6"/>
          <w:sz w:val="52"/>
          <w:szCs w:val="52"/>
          <w:highlight w:val="none"/>
        </w:rPr>
        <w:t>表</w:t>
      </w:r>
    </w:p>
    <w:p w14:paraId="43A9D3E6">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center"/>
        <w:textAlignment w:val="baseline"/>
        <w:rPr>
          <w:rFonts w:hint="eastAsia" w:ascii="方正仿宋_GB2312" w:hAnsi="方正仿宋_GB2312" w:eastAsia="方正仿宋_GB2312" w:cs="方正仿宋_GB2312"/>
          <w:b w:val="0"/>
          <w:bCs w:val="0"/>
          <w:spacing w:val="6"/>
          <w:sz w:val="36"/>
          <w:szCs w:val="36"/>
          <w:highlight w:val="none"/>
          <w:lang w:val="en-US" w:eastAsia="zh-CN"/>
        </w:rPr>
      </w:pPr>
      <w:r>
        <w:rPr>
          <w:rFonts w:hint="eastAsia" w:ascii="方正仿宋_GB2312" w:hAnsi="方正仿宋_GB2312" w:eastAsia="方正仿宋_GB2312" w:cs="方正仿宋_GB2312"/>
          <w:b w:val="0"/>
          <w:bCs w:val="0"/>
          <w:spacing w:val="6"/>
          <w:sz w:val="36"/>
          <w:szCs w:val="36"/>
          <w:highlight w:val="none"/>
          <w:lang w:eastAsia="zh-CN"/>
        </w:rPr>
        <w:t>备案日期：</w:t>
      </w:r>
      <w:r>
        <w:rPr>
          <w:rFonts w:hint="eastAsia" w:ascii="方正仿宋_GB2312" w:hAnsi="方正仿宋_GB2312" w:eastAsia="方正仿宋_GB2312" w:cs="方正仿宋_GB2312"/>
          <w:b w:val="0"/>
          <w:bCs w:val="0"/>
          <w:spacing w:val="6"/>
          <w:sz w:val="36"/>
          <w:szCs w:val="36"/>
          <w:highlight w:val="none"/>
          <w:lang w:val="en-US" w:eastAsia="zh-CN"/>
        </w:rPr>
        <w:t xml:space="preserve">    年   月   日</w:t>
      </w:r>
    </w:p>
    <w:p w14:paraId="2DF6536F">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center"/>
        <w:textAlignment w:val="baseline"/>
        <w:rPr>
          <w:rFonts w:hint="eastAsia" w:ascii="方正仿宋_GB2312" w:hAnsi="方正仿宋_GB2312" w:eastAsia="方正仿宋_GB2312" w:cs="方正仿宋_GB2312"/>
          <w:b w:val="0"/>
          <w:bCs w:val="0"/>
          <w:spacing w:val="6"/>
          <w:sz w:val="36"/>
          <w:szCs w:val="36"/>
          <w:highlight w:val="none"/>
          <w:lang w:val="en-US" w:eastAsia="zh-CN"/>
        </w:rPr>
      </w:pPr>
    </w:p>
    <w:p w14:paraId="5C0FF74D">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1116" w:firstLineChars="300"/>
        <w:jc w:val="left"/>
        <w:textAlignment w:val="baseline"/>
        <w:rPr>
          <w:rFonts w:hint="eastAsia" w:ascii="方正仿宋_GB2312" w:hAnsi="方正仿宋_GB2312" w:eastAsia="方正仿宋_GB2312" w:cs="方正仿宋_GB2312"/>
          <w:b w:val="0"/>
          <w:bCs w:val="0"/>
          <w:spacing w:val="6"/>
          <w:sz w:val="36"/>
          <w:szCs w:val="36"/>
          <w:highlight w:val="none"/>
          <w:lang w:val="en-US" w:eastAsia="zh-CN"/>
        </w:rPr>
      </w:pPr>
      <w:r>
        <w:rPr>
          <w:rFonts w:hint="eastAsia" w:ascii="方正仿宋_GB2312" w:hAnsi="方正仿宋_GB2312" w:eastAsia="方正仿宋_GB2312" w:cs="方正仿宋_GB2312"/>
          <w:b w:val="0"/>
          <w:bCs w:val="0"/>
          <w:spacing w:val="6"/>
          <w:sz w:val="36"/>
          <w:szCs w:val="36"/>
          <w:highlight w:val="none"/>
          <w:lang w:val="en-US" w:eastAsia="zh-CN"/>
        </w:rPr>
        <w:t>单位名称：                                   转让方式：                                  金额单位：万元</w:t>
      </w:r>
    </w:p>
    <w:p w14:paraId="12150ACE">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1116" w:firstLineChars="300"/>
        <w:jc w:val="left"/>
        <w:textAlignment w:val="baseline"/>
        <w:rPr>
          <w:rFonts w:hint="default" w:ascii="方正仿宋_GB2312" w:hAnsi="方正仿宋_GB2312" w:eastAsia="方正仿宋_GB2312" w:cs="方正仿宋_GB2312"/>
          <w:b w:val="0"/>
          <w:bCs w:val="0"/>
          <w:spacing w:val="6"/>
          <w:sz w:val="36"/>
          <w:szCs w:val="36"/>
          <w:highlight w:val="none"/>
          <w:lang w:val="en-US" w:eastAsia="zh-CN"/>
        </w:rPr>
      </w:pPr>
    </w:p>
    <w:tbl>
      <w:tblPr>
        <w:tblStyle w:val="8"/>
        <w:tblW w:w="2231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3357"/>
        <w:gridCol w:w="2115"/>
        <w:gridCol w:w="2115"/>
        <w:gridCol w:w="2115"/>
        <w:gridCol w:w="2448"/>
        <w:gridCol w:w="2625"/>
        <w:gridCol w:w="2456"/>
        <w:gridCol w:w="3788"/>
      </w:tblGrid>
      <w:tr w14:paraId="2D53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7F5141DA">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bCs/>
                <w:spacing w:val="6"/>
                <w:sz w:val="36"/>
                <w:szCs w:val="36"/>
                <w:highlight w:val="none"/>
                <w:vertAlign w:val="baseline"/>
                <w:lang w:val="en-US" w:eastAsia="zh-CN"/>
              </w:rPr>
            </w:pPr>
            <w:r>
              <w:rPr>
                <w:rFonts w:hint="eastAsia" w:ascii="方正仿宋_GB2312" w:hAnsi="方正仿宋_GB2312" w:eastAsia="方正仿宋_GB2312" w:cs="方正仿宋_GB2312"/>
                <w:b/>
                <w:bCs/>
                <w:spacing w:val="6"/>
                <w:sz w:val="36"/>
                <w:szCs w:val="36"/>
                <w:highlight w:val="none"/>
                <w:vertAlign w:val="baseline"/>
                <w:lang w:val="en-US" w:eastAsia="zh-CN"/>
              </w:rPr>
              <w:t>序号</w:t>
            </w:r>
          </w:p>
        </w:tc>
        <w:tc>
          <w:tcPr>
            <w:tcW w:w="3357" w:type="dxa"/>
          </w:tcPr>
          <w:p w14:paraId="6A3A15C3">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bCs/>
                <w:spacing w:val="6"/>
                <w:sz w:val="36"/>
                <w:szCs w:val="36"/>
                <w:highlight w:val="none"/>
                <w:vertAlign w:val="baseline"/>
                <w:lang w:val="en-US" w:eastAsia="zh-CN"/>
              </w:rPr>
            </w:pPr>
            <w:r>
              <w:rPr>
                <w:rFonts w:hint="eastAsia" w:ascii="方正仿宋_GB2312" w:hAnsi="方正仿宋_GB2312" w:eastAsia="方正仿宋_GB2312" w:cs="方正仿宋_GB2312"/>
                <w:b/>
                <w:bCs/>
                <w:spacing w:val="6"/>
                <w:sz w:val="36"/>
                <w:szCs w:val="36"/>
                <w:highlight w:val="none"/>
                <w:vertAlign w:val="baseline"/>
                <w:lang w:val="en-US" w:eastAsia="zh-CN"/>
              </w:rPr>
              <w:t>划转标的企业名称</w:t>
            </w:r>
          </w:p>
        </w:tc>
        <w:tc>
          <w:tcPr>
            <w:tcW w:w="2115" w:type="dxa"/>
          </w:tcPr>
          <w:p w14:paraId="4D2D7F68">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bCs/>
                <w:spacing w:val="6"/>
                <w:sz w:val="36"/>
                <w:szCs w:val="36"/>
                <w:highlight w:val="none"/>
                <w:vertAlign w:val="baseline"/>
                <w:lang w:val="en-US" w:eastAsia="zh-CN"/>
              </w:rPr>
            </w:pPr>
            <w:r>
              <w:rPr>
                <w:rFonts w:hint="eastAsia" w:ascii="方正仿宋_GB2312" w:hAnsi="方正仿宋_GB2312" w:eastAsia="方正仿宋_GB2312" w:cs="方正仿宋_GB2312"/>
                <w:b/>
                <w:bCs/>
                <w:spacing w:val="6"/>
                <w:sz w:val="36"/>
                <w:szCs w:val="36"/>
                <w:highlight w:val="none"/>
                <w:vertAlign w:val="baseline"/>
                <w:lang w:val="en-US" w:eastAsia="zh-CN"/>
              </w:rPr>
              <w:t>划出方名称</w:t>
            </w:r>
          </w:p>
        </w:tc>
        <w:tc>
          <w:tcPr>
            <w:tcW w:w="2115" w:type="dxa"/>
          </w:tcPr>
          <w:p w14:paraId="5A55FD17">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bCs/>
                <w:spacing w:val="6"/>
                <w:sz w:val="36"/>
                <w:szCs w:val="36"/>
                <w:highlight w:val="none"/>
                <w:vertAlign w:val="baseline"/>
                <w:lang w:val="en-US" w:eastAsia="zh-CN"/>
              </w:rPr>
            </w:pPr>
            <w:r>
              <w:rPr>
                <w:rFonts w:hint="eastAsia" w:ascii="方正仿宋_GB2312" w:hAnsi="方正仿宋_GB2312" w:eastAsia="方正仿宋_GB2312" w:cs="方正仿宋_GB2312"/>
                <w:b/>
                <w:bCs/>
                <w:spacing w:val="6"/>
                <w:sz w:val="36"/>
                <w:szCs w:val="36"/>
                <w:highlight w:val="none"/>
                <w:vertAlign w:val="baseline"/>
                <w:lang w:val="en-US" w:eastAsia="zh-CN"/>
              </w:rPr>
              <w:t>划入方名称</w:t>
            </w:r>
          </w:p>
        </w:tc>
        <w:tc>
          <w:tcPr>
            <w:tcW w:w="2115" w:type="dxa"/>
          </w:tcPr>
          <w:p w14:paraId="4AADC055">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bCs/>
                <w:spacing w:val="6"/>
                <w:sz w:val="36"/>
                <w:szCs w:val="36"/>
                <w:highlight w:val="none"/>
                <w:vertAlign w:val="baseline"/>
                <w:lang w:val="en-US" w:eastAsia="zh-CN"/>
              </w:rPr>
            </w:pPr>
            <w:r>
              <w:rPr>
                <w:rFonts w:hint="eastAsia" w:ascii="方正仿宋_GB2312" w:hAnsi="方正仿宋_GB2312" w:eastAsia="方正仿宋_GB2312" w:cs="方正仿宋_GB2312"/>
                <w:b/>
                <w:bCs/>
                <w:spacing w:val="6"/>
                <w:sz w:val="36"/>
                <w:szCs w:val="36"/>
                <w:highlight w:val="none"/>
                <w:vertAlign w:val="baseline"/>
                <w:lang w:val="en-US" w:eastAsia="zh-CN"/>
              </w:rPr>
              <w:t>评估基准日</w:t>
            </w:r>
          </w:p>
        </w:tc>
        <w:tc>
          <w:tcPr>
            <w:tcW w:w="2448" w:type="dxa"/>
          </w:tcPr>
          <w:p w14:paraId="06E96DBF">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bCs/>
                <w:spacing w:val="6"/>
                <w:sz w:val="36"/>
                <w:szCs w:val="36"/>
                <w:highlight w:val="none"/>
                <w:vertAlign w:val="baseline"/>
                <w:lang w:val="en-US" w:eastAsia="zh-CN"/>
              </w:rPr>
            </w:pPr>
            <w:r>
              <w:rPr>
                <w:rFonts w:hint="eastAsia" w:ascii="方正仿宋_GB2312" w:hAnsi="方正仿宋_GB2312" w:eastAsia="方正仿宋_GB2312" w:cs="方正仿宋_GB2312"/>
                <w:b/>
                <w:bCs/>
                <w:spacing w:val="6"/>
                <w:sz w:val="36"/>
                <w:szCs w:val="36"/>
                <w:highlight w:val="none"/>
                <w:vertAlign w:val="baseline"/>
                <w:lang w:val="en-US" w:eastAsia="zh-CN"/>
              </w:rPr>
              <w:t>划转股权比例（%）</w:t>
            </w:r>
          </w:p>
        </w:tc>
        <w:tc>
          <w:tcPr>
            <w:tcW w:w="2625" w:type="dxa"/>
          </w:tcPr>
          <w:p w14:paraId="5CBDB5F7">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bCs/>
                <w:spacing w:val="6"/>
                <w:sz w:val="36"/>
                <w:szCs w:val="36"/>
                <w:highlight w:val="none"/>
                <w:vertAlign w:val="baseline"/>
                <w:lang w:val="en-US" w:eastAsia="zh-CN"/>
              </w:rPr>
            </w:pPr>
            <w:r>
              <w:rPr>
                <w:rFonts w:hint="eastAsia" w:ascii="方正仿宋_GB2312" w:hAnsi="方正仿宋_GB2312" w:eastAsia="方正仿宋_GB2312" w:cs="方正仿宋_GB2312"/>
                <w:b/>
                <w:bCs/>
                <w:spacing w:val="6"/>
                <w:sz w:val="36"/>
                <w:szCs w:val="36"/>
                <w:highlight w:val="none"/>
                <w:vertAlign w:val="baseline"/>
                <w:lang w:val="en-US" w:eastAsia="zh-CN"/>
              </w:rPr>
              <w:t>划转净资产值</w:t>
            </w:r>
          </w:p>
        </w:tc>
        <w:tc>
          <w:tcPr>
            <w:tcW w:w="2456" w:type="dxa"/>
          </w:tcPr>
          <w:p w14:paraId="4C7AED97">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bCs/>
                <w:spacing w:val="6"/>
                <w:sz w:val="36"/>
                <w:szCs w:val="36"/>
                <w:highlight w:val="none"/>
                <w:vertAlign w:val="baseline"/>
                <w:lang w:val="en-US" w:eastAsia="zh-CN"/>
              </w:rPr>
            </w:pPr>
            <w:r>
              <w:rPr>
                <w:rFonts w:hint="eastAsia" w:ascii="方正仿宋_GB2312" w:hAnsi="方正仿宋_GB2312" w:eastAsia="方正仿宋_GB2312" w:cs="方正仿宋_GB2312"/>
                <w:b/>
                <w:bCs/>
                <w:spacing w:val="6"/>
                <w:sz w:val="36"/>
                <w:szCs w:val="36"/>
                <w:highlight w:val="none"/>
                <w:vertAlign w:val="baseline"/>
                <w:lang w:val="en-US" w:eastAsia="zh-CN"/>
              </w:rPr>
              <w:t>划转文件依据</w:t>
            </w:r>
          </w:p>
        </w:tc>
        <w:tc>
          <w:tcPr>
            <w:tcW w:w="3788" w:type="dxa"/>
          </w:tcPr>
          <w:p w14:paraId="2FFCFFE8">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bCs/>
                <w:spacing w:val="6"/>
                <w:sz w:val="36"/>
                <w:szCs w:val="36"/>
                <w:highlight w:val="none"/>
                <w:vertAlign w:val="baseline"/>
                <w:lang w:val="en-US" w:eastAsia="zh-CN"/>
              </w:rPr>
            </w:pPr>
            <w:r>
              <w:rPr>
                <w:rFonts w:hint="eastAsia" w:ascii="方正仿宋_GB2312" w:hAnsi="方正仿宋_GB2312" w:eastAsia="方正仿宋_GB2312" w:cs="方正仿宋_GB2312"/>
                <w:b/>
                <w:bCs/>
                <w:spacing w:val="6"/>
                <w:sz w:val="36"/>
                <w:szCs w:val="36"/>
                <w:highlight w:val="none"/>
                <w:vertAlign w:val="baseline"/>
                <w:lang w:val="en-US" w:eastAsia="zh-CN"/>
              </w:rPr>
              <w:t>备注</w:t>
            </w:r>
          </w:p>
        </w:tc>
      </w:tr>
      <w:tr w14:paraId="34F7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294" w:type="dxa"/>
          </w:tcPr>
          <w:p w14:paraId="76917EA1">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val="0"/>
                <w:bCs w:val="0"/>
                <w:spacing w:val="6"/>
                <w:sz w:val="36"/>
                <w:szCs w:val="36"/>
                <w:highlight w:val="none"/>
                <w:vertAlign w:val="baseline"/>
                <w:lang w:val="en-US" w:eastAsia="zh-CN"/>
              </w:rPr>
            </w:pPr>
          </w:p>
        </w:tc>
        <w:tc>
          <w:tcPr>
            <w:tcW w:w="3357" w:type="dxa"/>
          </w:tcPr>
          <w:p w14:paraId="364DFEA8">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val="0"/>
                <w:bCs w:val="0"/>
                <w:spacing w:val="6"/>
                <w:sz w:val="36"/>
                <w:szCs w:val="36"/>
                <w:highlight w:val="none"/>
                <w:vertAlign w:val="baseline"/>
                <w:lang w:val="en-US" w:eastAsia="zh-CN"/>
              </w:rPr>
            </w:pPr>
          </w:p>
        </w:tc>
        <w:tc>
          <w:tcPr>
            <w:tcW w:w="2115" w:type="dxa"/>
          </w:tcPr>
          <w:p w14:paraId="21A024B4">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val="0"/>
                <w:bCs w:val="0"/>
                <w:spacing w:val="6"/>
                <w:sz w:val="36"/>
                <w:szCs w:val="36"/>
                <w:highlight w:val="none"/>
                <w:vertAlign w:val="baseline"/>
                <w:lang w:val="en-US" w:eastAsia="zh-CN"/>
              </w:rPr>
            </w:pPr>
          </w:p>
        </w:tc>
        <w:tc>
          <w:tcPr>
            <w:tcW w:w="2115" w:type="dxa"/>
          </w:tcPr>
          <w:p w14:paraId="4E44A6FC">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val="0"/>
                <w:bCs w:val="0"/>
                <w:spacing w:val="6"/>
                <w:sz w:val="36"/>
                <w:szCs w:val="36"/>
                <w:highlight w:val="none"/>
                <w:vertAlign w:val="baseline"/>
                <w:lang w:val="en-US" w:eastAsia="zh-CN"/>
              </w:rPr>
            </w:pPr>
          </w:p>
        </w:tc>
        <w:tc>
          <w:tcPr>
            <w:tcW w:w="2115" w:type="dxa"/>
          </w:tcPr>
          <w:p w14:paraId="5062268B">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val="0"/>
                <w:bCs w:val="0"/>
                <w:spacing w:val="6"/>
                <w:sz w:val="36"/>
                <w:szCs w:val="36"/>
                <w:highlight w:val="none"/>
                <w:vertAlign w:val="baseline"/>
                <w:lang w:val="en-US" w:eastAsia="zh-CN"/>
              </w:rPr>
            </w:pPr>
          </w:p>
        </w:tc>
        <w:tc>
          <w:tcPr>
            <w:tcW w:w="2448" w:type="dxa"/>
          </w:tcPr>
          <w:p w14:paraId="4002A9AB">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val="0"/>
                <w:bCs w:val="0"/>
                <w:spacing w:val="6"/>
                <w:sz w:val="36"/>
                <w:szCs w:val="36"/>
                <w:highlight w:val="none"/>
                <w:vertAlign w:val="baseline"/>
                <w:lang w:val="en-US" w:eastAsia="zh-CN"/>
              </w:rPr>
            </w:pPr>
          </w:p>
        </w:tc>
        <w:tc>
          <w:tcPr>
            <w:tcW w:w="2625" w:type="dxa"/>
          </w:tcPr>
          <w:p w14:paraId="58B49EAF">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val="0"/>
                <w:bCs w:val="0"/>
                <w:spacing w:val="6"/>
                <w:sz w:val="36"/>
                <w:szCs w:val="36"/>
                <w:highlight w:val="none"/>
                <w:vertAlign w:val="baseline"/>
                <w:lang w:val="en-US" w:eastAsia="zh-CN"/>
              </w:rPr>
            </w:pPr>
          </w:p>
        </w:tc>
        <w:tc>
          <w:tcPr>
            <w:tcW w:w="2456" w:type="dxa"/>
          </w:tcPr>
          <w:p w14:paraId="46237B4B">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val="0"/>
                <w:bCs w:val="0"/>
                <w:spacing w:val="6"/>
                <w:sz w:val="36"/>
                <w:szCs w:val="36"/>
                <w:highlight w:val="none"/>
                <w:vertAlign w:val="baseline"/>
                <w:lang w:val="en-US" w:eastAsia="zh-CN"/>
              </w:rPr>
            </w:pPr>
          </w:p>
        </w:tc>
        <w:tc>
          <w:tcPr>
            <w:tcW w:w="3788" w:type="dxa"/>
          </w:tcPr>
          <w:p w14:paraId="797CBD2D">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val="0"/>
                <w:bCs w:val="0"/>
                <w:spacing w:val="6"/>
                <w:sz w:val="36"/>
                <w:szCs w:val="36"/>
                <w:highlight w:val="none"/>
                <w:vertAlign w:val="baseline"/>
                <w:lang w:val="en-US" w:eastAsia="zh-CN"/>
              </w:rPr>
            </w:pPr>
          </w:p>
        </w:tc>
      </w:tr>
      <w:tr w14:paraId="35B7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trPr>
        <w:tc>
          <w:tcPr>
            <w:tcW w:w="6766" w:type="dxa"/>
            <w:gridSpan w:val="3"/>
          </w:tcPr>
          <w:p w14:paraId="08DEF4AD">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eastAsia" w:ascii="方正仿宋_GB2312" w:hAnsi="方正仿宋_GB2312" w:eastAsia="方正仿宋_GB2312" w:cs="方正仿宋_GB2312"/>
                <w:b/>
                <w:bCs/>
                <w:spacing w:val="6"/>
                <w:sz w:val="36"/>
                <w:szCs w:val="36"/>
                <w:highlight w:val="none"/>
                <w:vertAlign w:val="baseline"/>
                <w:lang w:val="en-US" w:eastAsia="zh-CN"/>
              </w:rPr>
            </w:pPr>
            <w:r>
              <w:rPr>
                <w:rFonts w:hint="eastAsia" w:ascii="方正仿宋_GB2312" w:hAnsi="方正仿宋_GB2312" w:eastAsia="方正仿宋_GB2312" w:cs="方正仿宋_GB2312"/>
                <w:b/>
                <w:bCs/>
                <w:spacing w:val="6"/>
                <w:sz w:val="36"/>
                <w:szCs w:val="36"/>
                <w:highlight w:val="none"/>
                <w:vertAlign w:val="baseline"/>
                <w:lang w:val="en-US" w:eastAsia="zh-CN"/>
              </w:rPr>
              <w:t>产权持有单位审核意见：</w:t>
            </w:r>
          </w:p>
          <w:p w14:paraId="6DD529D4">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bCs/>
                <w:spacing w:val="6"/>
                <w:sz w:val="36"/>
                <w:szCs w:val="36"/>
                <w:highlight w:val="none"/>
                <w:vertAlign w:val="baseline"/>
                <w:lang w:val="en-US" w:eastAsia="zh-CN"/>
              </w:rPr>
            </w:pPr>
          </w:p>
        </w:tc>
        <w:tc>
          <w:tcPr>
            <w:tcW w:w="6678" w:type="dxa"/>
            <w:gridSpan w:val="3"/>
          </w:tcPr>
          <w:p w14:paraId="420A4BDC">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bCs/>
                <w:spacing w:val="6"/>
                <w:sz w:val="36"/>
                <w:szCs w:val="36"/>
                <w:highlight w:val="none"/>
                <w:vertAlign w:val="baseline"/>
                <w:lang w:val="en-US" w:eastAsia="zh-CN"/>
              </w:rPr>
            </w:pPr>
            <w:r>
              <w:rPr>
                <w:rFonts w:hint="eastAsia" w:ascii="方正仿宋_GB2312" w:hAnsi="方正仿宋_GB2312" w:eastAsia="方正仿宋_GB2312" w:cs="方正仿宋_GB2312"/>
                <w:b/>
                <w:bCs/>
                <w:spacing w:val="6"/>
                <w:sz w:val="36"/>
                <w:szCs w:val="36"/>
                <w:highlight w:val="none"/>
                <w:vertAlign w:val="baseline"/>
                <w:lang w:val="en-US" w:eastAsia="zh-CN"/>
              </w:rPr>
              <w:t>主管部门审核意见：</w:t>
            </w:r>
          </w:p>
        </w:tc>
        <w:tc>
          <w:tcPr>
            <w:tcW w:w="8869" w:type="dxa"/>
            <w:gridSpan w:val="3"/>
          </w:tcPr>
          <w:p w14:paraId="6789327B">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left"/>
              <w:textAlignment w:val="baseline"/>
              <w:rPr>
                <w:rFonts w:hint="default" w:ascii="方正仿宋_GB2312" w:hAnsi="方正仿宋_GB2312" w:eastAsia="方正仿宋_GB2312" w:cs="方正仿宋_GB2312"/>
                <w:b/>
                <w:bCs/>
                <w:spacing w:val="6"/>
                <w:sz w:val="36"/>
                <w:szCs w:val="36"/>
                <w:highlight w:val="none"/>
                <w:vertAlign w:val="baseline"/>
                <w:lang w:val="en-US" w:eastAsia="zh-CN"/>
              </w:rPr>
            </w:pPr>
            <w:r>
              <w:rPr>
                <w:rFonts w:hint="eastAsia" w:ascii="方正仿宋_GB2312" w:hAnsi="方正仿宋_GB2312" w:eastAsia="方正仿宋_GB2312" w:cs="方正仿宋_GB2312"/>
                <w:b/>
                <w:bCs/>
                <w:spacing w:val="6"/>
                <w:sz w:val="36"/>
                <w:szCs w:val="36"/>
                <w:highlight w:val="none"/>
                <w:vertAlign w:val="baseline"/>
                <w:lang w:val="en-US" w:eastAsia="zh-CN"/>
              </w:rPr>
              <w:t>备案部门意见：</w:t>
            </w:r>
          </w:p>
        </w:tc>
      </w:tr>
    </w:tbl>
    <w:p w14:paraId="5332D3FC">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1116" w:firstLineChars="300"/>
        <w:jc w:val="left"/>
        <w:textAlignment w:val="baseline"/>
        <w:rPr>
          <w:rFonts w:hint="default" w:ascii="方正仿宋_GB2312" w:hAnsi="方正仿宋_GB2312" w:eastAsia="方正仿宋_GB2312" w:cs="方正仿宋_GB2312"/>
          <w:b w:val="0"/>
          <w:bCs w:val="0"/>
          <w:spacing w:val="6"/>
          <w:sz w:val="36"/>
          <w:szCs w:val="36"/>
          <w:highlight w:val="none"/>
          <w:lang w:val="en-US" w:eastAsia="zh-CN"/>
        </w:rPr>
        <w:sectPr>
          <w:type w:val="continuous"/>
          <w:pgSz w:w="23814" w:h="16840" w:orient="landscape"/>
          <w:pgMar w:top="1797" w:right="1440" w:bottom="1797" w:left="1440" w:header="851" w:footer="992" w:gutter="0"/>
          <w:cols w:space="425" w:num="1"/>
          <w:docGrid w:type="lines" w:linePitch="312" w:charSpace="0"/>
        </w:sectPr>
      </w:pPr>
    </w:p>
    <w:p w14:paraId="2552DDA1">
      <w:pPr>
        <w:ind w:firstLine="440" w:firstLineChars="200"/>
        <w:rPr>
          <w:rFonts w:hint="eastAsia" w:ascii="宋体" w:hAnsi="宋体"/>
          <w:spacing w:val="20"/>
          <w:sz w:val="18"/>
          <w:szCs w:val="15"/>
          <w:highlight w:val="none"/>
        </w:rPr>
      </w:pPr>
    </w:p>
    <w:p w14:paraId="623BDBD2">
      <w:pPr>
        <w:rPr>
          <w:rFonts w:hint="eastAsia" w:ascii="宋体" w:hAnsi="宋体"/>
          <w:spacing w:val="20"/>
          <w:sz w:val="18"/>
          <w:szCs w:val="15"/>
          <w:highlight w:val="none"/>
        </w:rPr>
      </w:pPr>
      <w:r>
        <w:rPr>
          <w:rFonts w:hint="eastAsia" w:ascii="宋体" w:hAnsi="宋体" w:eastAsia="宋体"/>
          <w:spacing w:val="20"/>
          <w:sz w:val="28"/>
          <w:szCs w:val="22"/>
          <w:highlight w:val="none"/>
          <w:lang w:eastAsia="zh-CN"/>
        </w:rPr>
        <w:t>说明：</w:t>
      </w:r>
      <w:r>
        <w:rPr>
          <w:rFonts w:hint="eastAsia" w:ascii="宋体" w:hAnsi="宋体" w:eastAsia="宋体"/>
          <w:spacing w:val="20"/>
          <w:sz w:val="28"/>
          <w:szCs w:val="22"/>
          <w:highlight w:val="none"/>
          <w:lang w:val="en-US" w:eastAsia="zh-CN"/>
        </w:rPr>
        <w:t>1、本表一式三份；产权持有单位、主管部门、备案部门各一份</w:t>
      </w:r>
      <w:r>
        <w:rPr>
          <w:rFonts w:hint="eastAsia" w:ascii="宋体" w:hAnsi="宋体"/>
          <w:spacing w:val="20"/>
          <w:sz w:val="18"/>
          <w:szCs w:val="15"/>
          <w:highlight w:val="none"/>
        </w:rPr>
        <w:br w:type="page"/>
      </w:r>
    </w:p>
    <w:p w14:paraId="72165AD9">
      <w:pPr>
        <w:rPr>
          <w:rFonts w:hint="eastAsia" w:ascii="宋体" w:hAnsi="宋体"/>
          <w:spacing w:val="20"/>
          <w:sz w:val="18"/>
          <w:szCs w:val="15"/>
          <w:highlight w:val="none"/>
        </w:rPr>
      </w:pPr>
    </w:p>
    <w:p w14:paraId="34F7797D">
      <w:pPr>
        <w:rPr>
          <w:rFonts w:hint="eastAsia"/>
          <w:highlight w:val="none"/>
        </w:rPr>
      </w:pPr>
    </w:p>
    <w:p w14:paraId="73305571">
      <w:pPr>
        <w:rPr>
          <w:rFonts w:hint="eastAsia"/>
          <w:highlight w:val="none"/>
        </w:rPr>
      </w:pPr>
    </w:p>
    <w:p w14:paraId="2F53CA1B">
      <w:pPr>
        <w:rPr>
          <w:rFonts w:hint="eastAsia"/>
          <w:highlight w:val="none"/>
        </w:rPr>
      </w:pPr>
    </w:p>
    <w:p w14:paraId="4A67E73F">
      <w:pPr>
        <w:rPr>
          <w:rFonts w:hint="eastAsia"/>
          <w:highlight w:val="none"/>
        </w:rPr>
      </w:pPr>
    </w:p>
    <w:p w14:paraId="225D4BB5">
      <w:pPr>
        <w:rPr>
          <w:rFonts w:hint="eastAsia" w:ascii="宋体" w:hAnsi="宋体"/>
          <w:sz w:val="36"/>
          <w:szCs w:val="36"/>
          <w:highlight w:val="none"/>
        </w:rPr>
      </w:pPr>
      <w:r>
        <w:rPr>
          <w:rFonts w:hint="eastAsia" w:ascii="宋体" w:hAnsi="宋体"/>
          <w:sz w:val="36"/>
          <w:szCs w:val="36"/>
          <w:highlight w:val="none"/>
        </w:rPr>
        <w:t>备注：</w:t>
      </w:r>
    </w:p>
    <w:p w14:paraId="60C020F9">
      <w:pPr>
        <w:rPr>
          <w:rFonts w:hint="eastAsia"/>
          <w:highlight w:val="none"/>
        </w:rPr>
      </w:pPr>
    </w:p>
    <w:p w14:paraId="49CE158B">
      <w:pPr>
        <w:ind w:left="182" w:leftChars="-85" w:hanging="360" w:hangingChars="100"/>
        <w:rPr>
          <w:rFonts w:hint="eastAsia" w:ascii="华文仿宋" w:hAnsi="华文仿宋" w:eastAsia="华文仿宋"/>
          <w:sz w:val="36"/>
          <w:szCs w:val="36"/>
          <w:highlight w:val="none"/>
        </w:rPr>
      </w:pPr>
      <w:r>
        <w:rPr>
          <w:rFonts w:hint="eastAsia" w:ascii="华文仿宋" w:hAnsi="华文仿宋" w:eastAsia="华文仿宋"/>
          <w:sz w:val="36"/>
          <w:szCs w:val="36"/>
          <w:highlight w:val="none"/>
        </w:rPr>
        <w:t>1. 经国有资产监督管理机构或所出资企业备案的资产评估项目备案表是企业办理产权登记、股权设置和产权转让等相关手续的必备文件。</w:t>
      </w:r>
    </w:p>
    <w:p w14:paraId="608C1F04">
      <w:pPr>
        <w:ind w:left="182" w:leftChars="-85" w:hanging="360" w:hangingChars="100"/>
        <w:rPr>
          <w:rFonts w:hint="eastAsia" w:ascii="华文仿宋" w:hAnsi="华文仿宋" w:eastAsia="华文仿宋"/>
          <w:sz w:val="36"/>
          <w:szCs w:val="36"/>
          <w:highlight w:val="none"/>
        </w:rPr>
      </w:pPr>
      <w:r>
        <w:rPr>
          <w:rFonts w:hint="eastAsia" w:ascii="华文仿宋" w:hAnsi="华文仿宋" w:eastAsia="华文仿宋"/>
          <w:sz w:val="36"/>
          <w:szCs w:val="36"/>
          <w:highlight w:val="none"/>
        </w:rPr>
        <w:t>2. 企业进行与资产评估相应的经济行为时，应当以经核准或备案的资产评估结果为作价参考依据；当交易价格低于评估结果的90%时，应当暂停交易，在获得原经济行为批准机构同意后方可继续交易。</w:t>
      </w:r>
    </w:p>
    <w:p w14:paraId="4290D919">
      <w:pPr>
        <w:ind w:left="182" w:leftChars="-85" w:hanging="360" w:hangingChars="100"/>
        <w:rPr>
          <w:rFonts w:hint="eastAsia" w:ascii="华文仿宋" w:hAnsi="华文仿宋" w:eastAsia="华文仿宋"/>
          <w:sz w:val="36"/>
          <w:szCs w:val="36"/>
          <w:highlight w:val="none"/>
        </w:rPr>
      </w:pPr>
      <w:r>
        <w:rPr>
          <w:rFonts w:hint="eastAsia" w:ascii="华文仿宋" w:hAnsi="华文仿宋" w:eastAsia="华文仿宋"/>
          <w:sz w:val="36"/>
          <w:szCs w:val="36"/>
          <w:highlight w:val="none"/>
        </w:rPr>
        <w:t>3．本备案表应与资产评估报告书同时使用,评估报告的使用各方应关注评估报告书中所揭示的特别事项和评估报告的法律效力等内容,合理使用评估结果。</w:t>
      </w:r>
    </w:p>
    <w:p w14:paraId="56D26360">
      <w:pPr>
        <w:ind w:left="182" w:leftChars="-85" w:hanging="360" w:hangingChars="100"/>
        <w:rPr>
          <w:rFonts w:hint="eastAsia" w:ascii="华文仿宋" w:hAnsi="华文仿宋" w:eastAsia="华文仿宋"/>
          <w:sz w:val="36"/>
          <w:szCs w:val="36"/>
          <w:highlight w:val="none"/>
        </w:rPr>
      </w:pPr>
      <w:r>
        <w:rPr>
          <w:rFonts w:hint="eastAsia" w:ascii="华文仿宋" w:hAnsi="华文仿宋" w:eastAsia="华文仿宋"/>
          <w:sz w:val="36"/>
          <w:szCs w:val="36"/>
          <w:highlight w:val="none"/>
        </w:rPr>
        <w:t>4．本项目所出具的资产评估报告的法律责任由受托评估机构和在评估报告中签字的具有相应执业资格的评估人员共同承担，不因本备案而转移其法律责任。</w:t>
      </w:r>
    </w:p>
    <w:p w14:paraId="775B72C2">
      <w:pPr>
        <w:ind w:left="182" w:leftChars="-85" w:hanging="360" w:hangingChars="100"/>
        <w:rPr>
          <w:rFonts w:hint="eastAsia" w:ascii="华文仿宋" w:hAnsi="华文仿宋" w:eastAsia="华文仿宋"/>
          <w:sz w:val="36"/>
          <w:szCs w:val="36"/>
          <w:highlight w:val="none"/>
        </w:rPr>
      </w:pPr>
      <w:r>
        <w:rPr>
          <w:rFonts w:hint="eastAsia" w:ascii="华文仿宋" w:hAnsi="华文仿宋" w:eastAsia="华文仿宋"/>
          <w:sz w:val="36"/>
          <w:szCs w:val="36"/>
          <w:highlight w:val="none"/>
        </w:rPr>
        <w:t>5．本表一式三份。一份留存备案单位，一份送产权持有单位，一份送上级单位。</w:t>
      </w:r>
    </w:p>
    <w:p w14:paraId="60B002D4">
      <w:pPr>
        <w:rPr>
          <w:rFonts w:hint="eastAsia"/>
          <w:highlight w:val="none"/>
        </w:rPr>
      </w:pPr>
    </w:p>
    <w:p w14:paraId="0C95188A">
      <w:pPr>
        <w:rPr>
          <w:rFonts w:hint="eastAsia"/>
          <w:highlight w:val="none"/>
        </w:rPr>
      </w:pPr>
    </w:p>
    <w:p w14:paraId="0BB516B1">
      <w:pPr>
        <w:rPr>
          <w:rFonts w:hint="eastAsia"/>
          <w:highlight w:val="none"/>
        </w:rPr>
      </w:pPr>
    </w:p>
    <w:p w14:paraId="17C16C02">
      <w:pPr>
        <w:rPr>
          <w:rFonts w:hint="eastAsia"/>
          <w:highlight w:val="none"/>
        </w:rPr>
      </w:pPr>
    </w:p>
    <w:p w14:paraId="72D6E1AC">
      <w:pPr>
        <w:rPr>
          <w:rFonts w:hint="eastAsia"/>
          <w:highlight w:val="none"/>
        </w:rPr>
      </w:pPr>
    </w:p>
    <w:p w14:paraId="416FFE8A">
      <w:pPr>
        <w:rPr>
          <w:rFonts w:hint="eastAsia"/>
          <w:highlight w:val="none"/>
        </w:rPr>
      </w:pPr>
    </w:p>
    <w:p w14:paraId="2F089BB3">
      <w:pPr>
        <w:rPr>
          <w:rFonts w:hint="eastAsia"/>
          <w:highlight w:val="none"/>
        </w:rPr>
      </w:pPr>
    </w:p>
    <w:p w14:paraId="3DC53696">
      <w:pPr>
        <w:rPr>
          <w:rFonts w:hint="eastAsia"/>
          <w:highlight w:val="none"/>
        </w:rPr>
      </w:pPr>
    </w:p>
    <w:p w14:paraId="5C13B25A">
      <w:pPr>
        <w:rPr>
          <w:rFonts w:hint="eastAsia"/>
          <w:highlight w:val="none"/>
        </w:rPr>
      </w:pPr>
    </w:p>
    <w:p w14:paraId="7FF424C4">
      <w:pPr>
        <w:rPr>
          <w:rFonts w:hint="eastAsia"/>
          <w:highlight w:val="none"/>
        </w:rPr>
      </w:pPr>
    </w:p>
    <w:p w14:paraId="09CA0612">
      <w:pPr>
        <w:rPr>
          <w:rFonts w:hint="eastAsia"/>
          <w:highlight w:val="none"/>
        </w:rPr>
      </w:pPr>
    </w:p>
    <w:p w14:paraId="44D38A5A">
      <w:pPr>
        <w:rPr>
          <w:rFonts w:hint="eastAsia"/>
          <w:highlight w:val="none"/>
        </w:rPr>
      </w:pPr>
    </w:p>
    <w:p w14:paraId="0C34707C">
      <w:pPr>
        <w:rPr>
          <w:rFonts w:hint="eastAsia"/>
          <w:highlight w:val="none"/>
        </w:rPr>
      </w:pPr>
    </w:p>
    <w:p w14:paraId="0807F7AC">
      <w:pPr>
        <w:rPr>
          <w:rFonts w:hint="eastAsia"/>
          <w:highlight w:val="none"/>
        </w:rPr>
      </w:pPr>
    </w:p>
    <w:p w14:paraId="25E86121">
      <w:pPr>
        <w:rPr>
          <w:rFonts w:hint="eastAsia"/>
          <w:highlight w:val="none"/>
        </w:rPr>
      </w:pPr>
    </w:p>
    <w:p w14:paraId="3E653B7B">
      <w:pPr>
        <w:rPr>
          <w:rFonts w:hint="eastAsia"/>
          <w:highlight w:val="none"/>
        </w:rPr>
      </w:pPr>
    </w:p>
    <w:p w14:paraId="20865403">
      <w:pPr>
        <w:rPr>
          <w:rFonts w:hint="eastAsia"/>
          <w:highlight w:val="none"/>
        </w:rPr>
      </w:pPr>
    </w:p>
    <w:p w14:paraId="36EDFE11">
      <w:pPr>
        <w:rPr>
          <w:rFonts w:hint="eastAsia"/>
          <w:highlight w:val="none"/>
        </w:rPr>
      </w:pPr>
    </w:p>
    <w:p w14:paraId="10CAEE28">
      <w:pPr>
        <w:rPr>
          <w:rFonts w:hint="eastAsia"/>
          <w:highlight w:val="none"/>
        </w:rPr>
      </w:pPr>
    </w:p>
    <w:p w14:paraId="014A6CE4">
      <w:pPr>
        <w:rPr>
          <w:rFonts w:hint="eastAsia"/>
          <w:highlight w:val="none"/>
        </w:rPr>
      </w:pPr>
    </w:p>
    <w:p w14:paraId="01ACC0C8">
      <w:pPr>
        <w:ind w:firstLine="2080" w:firstLineChars="650"/>
        <w:rPr>
          <w:rFonts w:hint="eastAsia" w:eastAsia="宋体"/>
          <w:sz w:val="32"/>
          <w:szCs w:val="32"/>
          <w:highlight w:val="none"/>
          <w:lang w:eastAsia="zh-CN"/>
        </w:rPr>
      </w:pPr>
      <w:r>
        <w:rPr>
          <w:rFonts w:hint="eastAsia"/>
          <w:sz w:val="32"/>
          <w:szCs w:val="32"/>
          <w:highlight w:val="none"/>
        </w:rPr>
        <w:t>附件</w:t>
      </w:r>
      <w:r>
        <w:rPr>
          <w:rFonts w:hint="eastAsia" w:eastAsia="宋体"/>
          <w:sz w:val="32"/>
          <w:szCs w:val="32"/>
          <w:highlight w:val="none"/>
          <w:lang w:val="en-US" w:eastAsia="zh-CN"/>
        </w:rPr>
        <w:t>2</w:t>
      </w:r>
    </w:p>
    <w:p w14:paraId="0B671B6F">
      <w:pPr>
        <w:rPr>
          <w:rFonts w:hint="eastAsia"/>
          <w:highlight w:val="none"/>
        </w:rPr>
      </w:pPr>
    </w:p>
    <w:p w14:paraId="0D12F38E">
      <w:pPr>
        <w:wordWrap w:val="0"/>
        <w:jc w:val="right"/>
        <w:rPr>
          <w:rFonts w:hint="eastAsia"/>
          <w:sz w:val="32"/>
          <w:szCs w:val="32"/>
          <w:highlight w:val="none"/>
          <w:u w:val="single"/>
        </w:rPr>
      </w:pPr>
      <w:r>
        <w:rPr>
          <w:rFonts w:hint="eastAsia"/>
          <w:sz w:val="32"/>
          <w:szCs w:val="32"/>
          <w:highlight w:val="none"/>
        </w:rPr>
        <w:t>备案编号：</w:t>
      </w:r>
      <w:r>
        <w:rPr>
          <w:rFonts w:hint="eastAsia"/>
          <w:sz w:val="32"/>
          <w:szCs w:val="32"/>
          <w:highlight w:val="none"/>
          <w:u w:val="single"/>
        </w:rPr>
        <w:t xml:space="preserve">    </w:t>
      </w:r>
      <w:r>
        <w:rPr>
          <w:rFonts w:hint="eastAsia" w:eastAsia="宋体"/>
          <w:sz w:val="32"/>
          <w:szCs w:val="32"/>
          <w:highlight w:val="none"/>
          <w:u w:val="single"/>
          <w:lang w:val="en-US" w:eastAsia="zh-CN"/>
        </w:rPr>
        <w:t xml:space="preserve">           </w:t>
      </w:r>
      <w:r>
        <w:rPr>
          <w:rFonts w:hint="eastAsia"/>
          <w:sz w:val="32"/>
          <w:szCs w:val="32"/>
          <w:highlight w:val="none"/>
          <w:u w:val="single"/>
        </w:rPr>
        <w:t xml:space="preserve">        </w:t>
      </w:r>
    </w:p>
    <w:p w14:paraId="5C7BD54A">
      <w:pPr>
        <w:jc w:val="right"/>
        <w:rPr>
          <w:rFonts w:hint="eastAsia"/>
          <w:sz w:val="32"/>
          <w:szCs w:val="32"/>
          <w:highlight w:val="none"/>
          <w:u w:val="single"/>
        </w:rPr>
      </w:pPr>
    </w:p>
    <w:p w14:paraId="594815A3">
      <w:pPr>
        <w:jc w:val="right"/>
        <w:rPr>
          <w:rFonts w:hint="eastAsia"/>
          <w:sz w:val="32"/>
          <w:szCs w:val="32"/>
          <w:highlight w:val="none"/>
          <w:u w:val="single"/>
        </w:rPr>
      </w:pPr>
    </w:p>
    <w:p w14:paraId="4534D76F">
      <w:pPr>
        <w:jc w:val="right"/>
        <w:rPr>
          <w:rFonts w:hint="eastAsia"/>
          <w:sz w:val="32"/>
          <w:szCs w:val="32"/>
          <w:highlight w:val="none"/>
          <w:u w:val="single"/>
        </w:rPr>
      </w:pPr>
    </w:p>
    <w:p w14:paraId="67C7792E">
      <w:pPr>
        <w:rPr>
          <w:rFonts w:hint="eastAsia"/>
          <w:sz w:val="32"/>
          <w:szCs w:val="32"/>
          <w:highlight w:val="none"/>
          <w:u w:val="single"/>
        </w:rPr>
      </w:pPr>
    </w:p>
    <w:p w14:paraId="7D06026D">
      <w:pPr>
        <w:jc w:val="center"/>
        <w:rPr>
          <w:rFonts w:hint="eastAsia"/>
          <w:b/>
          <w:spacing w:val="30"/>
          <w:sz w:val="60"/>
          <w:szCs w:val="60"/>
          <w:highlight w:val="none"/>
        </w:rPr>
      </w:pPr>
      <w:r>
        <w:rPr>
          <w:rFonts w:hint="eastAsia"/>
          <w:b/>
          <w:spacing w:val="30"/>
          <w:sz w:val="60"/>
          <w:szCs w:val="60"/>
          <w:highlight w:val="none"/>
        </w:rPr>
        <w:t>国有资产评估项目备案表</w:t>
      </w:r>
    </w:p>
    <w:p w14:paraId="4443B8BF">
      <w:pPr>
        <w:jc w:val="center"/>
        <w:rPr>
          <w:rFonts w:hint="eastAsia"/>
          <w:b/>
          <w:spacing w:val="30"/>
          <w:sz w:val="60"/>
          <w:szCs w:val="60"/>
          <w:highlight w:val="none"/>
        </w:rPr>
      </w:pPr>
    </w:p>
    <w:p w14:paraId="710A969E">
      <w:pPr>
        <w:jc w:val="center"/>
        <w:rPr>
          <w:rFonts w:hint="eastAsia"/>
          <w:b/>
          <w:spacing w:val="30"/>
          <w:sz w:val="60"/>
          <w:szCs w:val="60"/>
          <w:highlight w:val="none"/>
        </w:rPr>
      </w:pPr>
    </w:p>
    <w:p w14:paraId="36D76E94">
      <w:pPr>
        <w:rPr>
          <w:rFonts w:hint="eastAsia"/>
          <w:b/>
          <w:spacing w:val="30"/>
          <w:sz w:val="32"/>
          <w:szCs w:val="32"/>
          <w:highlight w:val="none"/>
        </w:rPr>
      </w:pPr>
    </w:p>
    <w:p w14:paraId="712036FF">
      <w:pPr>
        <w:ind w:firstLine="1432" w:firstLineChars="377"/>
        <w:rPr>
          <w:rFonts w:hint="eastAsia"/>
          <w:spacing w:val="30"/>
          <w:sz w:val="32"/>
          <w:szCs w:val="32"/>
          <w:highlight w:val="none"/>
          <w:u w:val="single"/>
        </w:rPr>
      </w:pPr>
      <w:r>
        <w:rPr>
          <w:rFonts w:hint="eastAsia"/>
          <w:spacing w:val="30"/>
          <w:sz w:val="32"/>
          <w:szCs w:val="32"/>
          <w:highlight w:val="none"/>
        </w:rPr>
        <w:t>产权持有单位（盖章）：</w:t>
      </w:r>
      <w:r>
        <w:rPr>
          <w:rFonts w:hint="eastAsia"/>
          <w:spacing w:val="30"/>
          <w:sz w:val="32"/>
          <w:szCs w:val="32"/>
          <w:highlight w:val="none"/>
          <w:u w:val="single"/>
        </w:rPr>
        <w:t xml:space="preserve">             </w:t>
      </w:r>
      <w:r>
        <w:rPr>
          <w:rFonts w:hint="eastAsia" w:eastAsia="宋体"/>
          <w:spacing w:val="30"/>
          <w:sz w:val="32"/>
          <w:szCs w:val="32"/>
          <w:highlight w:val="none"/>
          <w:u w:val="single"/>
          <w:lang w:val="en-US" w:eastAsia="zh-CN"/>
        </w:rPr>
        <w:t xml:space="preserve">       </w:t>
      </w:r>
      <w:r>
        <w:rPr>
          <w:rFonts w:hint="eastAsia"/>
          <w:spacing w:val="30"/>
          <w:sz w:val="32"/>
          <w:szCs w:val="32"/>
          <w:highlight w:val="none"/>
          <w:u w:val="single"/>
        </w:rPr>
        <w:t xml:space="preserve">  </w:t>
      </w:r>
    </w:p>
    <w:p w14:paraId="52CAF186">
      <w:pPr>
        <w:ind w:firstLine="1432" w:firstLineChars="377"/>
        <w:rPr>
          <w:rFonts w:hint="eastAsia"/>
          <w:spacing w:val="30"/>
          <w:sz w:val="32"/>
          <w:szCs w:val="32"/>
          <w:highlight w:val="none"/>
          <w:u w:val="single"/>
        </w:rPr>
      </w:pPr>
    </w:p>
    <w:p w14:paraId="0522D864">
      <w:pPr>
        <w:ind w:firstLine="1432" w:firstLineChars="377"/>
        <w:rPr>
          <w:rFonts w:hint="eastAsia"/>
          <w:spacing w:val="30"/>
          <w:sz w:val="32"/>
          <w:szCs w:val="32"/>
          <w:highlight w:val="none"/>
          <w:u w:val="single"/>
        </w:rPr>
      </w:pPr>
      <w:r>
        <w:rPr>
          <w:rFonts w:hint="eastAsia" w:eastAsia="宋体"/>
          <w:spacing w:val="30"/>
          <w:sz w:val="32"/>
          <w:szCs w:val="32"/>
          <w:highlight w:val="none"/>
          <w:u w:val="none"/>
          <w:lang w:val="en-US" w:eastAsia="zh-CN"/>
        </w:rPr>
        <w:t>统一社会信用代码</w:t>
      </w:r>
      <w:r>
        <w:rPr>
          <w:rFonts w:hint="eastAsia"/>
          <w:spacing w:val="30"/>
          <w:sz w:val="32"/>
          <w:szCs w:val="32"/>
          <w:highlight w:val="none"/>
          <w:u w:val="none"/>
        </w:rPr>
        <w:t xml:space="preserve"> ：</w:t>
      </w:r>
      <w:r>
        <w:rPr>
          <w:rFonts w:hint="eastAsia"/>
          <w:spacing w:val="30"/>
          <w:sz w:val="32"/>
          <w:szCs w:val="32"/>
          <w:highlight w:val="none"/>
          <w:u w:val="single"/>
        </w:rPr>
        <w:t xml:space="preserve">                           </w:t>
      </w:r>
    </w:p>
    <w:p w14:paraId="742A4C8C">
      <w:pPr>
        <w:ind w:firstLine="1432" w:firstLineChars="377"/>
        <w:rPr>
          <w:rFonts w:hint="eastAsia"/>
          <w:spacing w:val="30"/>
          <w:sz w:val="32"/>
          <w:szCs w:val="32"/>
          <w:highlight w:val="none"/>
          <w:u w:val="single"/>
        </w:rPr>
      </w:pPr>
    </w:p>
    <w:p w14:paraId="1E58752B">
      <w:pPr>
        <w:ind w:firstLine="1436" w:firstLineChars="342"/>
        <w:rPr>
          <w:rFonts w:hint="eastAsia"/>
          <w:spacing w:val="30"/>
          <w:sz w:val="32"/>
          <w:szCs w:val="32"/>
          <w:highlight w:val="none"/>
          <w:u w:val="single"/>
        </w:rPr>
      </w:pPr>
      <w:r>
        <w:rPr>
          <w:rFonts w:hint="eastAsia"/>
          <w:spacing w:val="50"/>
          <w:sz w:val="32"/>
          <w:szCs w:val="32"/>
          <w:highlight w:val="none"/>
        </w:rPr>
        <w:t>法定代表人（签字）</w:t>
      </w:r>
      <w:r>
        <w:rPr>
          <w:rFonts w:hint="eastAsia"/>
          <w:spacing w:val="30"/>
          <w:sz w:val="32"/>
          <w:szCs w:val="32"/>
          <w:highlight w:val="none"/>
        </w:rPr>
        <w:t>：</w:t>
      </w:r>
      <w:r>
        <w:rPr>
          <w:rFonts w:hint="eastAsia"/>
          <w:spacing w:val="30"/>
          <w:sz w:val="32"/>
          <w:szCs w:val="32"/>
          <w:highlight w:val="none"/>
          <w:u w:val="single"/>
        </w:rPr>
        <w:t xml:space="preserve">       </w:t>
      </w:r>
      <w:r>
        <w:rPr>
          <w:rFonts w:hint="eastAsia" w:eastAsia="宋体"/>
          <w:spacing w:val="30"/>
          <w:sz w:val="32"/>
          <w:szCs w:val="32"/>
          <w:highlight w:val="none"/>
          <w:u w:val="single"/>
          <w:lang w:val="en-US" w:eastAsia="zh-CN"/>
        </w:rPr>
        <w:t xml:space="preserve">        </w:t>
      </w:r>
      <w:r>
        <w:rPr>
          <w:rFonts w:hint="eastAsia"/>
          <w:spacing w:val="30"/>
          <w:sz w:val="32"/>
          <w:szCs w:val="32"/>
          <w:highlight w:val="none"/>
          <w:u w:val="single"/>
        </w:rPr>
        <w:t xml:space="preserve"> </w:t>
      </w:r>
      <w:r>
        <w:rPr>
          <w:rFonts w:hint="eastAsia" w:eastAsia="宋体"/>
          <w:spacing w:val="30"/>
          <w:sz w:val="32"/>
          <w:szCs w:val="32"/>
          <w:highlight w:val="none"/>
          <w:u w:val="single"/>
          <w:lang w:val="en-US" w:eastAsia="zh-CN"/>
        </w:rPr>
        <w:t xml:space="preserve"> </w:t>
      </w:r>
      <w:r>
        <w:rPr>
          <w:rFonts w:hint="eastAsia"/>
          <w:spacing w:val="30"/>
          <w:sz w:val="32"/>
          <w:szCs w:val="32"/>
          <w:highlight w:val="none"/>
          <w:u w:val="single"/>
        </w:rPr>
        <w:t xml:space="preserve">       </w:t>
      </w:r>
    </w:p>
    <w:p w14:paraId="72C5AF19">
      <w:pPr>
        <w:ind w:firstLine="1299" w:firstLineChars="342"/>
        <w:rPr>
          <w:rFonts w:hint="eastAsia"/>
          <w:spacing w:val="30"/>
          <w:sz w:val="32"/>
          <w:szCs w:val="32"/>
          <w:highlight w:val="none"/>
          <w:u w:val="single"/>
        </w:rPr>
      </w:pPr>
    </w:p>
    <w:p w14:paraId="095249E7">
      <w:pPr>
        <w:ind w:firstLine="1408" w:firstLineChars="128"/>
        <w:rPr>
          <w:rFonts w:hint="eastAsia"/>
          <w:spacing w:val="30"/>
          <w:sz w:val="32"/>
          <w:szCs w:val="32"/>
          <w:highlight w:val="none"/>
          <w:u w:val="single"/>
        </w:rPr>
      </w:pPr>
      <w:r>
        <w:rPr>
          <w:rFonts w:hint="eastAsia"/>
          <w:spacing w:val="390"/>
          <w:sz w:val="32"/>
          <w:szCs w:val="32"/>
          <w:highlight w:val="none"/>
        </w:rPr>
        <w:t>填报日</w:t>
      </w:r>
      <w:r>
        <w:rPr>
          <w:rFonts w:hint="eastAsia"/>
          <w:sz w:val="32"/>
          <w:szCs w:val="32"/>
          <w:highlight w:val="none"/>
        </w:rPr>
        <w:t>期</w:t>
      </w:r>
      <w:r>
        <w:rPr>
          <w:rFonts w:hint="eastAsia"/>
          <w:spacing w:val="30"/>
          <w:sz w:val="32"/>
          <w:szCs w:val="32"/>
          <w:highlight w:val="none"/>
        </w:rPr>
        <w:t>：</w:t>
      </w:r>
      <w:r>
        <w:rPr>
          <w:rFonts w:hint="eastAsia"/>
          <w:spacing w:val="30"/>
          <w:sz w:val="32"/>
          <w:szCs w:val="32"/>
          <w:highlight w:val="none"/>
          <w:u w:val="single"/>
        </w:rPr>
        <w:t xml:space="preserve">        </w:t>
      </w:r>
      <w:r>
        <w:rPr>
          <w:rFonts w:hint="eastAsia" w:eastAsia="宋体"/>
          <w:spacing w:val="30"/>
          <w:sz w:val="32"/>
          <w:szCs w:val="32"/>
          <w:highlight w:val="none"/>
          <w:u w:val="single"/>
          <w:lang w:val="en-US" w:eastAsia="zh-CN"/>
        </w:rPr>
        <w:t xml:space="preserve">                </w:t>
      </w:r>
      <w:r>
        <w:rPr>
          <w:rFonts w:hint="eastAsia"/>
          <w:spacing w:val="30"/>
          <w:sz w:val="32"/>
          <w:szCs w:val="32"/>
          <w:highlight w:val="none"/>
          <w:u w:val="single"/>
        </w:rPr>
        <w:t xml:space="preserve">       </w:t>
      </w:r>
    </w:p>
    <w:p w14:paraId="73C35F4D">
      <w:pPr>
        <w:ind w:firstLine="486" w:firstLineChars="128"/>
        <w:rPr>
          <w:rFonts w:hint="eastAsia"/>
          <w:spacing w:val="30"/>
          <w:sz w:val="32"/>
          <w:szCs w:val="32"/>
          <w:highlight w:val="none"/>
          <w:u w:val="single"/>
        </w:rPr>
      </w:pPr>
    </w:p>
    <w:p w14:paraId="05988018">
      <w:pPr>
        <w:ind w:firstLine="486" w:firstLineChars="128"/>
        <w:rPr>
          <w:rFonts w:hint="eastAsia"/>
          <w:spacing w:val="30"/>
          <w:sz w:val="32"/>
          <w:szCs w:val="32"/>
          <w:highlight w:val="none"/>
          <w:u w:val="single"/>
        </w:rPr>
      </w:pPr>
    </w:p>
    <w:p w14:paraId="703FE867">
      <w:pPr>
        <w:ind w:firstLine="486" w:firstLineChars="128"/>
        <w:rPr>
          <w:rFonts w:hint="eastAsia"/>
          <w:spacing w:val="30"/>
          <w:sz w:val="32"/>
          <w:szCs w:val="32"/>
          <w:highlight w:val="none"/>
          <w:u w:val="single"/>
        </w:rPr>
      </w:pPr>
    </w:p>
    <w:p w14:paraId="2BD0DF43">
      <w:pPr>
        <w:ind w:firstLine="486" w:firstLineChars="128"/>
        <w:rPr>
          <w:rFonts w:hint="eastAsia"/>
          <w:spacing w:val="30"/>
          <w:sz w:val="32"/>
          <w:szCs w:val="32"/>
          <w:highlight w:val="none"/>
          <w:u w:val="single"/>
        </w:rPr>
      </w:pPr>
    </w:p>
    <w:p w14:paraId="71C4C2FF">
      <w:pPr>
        <w:ind w:firstLine="486" w:firstLineChars="128"/>
        <w:rPr>
          <w:rFonts w:hint="eastAsia"/>
          <w:spacing w:val="30"/>
          <w:sz w:val="32"/>
          <w:szCs w:val="32"/>
          <w:highlight w:val="none"/>
          <w:u w:val="single"/>
        </w:rPr>
      </w:pPr>
    </w:p>
    <w:p w14:paraId="36E56291">
      <w:pPr>
        <w:ind w:firstLine="486" w:firstLineChars="128"/>
        <w:rPr>
          <w:rFonts w:hint="eastAsia"/>
          <w:spacing w:val="30"/>
          <w:sz w:val="32"/>
          <w:szCs w:val="32"/>
          <w:highlight w:val="none"/>
          <w:u w:val="single"/>
        </w:rPr>
      </w:pPr>
    </w:p>
    <w:p w14:paraId="238A6F66">
      <w:pPr>
        <w:ind w:firstLine="486" w:firstLineChars="128"/>
        <w:rPr>
          <w:rFonts w:hint="eastAsia"/>
          <w:spacing w:val="30"/>
          <w:sz w:val="32"/>
          <w:szCs w:val="32"/>
          <w:highlight w:val="none"/>
          <w:u w:val="single"/>
        </w:rPr>
      </w:pPr>
    </w:p>
    <w:p w14:paraId="7677071A">
      <w:pPr>
        <w:jc w:val="center"/>
        <w:rPr>
          <w:rFonts w:hint="eastAsia" w:ascii="黑体" w:eastAsia="黑体"/>
          <w:b/>
          <w:spacing w:val="30"/>
          <w:sz w:val="24"/>
          <w:highlight w:val="none"/>
        </w:rPr>
      </w:pPr>
      <w:r>
        <w:rPr>
          <w:rFonts w:hint="eastAsia" w:ascii="黑体" w:eastAsia="黑体"/>
          <w:b/>
          <w:spacing w:val="30"/>
          <w:sz w:val="24"/>
          <w:highlight w:val="none"/>
        </w:rPr>
        <w:t>瓯海区人民政府国有资产监督管理办公室制</w:t>
      </w:r>
    </w:p>
    <w:p w14:paraId="0D810B69">
      <w:pPr>
        <w:jc w:val="both"/>
        <w:rPr>
          <w:rFonts w:hint="eastAsia" w:ascii="宋体" w:hAnsi="宋体"/>
          <w:spacing w:val="30"/>
          <w:sz w:val="44"/>
          <w:szCs w:val="44"/>
          <w:highlight w:val="none"/>
        </w:rPr>
      </w:pPr>
    </w:p>
    <w:p w14:paraId="6C50D5A7">
      <w:pPr>
        <w:jc w:val="center"/>
        <w:rPr>
          <w:rFonts w:hint="eastAsia" w:ascii="宋体" w:hAnsi="宋体"/>
          <w:spacing w:val="30"/>
          <w:sz w:val="44"/>
          <w:szCs w:val="44"/>
          <w:highlight w:val="none"/>
        </w:rPr>
      </w:pPr>
    </w:p>
    <w:p w14:paraId="64593B1C">
      <w:pPr>
        <w:jc w:val="center"/>
        <w:rPr>
          <w:rFonts w:hint="eastAsia" w:ascii="宋体" w:hAnsi="宋体"/>
          <w:spacing w:val="30"/>
          <w:sz w:val="44"/>
          <w:szCs w:val="44"/>
          <w:highlight w:val="none"/>
        </w:rPr>
      </w:pPr>
      <w:r>
        <w:rPr>
          <w:rFonts w:hint="eastAsia" w:ascii="宋体" w:hAnsi="宋体"/>
          <w:spacing w:val="30"/>
          <w:sz w:val="44"/>
          <w:szCs w:val="44"/>
          <w:highlight w:val="none"/>
        </w:rPr>
        <w:t>资产评估项目基本情况</w:t>
      </w:r>
    </w:p>
    <w:p w14:paraId="4B7E03E9">
      <w:pPr>
        <w:jc w:val="center"/>
        <w:rPr>
          <w:rFonts w:hint="eastAsia" w:ascii="宋体" w:hAnsi="宋体"/>
          <w:spacing w:val="30"/>
          <w:sz w:val="44"/>
          <w:szCs w:val="44"/>
          <w:highlight w:val="none"/>
        </w:rPr>
      </w:pPr>
    </w:p>
    <w:tbl>
      <w:tblPr>
        <w:tblStyle w:val="8"/>
        <w:tblW w:w="101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374"/>
        <w:gridCol w:w="997"/>
        <w:gridCol w:w="83"/>
        <w:gridCol w:w="540"/>
        <w:gridCol w:w="709"/>
        <w:gridCol w:w="1091"/>
        <w:gridCol w:w="900"/>
        <w:gridCol w:w="197"/>
        <w:gridCol w:w="842"/>
        <w:gridCol w:w="941"/>
        <w:gridCol w:w="439"/>
        <w:gridCol w:w="1381"/>
      </w:tblGrid>
      <w:tr w14:paraId="5D27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0" w:type="dxa"/>
            <w:gridSpan w:val="2"/>
            <w:noWrap w:val="0"/>
            <w:vAlign w:val="center"/>
          </w:tcPr>
          <w:p w14:paraId="48D0D764">
            <w:pPr>
              <w:widowControl w:val="0"/>
              <w:jc w:val="center"/>
              <w:rPr>
                <w:rFonts w:hint="eastAsia" w:ascii="宋体" w:hAnsi="宋体"/>
                <w:sz w:val="24"/>
                <w:highlight w:val="none"/>
              </w:rPr>
            </w:pPr>
            <w:r>
              <w:rPr>
                <w:rFonts w:hint="eastAsia" w:ascii="宋体" w:hAnsi="宋体"/>
                <w:sz w:val="24"/>
                <w:highlight w:val="none"/>
              </w:rPr>
              <w:t>评　估　对　象</w:t>
            </w:r>
          </w:p>
        </w:tc>
        <w:tc>
          <w:tcPr>
            <w:tcW w:w="8120" w:type="dxa"/>
            <w:gridSpan w:val="11"/>
            <w:noWrap w:val="0"/>
            <w:vAlign w:val="center"/>
          </w:tcPr>
          <w:p w14:paraId="4EC251E2">
            <w:pPr>
              <w:widowControl w:val="0"/>
              <w:rPr>
                <w:rFonts w:hint="eastAsia" w:ascii="宋体" w:hAnsi="宋体"/>
                <w:sz w:val="24"/>
                <w:highlight w:val="none"/>
              </w:rPr>
            </w:pPr>
          </w:p>
        </w:tc>
      </w:tr>
      <w:tr w14:paraId="0E39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80" w:type="dxa"/>
            <w:gridSpan w:val="2"/>
            <w:noWrap w:val="0"/>
            <w:vAlign w:val="center"/>
          </w:tcPr>
          <w:p w14:paraId="4FBB103B">
            <w:pPr>
              <w:widowControl w:val="0"/>
              <w:jc w:val="center"/>
              <w:rPr>
                <w:rFonts w:hint="eastAsia" w:ascii="宋体" w:hAnsi="宋体"/>
                <w:sz w:val="24"/>
                <w:highlight w:val="none"/>
              </w:rPr>
            </w:pPr>
            <w:r>
              <w:rPr>
                <w:rFonts w:hint="eastAsia" w:ascii="宋体" w:hAnsi="宋体"/>
                <w:sz w:val="24"/>
                <w:highlight w:val="none"/>
              </w:rPr>
              <w:t>产权持有单位</w:t>
            </w:r>
          </w:p>
        </w:tc>
        <w:tc>
          <w:tcPr>
            <w:tcW w:w="4517" w:type="dxa"/>
            <w:gridSpan w:val="7"/>
            <w:noWrap w:val="0"/>
            <w:vAlign w:val="center"/>
          </w:tcPr>
          <w:p w14:paraId="45F0A992">
            <w:pPr>
              <w:widowControl w:val="0"/>
              <w:jc w:val="center"/>
              <w:rPr>
                <w:rFonts w:hint="eastAsia" w:ascii="宋体" w:hAnsi="宋体"/>
                <w:sz w:val="24"/>
                <w:highlight w:val="none"/>
              </w:rPr>
            </w:pPr>
          </w:p>
        </w:tc>
        <w:tc>
          <w:tcPr>
            <w:tcW w:w="1783" w:type="dxa"/>
            <w:gridSpan w:val="2"/>
            <w:noWrap w:val="0"/>
            <w:vAlign w:val="center"/>
          </w:tcPr>
          <w:p w14:paraId="65811FED">
            <w:pPr>
              <w:widowControl w:val="0"/>
              <w:jc w:val="center"/>
              <w:rPr>
                <w:rFonts w:hint="eastAsia" w:ascii="宋体" w:hAnsi="宋体"/>
                <w:sz w:val="24"/>
                <w:highlight w:val="none"/>
              </w:rPr>
            </w:pPr>
            <w:r>
              <w:rPr>
                <w:rFonts w:hint="eastAsia" w:ascii="宋体" w:hAnsi="宋体"/>
                <w:sz w:val="24"/>
                <w:highlight w:val="none"/>
              </w:rPr>
              <w:t>企业</w:t>
            </w:r>
            <w:r>
              <w:rPr>
                <w:rFonts w:hint="eastAsia" w:ascii="宋体" w:hAnsi="宋体" w:eastAsia="宋体"/>
                <w:sz w:val="24"/>
                <w:highlight w:val="none"/>
                <w:lang w:val="en-US" w:eastAsia="zh-CN"/>
              </w:rPr>
              <w:t>产权</w:t>
            </w:r>
            <w:r>
              <w:rPr>
                <w:rFonts w:hint="eastAsia" w:ascii="宋体" w:hAnsi="宋体"/>
                <w:sz w:val="24"/>
                <w:highlight w:val="none"/>
              </w:rPr>
              <w:t>级次</w:t>
            </w:r>
          </w:p>
        </w:tc>
        <w:tc>
          <w:tcPr>
            <w:tcW w:w="1820" w:type="dxa"/>
            <w:gridSpan w:val="2"/>
            <w:noWrap w:val="0"/>
            <w:vAlign w:val="center"/>
          </w:tcPr>
          <w:p w14:paraId="609461F9">
            <w:pPr>
              <w:widowControl w:val="0"/>
              <w:jc w:val="center"/>
              <w:rPr>
                <w:rFonts w:hint="eastAsia" w:ascii="宋体" w:hAnsi="宋体"/>
                <w:sz w:val="24"/>
                <w:highlight w:val="none"/>
              </w:rPr>
            </w:pPr>
          </w:p>
        </w:tc>
      </w:tr>
      <w:tr w14:paraId="0372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0" w:type="dxa"/>
            <w:gridSpan w:val="2"/>
            <w:noWrap w:val="0"/>
            <w:vAlign w:val="center"/>
          </w:tcPr>
          <w:p w14:paraId="3B03178F">
            <w:pPr>
              <w:widowControl w:val="0"/>
              <w:jc w:val="center"/>
              <w:rPr>
                <w:rFonts w:hint="eastAsia" w:ascii="宋体" w:hAnsi="宋体"/>
                <w:sz w:val="24"/>
                <w:highlight w:val="none"/>
              </w:rPr>
            </w:pPr>
            <w:r>
              <w:rPr>
                <w:rFonts w:hint="eastAsia" w:ascii="宋体" w:hAnsi="宋体"/>
                <w:sz w:val="24"/>
                <w:highlight w:val="none"/>
              </w:rPr>
              <w:t>资产评估委托方</w:t>
            </w:r>
          </w:p>
        </w:tc>
        <w:tc>
          <w:tcPr>
            <w:tcW w:w="8120" w:type="dxa"/>
            <w:gridSpan w:val="11"/>
            <w:noWrap w:val="0"/>
            <w:vAlign w:val="center"/>
          </w:tcPr>
          <w:p w14:paraId="2D5415A9">
            <w:pPr>
              <w:widowControl w:val="0"/>
              <w:rPr>
                <w:rFonts w:hint="eastAsia" w:ascii="宋体" w:hAnsi="宋体"/>
                <w:sz w:val="24"/>
                <w:highlight w:val="none"/>
              </w:rPr>
            </w:pPr>
          </w:p>
        </w:tc>
      </w:tr>
      <w:tr w14:paraId="31E8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977" w:type="dxa"/>
            <w:gridSpan w:val="3"/>
            <w:noWrap w:val="0"/>
            <w:vAlign w:val="center"/>
          </w:tcPr>
          <w:p w14:paraId="79A8909A">
            <w:pPr>
              <w:widowControl w:val="0"/>
              <w:jc w:val="center"/>
              <w:rPr>
                <w:rFonts w:hint="eastAsia" w:ascii="宋体" w:hAnsi="宋体"/>
                <w:sz w:val="24"/>
                <w:highlight w:val="none"/>
              </w:rPr>
            </w:pPr>
            <w:r>
              <w:rPr>
                <w:rFonts w:hint="eastAsia" w:ascii="宋体" w:hAnsi="宋体"/>
                <w:sz w:val="24"/>
                <w:highlight w:val="none"/>
              </w:rPr>
              <w:t>所出资企业（有关部门）</w:t>
            </w:r>
          </w:p>
        </w:tc>
        <w:tc>
          <w:tcPr>
            <w:tcW w:w="7123" w:type="dxa"/>
            <w:gridSpan w:val="10"/>
            <w:noWrap w:val="0"/>
            <w:vAlign w:val="center"/>
          </w:tcPr>
          <w:p w14:paraId="2210BFD3">
            <w:pPr>
              <w:widowControl w:val="0"/>
              <w:jc w:val="center"/>
              <w:rPr>
                <w:rFonts w:hint="eastAsia" w:ascii="宋体" w:hAnsi="宋体"/>
                <w:sz w:val="24"/>
                <w:highlight w:val="none"/>
              </w:rPr>
            </w:pPr>
          </w:p>
        </w:tc>
      </w:tr>
      <w:tr w14:paraId="360A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606" w:type="dxa"/>
            <w:noWrap w:val="0"/>
            <w:vAlign w:val="center"/>
          </w:tcPr>
          <w:p w14:paraId="74A34B49">
            <w:pPr>
              <w:widowControl w:val="0"/>
              <w:jc w:val="center"/>
              <w:rPr>
                <w:rFonts w:hint="eastAsia" w:ascii="宋体" w:hAnsi="宋体"/>
                <w:sz w:val="24"/>
                <w:highlight w:val="none"/>
              </w:rPr>
            </w:pPr>
            <w:r>
              <w:rPr>
                <w:rFonts w:hint="eastAsia" w:ascii="宋体" w:hAnsi="宋体"/>
                <w:sz w:val="24"/>
                <w:highlight w:val="none"/>
              </w:rPr>
              <w:t>经济行为类型</w:t>
            </w:r>
          </w:p>
        </w:tc>
        <w:tc>
          <w:tcPr>
            <w:tcW w:w="9494" w:type="dxa"/>
            <w:gridSpan w:val="12"/>
            <w:noWrap w:val="0"/>
            <w:vAlign w:val="center"/>
          </w:tcPr>
          <w:p w14:paraId="5D949FBF">
            <w:pPr>
              <w:pStyle w:val="6"/>
              <w:ind w:left="6"/>
              <w:jc w:val="both"/>
              <w:rPr>
                <w:rFonts w:hint="eastAsia"/>
                <w:highlight w:val="none"/>
              </w:rPr>
            </w:pPr>
            <w:r>
              <w:rPr>
                <w:highlight w:val="none"/>
              </w:rPr>
              <w:t>□</w:t>
            </w:r>
            <w:r>
              <w:rPr>
                <w:rFonts w:hint="eastAsia"/>
                <w:highlight w:val="none"/>
              </w:rPr>
              <w:t xml:space="preserve"> 整体或者部分改建为有限责任公司或者股份有限公司 </w:t>
            </w:r>
            <w:r>
              <w:rPr>
                <w:highlight w:val="none"/>
              </w:rPr>
              <w:t>□</w:t>
            </w:r>
            <w:r>
              <w:rPr>
                <w:rFonts w:hint="eastAsia"/>
                <w:highlight w:val="none"/>
              </w:rPr>
              <w:t>以非货币资产对外投资</w:t>
            </w:r>
          </w:p>
          <w:p w14:paraId="5F4268CD">
            <w:pPr>
              <w:pStyle w:val="6"/>
              <w:ind w:left="6"/>
              <w:jc w:val="both"/>
              <w:rPr>
                <w:rFonts w:hint="eastAsia"/>
                <w:highlight w:val="none"/>
              </w:rPr>
            </w:pPr>
            <w:r>
              <w:rPr>
                <w:highlight w:val="none"/>
              </w:rPr>
              <w:t>□</w:t>
            </w:r>
            <w:r>
              <w:rPr>
                <w:rFonts w:hint="eastAsia"/>
                <w:highlight w:val="none"/>
              </w:rPr>
              <w:t xml:space="preserve"> 合并、分立、破产、解散 </w:t>
            </w:r>
            <w:r>
              <w:rPr>
                <w:highlight w:val="none"/>
              </w:rPr>
              <w:t>□</w:t>
            </w:r>
            <w:r>
              <w:rPr>
                <w:rFonts w:hint="eastAsia"/>
                <w:highlight w:val="none"/>
              </w:rPr>
              <w:t xml:space="preserve"> 非上市公司国有股东股权比例变动</w:t>
            </w:r>
          </w:p>
          <w:p w14:paraId="63C8425C">
            <w:pPr>
              <w:pStyle w:val="6"/>
              <w:ind w:left="6"/>
              <w:jc w:val="both"/>
              <w:rPr>
                <w:rFonts w:hint="eastAsia"/>
                <w:highlight w:val="none"/>
              </w:rPr>
            </w:pPr>
            <w:r>
              <w:rPr>
                <w:highlight w:val="none"/>
              </w:rPr>
              <w:t>□</w:t>
            </w:r>
            <w:r>
              <w:rPr>
                <w:rFonts w:hint="eastAsia"/>
                <w:highlight w:val="none"/>
              </w:rPr>
              <w:t xml:space="preserve"> 产权转让  </w:t>
            </w:r>
            <w:r>
              <w:rPr>
                <w:highlight w:val="none"/>
              </w:rPr>
              <w:t>□</w:t>
            </w:r>
            <w:r>
              <w:rPr>
                <w:rFonts w:hint="eastAsia"/>
                <w:highlight w:val="none"/>
              </w:rPr>
              <w:t xml:space="preserve"> 资产转让、置换 </w:t>
            </w:r>
            <w:r>
              <w:rPr>
                <w:highlight w:val="none"/>
              </w:rPr>
              <w:t>□</w:t>
            </w:r>
            <w:r>
              <w:rPr>
                <w:rFonts w:hint="eastAsia"/>
                <w:highlight w:val="none"/>
              </w:rPr>
              <w:t xml:space="preserve"> 整体资产或者部分资产租赁给非国有单位</w:t>
            </w:r>
          </w:p>
          <w:p w14:paraId="49174D35">
            <w:pPr>
              <w:pStyle w:val="6"/>
              <w:ind w:left="6"/>
              <w:jc w:val="both"/>
              <w:rPr>
                <w:rFonts w:hint="eastAsia"/>
                <w:highlight w:val="none"/>
              </w:rPr>
            </w:pPr>
            <w:r>
              <w:rPr>
                <w:highlight w:val="none"/>
              </w:rPr>
              <w:t>□</w:t>
            </w:r>
            <w:r>
              <w:rPr>
                <w:rFonts w:hint="eastAsia"/>
                <w:highlight w:val="none"/>
              </w:rPr>
              <w:t xml:space="preserve"> 以非货币资产偿还债务 </w:t>
            </w:r>
            <w:r>
              <w:rPr>
                <w:highlight w:val="none"/>
              </w:rPr>
              <w:t>□</w:t>
            </w:r>
            <w:r>
              <w:rPr>
                <w:rFonts w:hint="eastAsia"/>
                <w:highlight w:val="none"/>
              </w:rPr>
              <w:t xml:space="preserve"> 资产涉讼 </w:t>
            </w:r>
            <w:r>
              <w:rPr>
                <w:highlight w:val="none"/>
              </w:rPr>
              <w:t>□</w:t>
            </w:r>
            <w:r>
              <w:rPr>
                <w:rFonts w:hint="eastAsia"/>
                <w:highlight w:val="none"/>
              </w:rPr>
              <w:t xml:space="preserve"> 其他</w:t>
            </w:r>
          </w:p>
        </w:tc>
      </w:tr>
      <w:tr w14:paraId="2846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0" w:type="dxa"/>
            <w:gridSpan w:val="2"/>
            <w:noWrap w:val="0"/>
            <w:vAlign w:val="center"/>
          </w:tcPr>
          <w:p w14:paraId="6FAD97E7">
            <w:pPr>
              <w:widowControl w:val="0"/>
              <w:jc w:val="center"/>
              <w:rPr>
                <w:rFonts w:hint="eastAsia" w:ascii="宋体" w:hAnsi="宋体"/>
                <w:sz w:val="24"/>
                <w:highlight w:val="none"/>
              </w:rPr>
            </w:pPr>
            <w:r>
              <w:rPr>
                <w:rFonts w:hint="eastAsia" w:ascii="宋体" w:hAnsi="宋体"/>
                <w:sz w:val="24"/>
                <w:highlight w:val="none"/>
              </w:rPr>
              <w:t>评估报告书编号</w:t>
            </w:r>
          </w:p>
        </w:tc>
        <w:tc>
          <w:tcPr>
            <w:tcW w:w="3420" w:type="dxa"/>
            <w:gridSpan w:val="5"/>
            <w:noWrap w:val="0"/>
            <w:vAlign w:val="center"/>
          </w:tcPr>
          <w:p w14:paraId="5E7748CA">
            <w:pPr>
              <w:widowControl w:val="0"/>
              <w:rPr>
                <w:rFonts w:hint="eastAsia" w:ascii="宋体" w:hAnsi="宋体"/>
                <w:sz w:val="24"/>
                <w:highlight w:val="none"/>
              </w:rPr>
            </w:pPr>
          </w:p>
        </w:tc>
        <w:tc>
          <w:tcPr>
            <w:tcW w:w="1939" w:type="dxa"/>
            <w:gridSpan w:val="3"/>
            <w:noWrap w:val="0"/>
            <w:vAlign w:val="center"/>
          </w:tcPr>
          <w:p w14:paraId="25B4EE44">
            <w:pPr>
              <w:widowControl w:val="0"/>
              <w:jc w:val="center"/>
              <w:rPr>
                <w:rFonts w:hint="eastAsia" w:ascii="宋体" w:hAnsi="宋体"/>
                <w:sz w:val="24"/>
                <w:highlight w:val="none"/>
              </w:rPr>
            </w:pPr>
            <w:r>
              <w:rPr>
                <w:rFonts w:hint="eastAsia" w:ascii="宋体" w:hAnsi="宋体"/>
                <w:sz w:val="24"/>
                <w:highlight w:val="none"/>
              </w:rPr>
              <w:t>主要评估方法</w:t>
            </w:r>
          </w:p>
        </w:tc>
        <w:tc>
          <w:tcPr>
            <w:tcW w:w="2761" w:type="dxa"/>
            <w:gridSpan w:val="3"/>
            <w:noWrap w:val="0"/>
            <w:vAlign w:val="center"/>
          </w:tcPr>
          <w:p w14:paraId="1DB4043B">
            <w:pPr>
              <w:widowControl w:val="0"/>
              <w:rPr>
                <w:rFonts w:hint="eastAsia" w:ascii="宋体" w:hAnsi="宋体"/>
                <w:sz w:val="24"/>
                <w:highlight w:val="none"/>
              </w:rPr>
            </w:pPr>
          </w:p>
        </w:tc>
      </w:tr>
      <w:tr w14:paraId="6761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80" w:type="dxa"/>
            <w:gridSpan w:val="2"/>
            <w:noWrap w:val="0"/>
            <w:vAlign w:val="center"/>
          </w:tcPr>
          <w:p w14:paraId="2627E197">
            <w:pPr>
              <w:widowControl w:val="0"/>
              <w:jc w:val="center"/>
              <w:rPr>
                <w:rFonts w:hint="eastAsia" w:ascii="宋体" w:hAnsi="宋体"/>
                <w:sz w:val="24"/>
                <w:highlight w:val="none"/>
              </w:rPr>
            </w:pPr>
            <w:r>
              <w:rPr>
                <w:rFonts w:hint="eastAsia" w:ascii="宋体" w:hAnsi="宋体"/>
                <w:sz w:val="24"/>
                <w:highlight w:val="none"/>
              </w:rPr>
              <w:t>评估机构名称</w:t>
            </w:r>
          </w:p>
        </w:tc>
        <w:tc>
          <w:tcPr>
            <w:tcW w:w="3420" w:type="dxa"/>
            <w:gridSpan w:val="5"/>
            <w:noWrap w:val="0"/>
            <w:vAlign w:val="center"/>
          </w:tcPr>
          <w:p w14:paraId="66DCA6A8">
            <w:pPr>
              <w:widowControl w:val="0"/>
              <w:rPr>
                <w:rFonts w:hint="eastAsia" w:ascii="宋体" w:hAnsi="宋体"/>
                <w:sz w:val="24"/>
                <w:highlight w:val="none"/>
              </w:rPr>
            </w:pPr>
          </w:p>
        </w:tc>
        <w:tc>
          <w:tcPr>
            <w:tcW w:w="1939" w:type="dxa"/>
            <w:gridSpan w:val="3"/>
            <w:noWrap w:val="0"/>
            <w:vAlign w:val="center"/>
          </w:tcPr>
          <w:p w14:paraId="117ED81D">
            <w:pPr>
              <w:widowControl w:val="0"/>
              <w:jc w:val="center"/>
              <w:rPr>
                <w:rFonts w:hint="eastAsia" w:ascii="宋体" w:hAnsi="宋体"/>
                <w:sz w:val="24"/>
                <w:highlight w:val="none"/>
              </w:rPr>
            </w:pPr>
            <w:r>
              <w:rPr>
                <w:rFonts w:hint="eastAsia" w:ascii="宋体" w:hAnsi="宋体"/>
                <w:sz w:val="24"/>
                <w:highlight w:val="none"/>
              </w:rPr>
              <w:t>资质证书编号</w:t>
            </w:r>
          </w:p>
        </w:tc>
        <w:tc>
          <w:tcPr>
            <w:tcW w:w="2761" w:type="dxa"/>
            <w:gridSpan w:val="3"/>
            <w:noWrap w:val="0"/>
            <w:vAlign w:val="center"/>
          </w:tcPr>
          <w:p w14:paraId="585A3F1C">
            <w:pPr>
              <w:widowControl w:val="0"/>
              <w:rPr>
                <w:rFonts w:hint="eastAsia" w:ascii="宋体" w:hAnsi="宋体"/>
                <w:sz w:val="24"/>
                <w:highlight w:val="none"/>
              </w:rPr>
            </w:pPr>
          </w:p>
        </w:tc>
      </w:tr>
      <w:tr w14:paraId="2B51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80" w:type="dxa"/>
            <w:gridSpan w:val="2"/>
            <w:noWrap w:val="0"/>
            <w:vAlign w:val="center"/>
          </w:tcPr>
          <w:p w14:paraId="23736F93">
            <w:pPr>
              <w:widowControl w:val="0"/>
              <w:jc w:val="center"/>
              <w:rPr>
                <w:rFonts w:hint="eastAsia" w:ascii="宋体" w:hAnsi="宋体"/>
                <w:sz w:val="24"/>
                <w:highlight w:val="none"/>
              </w:rPr>
            </w:pPr>
            <w:r>
              <w:rPr>
                <w:rFonts w:hint="eastAsia" w:ascii="宋体" w:hAnsi="宋体"/>
                <w:sz w:val="24"/>
                <w:highlight w:val="none"/>
              </w:rPr>
              <w:t>注册评估师姓名</w:t>
            </w:r>
          </w:p>
        </w:tc>
        <w:tc>
          <w:tcPr>
            <w:tcW w:w="1620" w:type="dxa"/>
            <w:gridSpan w:val="3"/>
            <w:noWrap w:val="0"/>
            <w:vAlign w:val="center"/>
          </w:tcPr>
          <w:p w14:paraId="2CC8EDCA">
            <w:pPr>
              <w:widowControl w:val="0"/>
              <w:rPr>
                <w:rFonts w:hint="eastAsia" w:ascii="宋体" w:hAnsi="宋体"/>
                <w:sz w:val="24"/>
                <w:highlight w:val="none"/>
              </w:rPr>
            </w:pPr>
          </w:p>
        </w:tc>
        <w:tc>
          <w:tcPr>
            <w:tcW w:w="1800" w:type="dxa"/>
            <w:gridSpan w:val="2"/>
            <w:noWrap w:val="0"/>
            <w:vAlign w:val="center"/>
          </w:tcPr>
          <w:p w14:paraId="0642943B">
            <w:pPr>
              <w:widowControl w:val="0"/>
              <w:rPr>
                <w:rFonts w:hint="eastAsia" w:ascii="宋体" w:hAnsi="宋体"/>
                <w:sz w:val="24"/>
                <w:highlight w:val="none"/>
              </w:rPr>
            </w:pPr>
          </w:p>
        </w:tc>
        <w:tc>
          <w:tcPr>
            <w:tcW w:w="1939" w:type="dxa"/>
            <w:gridSpan w:val="3"/>
            <w:noWrap w:val="0"/>
            <w:vAlign w:val="center"/>
          </w:tcPr>
          <w:p w14:paraId="7F0CD049">
            <w:pPr>
              <w:widowControl w:val="0"/>
              <w:rPr>
                <w:rFonts w:hint="eastAsia" w:ascii="宋体" w:hAnsi="宋体"/>
                <w:sz w:val="24"/>
                <w:highlight w:val="none"/>
              </w:rPr>
            </w:pPr>
            <w:r>
              <w:rPr>
                <w:rFonts w:hint="eastAsia" w:ascii="宋体" w:hAnsi="宋体"/>
                <w:sz w:val="24"/>
                <w:highlight w:val="none"/>
              </w:rPr>
              <w:t>注册评估师编号</w:t>
            </w:r>
          </w:p>
        </w:tc>
        <w:tc>
          <w:tcPr>
            <w:tcW w:w="1380" w:type="dxa"/>
            <w:gridSpan w:val="2"/>
            <w:noWrap w:val="0"/>
            <w:vAlign w:val="center"/>
          </w:tcPr>
          <w:p w14:paraId="4CAA57C1">
            <w:pPr>
              <w:widowControl w:val="0"/>
              <w:rPr>
                <w:rFonts w:hint="eastAsia" w:ascii="宋体" w:hAnsi="宋体"/>
                <w:sz w:val="24"/>
                <w:highlight w:val="none"/>
              </w:rPr>
            </w:pPr>
          </w:p>
        </w:tc>
        <w:tc>
          <w:tcPr>
            <w:tcW w:w="1381" w:type="dxa"/>
            <w:noWrap w:val="0"/>
            <w:vAlign w:val="center"/>
          </w:tcPr>
          <w:p w14:paraId="3C610D75">
            <w:pPr>
              <w:widowControl w:val="0"/>
              <w:rPr>
                <w:rFonts w:hint="eastAsia" w:ascii="宋体" w:hAnsi="宋体"/>
                <w:sz w:val="24"/>
                <w:highlight w:val="none"/>
              </w:rPr>
            </w:pPr>
          </w:p>
        </w:tc>
      </w:tr>
      <w:tr w14:paraId="1850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80" w:type="dxa"/>
            <w:gridSpan w:val="2"/>
            <w:noWrap w:val="0"/>
            <w:vAlign w:val="center"/>
          </w:tcPr>
          <w:p w14:paraId="506FE6BC">
            <w:pPr>
              <w:widowControl w:val="0"/>
              <w:jc w:val="center"/>
              <w:rPr>
                <w:rFonts w:hint="eastAsia" w:ascii="宋体" w:hAnsi="宋体"/>
                <w:sz w:val="24"/>
                <w:highlight w:val="none"/>
              </w:rPr>
            </w:pPr>
            <w:r>
              <w:rPr>
                <w:rFonts w:hint="eastAsia" w:ascii="宋体" w:hAnsi="宋体"/>
                <w:sz w:val="24"/>
                <w:highlight w:val="none"/>
              </w:rPr>
              <w:t>产权持有单位</w:t>
            </w:r>
          </w:p>
          <w:p w14:paraId="3D8279D7">
            <w:pPr>
              <w:widowControl w:val="0"/>
              <w:jc w:val="center"/>
              <w:rPr>
                <w:rFonts w:hint="eastAsia" w:ascii="宋体" w:hAnsi="宋体"/>
                <w:sz w:val="24"/>
                <w:highlight w:val="none"/>
              </w:rPr>
            </w:pPr>
            <w:r>
              <w:rPr>
                <w:rFonts w:hint="eastAsia" w:ascii="宋体" w:hAnsi="宋体"/>
                <w:sz w:val="24"/>
                <w:highlight w:val="none"/>
              </w:rPr>
              <w:t>联系人</w:t>
            </w:r>
          </w:p>
        </w:tc>
        <w:tc>
          <w:tcPr>
            <w:tcW w:w="1080" w:type="dxa"/>
            <w:gridSpan w:val="2"/>
            <w:noWrap w:val="0"/>
            <w:vAlign w:val="center"/>
          </w:tcPr>
          <w:p w14:paraId="6CB5F04A">
            <w:pPr>
              <w:widowControl w:val="0"/>
              <w:rPr>
                <w:rFonts w:hint="eastAsia" w:ascii="宋体" w:hAnsi="宋体"/>
                <w:sz w:val="24"/>
                <w:highlight w:val="none"/>
              </w:rPr>
            </w:pPr>
          </w:p>
        </w:tc>
        <w:tc>
          <w:tcPr>
            <w:tcW w:w="1249" w:type="dxa"/>
            <w:gridSpan w:val="2"/>
            <w:noWrap w:val="0"/>
            <w:vAlign w:val="center"/>
          </w:tcPr>
          <w:p w14:paraId="07A21614">
            <w:pPr>
              <w:widowControl w:val="0"/>
              <w:jc w:val="center"/>
              <w:rPr>
                <w:rFonts w:hint="eastAsia" w:ascii="宋体" w:hAnsi="宋体"/>
                <w:sz w:val="24"/>
                <w:highlight w:val="none"/>
              </w:rPr>
            </w:pPr>
            <w:r>
              <w:rPr>
                <w:rFonts w:hint="eastAsia" w:ascii="宋体" w:hAnsi="宋体"/>
                <w:sz w:val="24"/>
                <w:highlight w:val="none"/>
              </w:rPr>
              <w:t>电  话</w:t>
            </w:r>
          </w:p>
        </w:tc>
        <w:tc>
          <w:tcPr>
            <w:tcW w:w="1991" w:type="dxa"/>
            <w:gridSpan w:val="2"/>
            <w:noWrap w:val="0"/>
            <w:vAlign w:val="center"/>
          </w:tcPr>
          <w:p w14:paraId="1841A0E0">
            <w:pPr>
              <w:widowControl w:val="0"/>
              <w:rPr>
                <w:rFonts w:hint="eastAsia" w:ascii="宋体" w:hAnsi="宋体"/>
                <w:sz w:val="24"/>
                <w:highlight w:val="none"/>
              </w:rPr>
            </w:pPr>
          </w:p>
        </w:tc>
        <w:tc>
          <w:tcPr>
            <w:tcW w:w="1039" w:type="dxa"/>
            <w:gridSpan w:val="2"/>
            <w:noWrap w:val="0"/>
            <w:vAlign w:val="center"/>
          </w:tcPr>
          <w:p w14:paraId="52F9BB8A">
            <w:pPr>
              <w:widowControl w:val="0"/>
              <w:jc w:val="center"/>
              <w:rPr>
                <w:rFonts w:hint="eastAsia" w:ascii="宋体" w:hAnsi="宋体"/>
                <w:sz w:val="24"/>
                <w:highlight w:val="none"/>
              </w:rPr>
            </w:pPr>
            <w:r>
              <w:rPr>
                <w:rFonts w:hint="eastAsia" w:ascii="宋体" w:hAnsi="宋体"/>
                <w:sz w:val="24"/>
                <w:highlight w:val="none"/>
              </w:rPr>
              <w:t>通  讯</w:t>
            </w:r>
          </w:p>
          <w:p w14:paraId="71457DBF">
            <w:pPr>
              <w:widowControl w:val="0"/>
              <w:jc w:val="center"/>
              <w:rPr>
                <w:rFonts w:hint="eastAsia" w:ascii="宋体" w:hAnsi="宋体"/>
                <w:sz w:val="24"/>
                <w:highlight w:val="none"/>
              </w:rPr>
            </w:pPr>
            <w:r>
              <w:rPr>
                <w:rFonts w:hint="eastAsia" w:ascii="宋体" w:hAnsi="宋体"/>
                <w:sz w:val="24"/>
                <w:highlight w:val="none"/>
              </w:rPr>
              <w:t>地  址</w:t>
            </w:r>
          </w:p>
        </w:tc>
        <w:tc>
          <w:tcPr>
            <w:tcW w:w="2761" w:type="dxa"/>
            <w:gridSpan w:val="3"/>
            <w:noWrap w:val="0"/>
            <w:vAlign w:val="center"/>
          </w:tcPr>
          <w:p w14:paraId="0B65D881">
            <w:pPr>
              <w:widowControl w:val="0"/>
              <w:rPr>
                <w:rFonts w:hint="eastAsia" w:ascii="宋体" w:hAnsi="宋体"/>
                <w:sz w:val="24"/>
                <w:highlight w:val="none"/>
              </w:rPr>
            </w:pPr>
          </w:p>
        </w:tc>
      </w:tr>
      <w:tr w14:paraId="21D2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gridSpan w:val="2"/>
            <w:noWrap w:val="0"/>
            <w:vAlign w:val="center"/>
          </w:tcPr>
          <w:p w14:paraId="06B81893">
            <w:pPr>
              <w:widowControl w:val="0"/>
              <w:jc w:val="center"/>
              <w:rPr>
                <w:rFonts w:hint="eastAsia" w:ascii="宋体" w:hAnsi="宋体"/>
                <w:sz w:val="24"/>
                <w:highlight w:val="none"/>
              </w:rPr>
            </w:pPr>
            <w:r>
              <w:rPr>
                <w:rFonts w:hint="eastAsia" w:ascii="宋体" w:hAnsi="宋体"/>
                <w:sz w:val="24"/>
                <w:highlight w:val="none"/>
              </w:rPr>
              <w:t>所出资企业(有关部门)联系人</w:t>
            </w:r>
          </w:p>
        </w:tc>
        <w:tc>
          <w:tcPr>
            <w:tcW w:w="1080" w:type="dxa"/>
            <w:gridSpan w:val="2"/>
            <w:noWrap w:val="0"/>
            <w:vAlign w:val="center"/>
          </w:tcPr>
          <w:p w14:paraId="4A6A5567">
            <w:pPr>
              <w:widowControl w:val="0"/>
              <w:rPr>
                <w:rFonts w:hint="eastAsia" w:ascii="宋体" w:hAnsi="宋体"/>
                <w:sz w:val="24"/>
                <w:highlight w:val="none"/>
              </w:rPr>
            </w:pPr>
          </w:p>
        </w:tc>
        <w:tc>
          <w:tcPr>
            <w:tcW w:w="1249" w:type="dxa"/>
            <w:gridSpan w:val="2"/>
            <w:noWrap w:val="0"/>
            <w:vAlign w:val="center"/>
          </w:tcPr>
          <w:p w14:paraId="1FB4F6F7">
            <w:pPr>
              <w:widowControl w:val="0"/>
              <w:jc w:val="center"/>
              <w:rPr>
                <w:rFonts w:hint="eastAsia" w:ascii="宋体" w:hAnsi="宋体"/>
                <w:sz w:val="24"/>
                <w:highlight w:val="none"/>
              </w:rPr>
            </w:pPr>
            <w:r>
              <w:rPr>
                <w:rFonts w:hint="eastAsia" w:ascii="宋体" w:hAnsi="宋体"/>
                <w:sz w:val="24"/>
                <w:highlight w:val="none"/>
              </w:rPr>
              <w:t>电  话</w:t>
            </w:r>
          </w:p>
        </w:tc>
        <w:tc>
          <w:tcPr>
            <w:tcW w:w="1991" w:type="dxa"/>
            <w:gridSpan w:val="2"/>
            <w:noWrap w:val="0"/>
            <w:vAlign w:val="center"/>
          </w:tcPr>
          <w:p w14:paraId="45ED7081">
            <w:pPr>
              <w:widowControl w:val="0"/>
              <w:rPr>
                <w:rFonts w:hint="eastAsia" w:ascii="宋体" w:hAnsi="宋体"/>
                <w:sz w:val="24"/>
                <w:highlight w:val="none"/>
              </w:rPr>
            </w:pPr>
          </w:p>
        </w:tc>
        <w:tc>
          <w:tcPr>
            <w:tcW w:w="1039" w:type="dxa"/>
            <w:gridSpan w:val="2"/>
            <w:noWrap w:val="0"/>
            <w:vAlign w:val="center"/>
          </w:tcPr>
          <w:p w14:paraId="7DA5B1DF">
            <w:pPr>
              <w:widowControl w:val="0"/>
              <w:jc w:val="center"/>
              <w:rPr>
                <w:rFonts w:hint="eastAsia" w:ascii="宋体" w:hAnsi="宋体"/>
                <w:sz w:val="24"/>
                <w:highlight w:val="none"/>
              </w:rPr>
            </w:pPr>
            <w:r>
              <w:rPr>
                <w:rFonts w:hint="eastAsia" w:ascii="宋体" w:hAnsi="宋体"/>
                <w:sz w:val="24"/>
                <w:highlight w:val="none"/>
              </w:rPr>
              <w:t>通  讯</w:t>
            </w:r>
          </w:p>
          <w:p w14:paraId="793E7E88">
            <w:pPr>
              <w:widowControl w:val="0"/>
              <w:jc w:val="center"/>
              <w:rPr>
                <w:rFonts w:hint="eastAsia" w:ascii="宋体" w:hAnsi="宋体"/>
                <w:sz w:val="24"/>
                <w:highlight w:val="none"/>
              </w:rPr>
            </w:pPr>
            <w:r>
              <w:rPr>
                <w:rFonts w:hint="eastAsia" w:ascii="宋体" w:hAnsi="宋体"/>
                <w:sz w:val="24"/>
                <w:highlight w:val="none"/>
              </w:rPr>
              <w:t>地  址</w:t>
            </w:r>
          </w:p>
        </w:tc>
        <w:tc>
          <w:tcPr>
            <w:tcW w:w="2761" w:type="dxa"/>
            <w:gridSpan w:val="3"/>
            <w:noWrap w:val="0"/>
            <w:vAlign w:val="center"/>
          </w:tcPr>
          <w:p w14:paraId="5094D48B">
            <w:pPr>
              <w:widowControl w:val="0"/>
              <w:rPr>
                <w:rFonts w:hint="eastAsia" w:ascii="宋体" w:hAnsi="宋体"/>
                <w:sz w:val="24"/>
                <w:highlight w:val="none"/>
              </w:rPr>
            </w:pPr>
          </w:p>
        </w:tc>
      </w:tr>
      <w:tr w14:paraId="28B0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3060" w:type="dxa"/>
            <w:gridSpan w:val="4"/>
            <w:noWrap w:val="0"/>
            <w:vAlign w:val="center"/>
          </w:tcPr>
          <w:p w14:paraId="699BDDBB">
            <w:pPr>
              <w:widowControl w:val="0"/>
              <w:jc w:val="center"/>
              <w:rPr>
                <w:rFonts w:hint="eastAsia" w:ascii="宋体" w:hAnsi="宋体"/>
                <w:sz w:val="24"/>
                <w:highlight w:val="none"/>
              </w:rPr>
            </w:pPr>
            <w:r>
              <w:rPr>
                <w:rFonts w:hint="eastAsia" w:ascii="宋体" w:hAnsi="宋体"/>
                <w:sz w:val="24"/>
                <w:highlight w:val="none"/>
              </w:rPr>
              <w:t>申报备案</w:t>
            </w:r>
          </w:p>
          <w:p w14:paraId="483074F2">
            <w:pPr>
              <w:widowControl w:val="0"/>
              <w:jc w:val="center"/>
              <w:rPr>
                <w:rFonts w:hint="eastAsia" w:ascii="宋体" w:hAnsi="宋体"/>
                <w:sz w:val="24"/>
                <w:highlight w:val="none"/>
              </w:rPr>
            </w:pPr>
          </w:p>
          <w:p w14:paraId="114FCED1">
            <w:pPr>
              <w:widowControl w:val="0"/>
              <w:jc w:val="center"/>
              <w:rPr>
                <w:rFonts w:hint="eastAsia" w:ascii="宋体" w:hAnsi="宋体"/>
                <w:sz w:val="24"/>
                <w:highlight w:val="none"/>
              </w:rPr>
            </w:pPr>
          </w:p>
          <w:p w14:paraId="5932F5F2">
            <w:pPr>
              <w:widowControl w:val="0"/>
              <w:jc w:val="center"/>
              <w:rPr>
                <w:rFonts w:hint="eastAsia" w:ascii="宋体" w:hAnsi="宋体"/>
                <w:sz w:val="24"/>
                <w:highlight w:val="none"/>
              </w:rPr>
            </w:pPr>
            <w:r>
              <w:rPr>
                <w:rFonts w:hint="eastAsia" w:ascii="宋体" w:hAnsi="宋体"/>
                <w:sz w:val="24"/>
                <w:highlight w:val="none"/>
              </w:rPr>
              <w:t>产权持有单位盖章</w:t>
            </w:r>
          </w:p>
          <w:p w14:paraId="7000FF5B">
            <w:pPr>
              <w:widowControl w:val="0"/>
              <w:jc w:val="center"/>
              <w:rPr>
                <w:rFonts w:hint="eastAsia" w:ascii="宋体" w:hAnsi="宋体"/>
                <w:sz w:val="24"/>
                <w:highlight w:val="none"/>
              </w:rPr>
            </w:pPr>
          </w:p>
          <w:p w14:paraId="5BB6DC2C">
            <w:pPr>
              <w:widowControl w:val="0"/>
              <w:jc w:val="center"/>
              <w:rPr>
                <w:rFonts w:hint="eastAsia" w:ascii="宋体" w:hAnsi="宋体"/>
                <w:sz w:val="24"/>
                <w:highlight w:val="none"/>
              </w:rPr>
            </w:pPr>
          </w:p>
          <w:p w14:paraId="29FBF50F">
            <w:pPr>
              <w:widowControl w:val="0"/>
              <w:rPr>
                <w:rFonts w:hint="eastAsia" w:ascii="宋体" w:hAnsi="宋体"/>
                <w:sz w:val="24"/>
                <w:highlight w:val="none"/>
              </w:rPr>
            </w:pPr>
            <w:r>
              <w:rPr>
                <w:rFonts w:hint="eastAsia" w:ascii="宋体" w:hAnsi="宋体"/>
                <w:sz w:val="24"/>
                <w:highlight w:val="none"/>
              </w:rPr>
              <w:t>法定代表人签字：</w:t>
            </w:r>
          </w:p>
          <w:p w14:paraId="1852971C">
            <w:pPr>
              <w:widowControl w:val="0"/>
              <w:rPr>
                <w:rFonts w:hint="eastAsia" w:ascii="宋体" w:hAnsi="宋体"/>
                <w:sz w:val="24"/>
                <w:highlight w:val="none"/>
              </w:rPr>
            </w:pPr>
          </w:p>
          <w:p w14:paraId="013305E5">
            <w:pPr>
              <w:widowControl w:val="0"/>
              <w:jc w:val="center"/>
              <w:rPr>
                <w:rFonts w:hint="eastAsia" w:ascii="宋体" w:hAnsi="宋体"/>
                <w:sz w:val="24"/>
                <w:highlight w:val="none"/>
              </w:rPr>
            </w:pPr>
            <w:r>
              <w:rPr>
                <w:rFonts w:hint="eastAsia" w:ascii="宋体" w:hAnsi="宋体"/>
                <w:sz w:val="24"/>
                <w:highlight w:val="none"/>
              </w:rPr>
              <w:t>年  月  日</w:t>
            </w:r>
          </w:p>
        </w:tc>
        <w:tc>
          <w:tcPr>
            <w:tcW w:w="3240" w:type="dxa"/>
            <w:gridSpan w:val="4"/>
            <w:noWrap w:val="0"/>
            <w:vAlign w:val="center"/>
          </w:tcPr>
          <w:p w14:paraId="7C28B086">
            <w:pPr>
              <w:widowControl w:val="0"/>
              <w:jc w:val="center"/>
              <w:rPr>
                <w:rFonts w:hint="eastAsia" w:ascii="宋体" w:hAnsi="宋体"/>
                <w:sz w:val="24"/>
                <w:highlight w:val="none"/>
              </w:rPr>
            </w:pPr>
            <w:r>
              <w:rPr>
                <w:rFonts w:hint="eastAsia" w:ascii="宋体" w:hAnsi="宋体"/>
                <w:sz w:val="24"/>
                <w:highlight w:val="none"/>
              </w:rPr>
              <w:t>同意转报备案</w:t>
            </w:r>
          </w:p>
          <w:p w14:paraId="189831FF">
            <w:pPr>
              <w:widowControl w:val="0"/>
              <w:jc w:val="center"/>
              <w:rPr>
                <w:rFonts w:hint="eastAsia" w:ascii="宋体" w:hAnsi="宋体"/>
                <w:sz w:val="24"/>
                <w:highlight w:val="none"/>
              </w:rPr>
            </w:pPr>
          </w:p>
          <w:p w14:paraId="1950C0C9">
            <w:pPr>
              <w:widowControl w:val="0"/>
              <w:jc w:val="center"/>
              <w:rPr>
                <w:rFonts w:hint="eastAsia" w:ascii="宋体" w:hAnsi="宋体"/>
                <w:sz w:val="24"/>
                <w:highlight w:val="none"/>
              </w:rPr>
            </w:pPr>
          </w:p>
          <w:p w14:paraId="4A7862FD">
            <w:pPr>
              <w:widowControl w:val="0"/>
              <w:jc w:val="center"/>
              <w:rPr>
                <w:rFonts w:hint="eastAsia" w:ascii="宋体" w:hAnsi="宋体"/>
                <w:sz w:val="24"/>
                <w:highlight w:val="none"/>
              </w:rPr>
            </w:pPr>
            <w:r>
              <w:rPr>
                <w:rFonts w:hint="eastAsia" w:ascii="宋体" w:hAnsi="宋体"/>
                <w:sz w:val="24"/>
                <w:highlight w:val="none"/>
              </w:rPr>
              <w:t>上级单位盖章</w:t>
            </w:r>
          </w:p>
          <w:p w14:paraId="15FDC423">
            <w:pPr>
              <w:widowControl w:val="0"/>
              <w:jc w:val="center"/>
              <w:rPr>
                <w:rFonts w:hint="eastAsia" w:ascii="宋体" w:hAnsi="宋体"/>
                <w:sz w:val="24"/>
                <w:highlight w:val="none"/>
              </w:rPr>
            </w:pPr>
          </w:p>
          <w:p w14:paraId="1C2A2DFC">
            <w:pPr>
              <w:widowControl w:val="0"/>
              <w:jc w:val="center"/>
              <w:rPr>
                <w:rFonts w:hint="eastAsia" w:ascii="宋体" w:hAnsi="宋体"/>
                <w:sz w:val="24"/>
                <w:highlight w:val="none"/>
              </w:rPr>
            </w:pPr>
          </w:p>
          <w:p w14:paraId="77A18BFC">
            <w:pPr>
              <w:widowControl w:val="0"/>
              <w:rPr>
                <w:rFonts w:hint="eastAsia" w:ascii="宋体" w:hAnsi="宋体"/>
                <w:sz w:val="24"/>
                <w:highlight w:val="none"/>
              </w:rPr>
            </w:pPr>
            <w:r>
              <w:rPr>
                <w:rFonts w:hint="eastAsia" w:ascii="宋体" w:hAnsi="宋体"/>
                <w:sz w:val="24"/>
                <w:highlight w:val="none"/>
              </w:rPr>
              <w:t>单位领导签字：</w:t>
            </w:r>
          </w:p>
          <w:p w14:paraId="56F231B7">
            <w:pPr>
              <w:widowControl w:val="0"/>
              <w:rPr>
                <w:rFonts w:hint="eastAsia" w:ascii="宋体" w:hAnsi="宋体"/>
                <w:sz w:val="24"/>
                <w:highlight w:val="none"/>
              </w:rPr>
            </w:pPr>
          </w:p>
          <w:p w14:paraId="6D325B4D">
            <w:pPr>
              <w:widowControl w:val="0"/>
              <w:jc w:val="center"/>
              <w:rPr>
                <w:rFonts w:hint="eastAsia" w:ascii="宋体" w:hAnsi="宋体"/>
                <w:sz w:val="24"/>
                <w:highlight w:val="none"/>
              </w:rPr>
            </w:pPr>
            <w:r>
              <w:rPr>
                <w:rFonts w:hint="eastAsia" w:ascii="宋体" w:hAnsi="宋体"/>
                <w:sz w:val="24"/>
                <w:highlight w:val="none"/>
              </w:rPr>
              <w:t>年  月  日</w:t>
            </w:r>
          </w:p>
        </w:tc>
        <w:tc>
          <w:tcPr>
            <w:tcW w:w="3800" w:type="dxa"/>
            <w:gridSpan w:val="5"/>
            <w:noWrap w:val="0"/>
            <w:vAlign w:val="center"/>
          </w:tcPr>
          <w:p w14:paraId="1F5D8EA3">
            <w:pPr>
              <w:widowControl w:val="0"/>
              <w:jc w:val="center"/>
              <w:rPr>
                <w:rFonts w:hint="eastAsia" w:ascii="宋体" w:hAnsi="宋体"/>
                <w:sz w:val="24"/>
                <w:highlight w:val="none"/>
              </w:rPr>
            </w:pPr>
            <w:r>
              <w:rPr>
                <w:rFonts w:hint="eastAsia" w:ascii="宋体" w:hAnsi="宋体"/>
                <w:sz w:val="24"/>
                <w:highlight w:val="none"/>
              </w:rPr>
              <w:t>备      案</w:t>
            </w:r>
          </w:p>
          <w:p w14:paraId="2F7B8340">
            <w:pPr>
              <w:widowControl w:val="0"/>
              <w:rPr>
                <w:rFonts w:hint="eastAsia" w:ascii="宋体" w:hAnsi="宋体"/>
                <w:sz w:val="24"/>
                <w:highlight w:val="none"/>
              </w:rPr>
            </w:pPr>
          </w:p>
          <w:p w14:paraId="103BD902">
            <w:pPr>
              <w:widowControl w:val="0"/>
              <w:jc w:val="center"/>
              <w:rPr>
                <w:rFonts w:hint="eastAsia" w:ascii="宋体" w:hAnsi="宋体"/>
                <w:sz w:val="24"/>
                <w:highlight w:val="none"/>
              </w:rPr>
            </w:pPr>
            <w:r>
              <w:rPr>
                <w:rFonts w:hint="eastAsia" w:ascii="宋体" w:hAnsi="宋体"/>
                <w:sz w:val="24"/>
                <w:highlight w:val="none"/>
              </w:rPr>
              <w:t>（所出资企业、有关部门）</w:t>
            </w:r>
          </w:p>
          <w:p w14:paraId="17D0B59C">
            <w:pPr>
              <w:widowControl w:val="0"/>
              <w:rPr>
                <w:rFonts w:hint="eastAsia" w:ascii="宋体" w:hAnsi="宋体"/>
                <w:sz w:val="24"/>
                <w:highlight w:val="none"/>
              </w:rPr>
            </w:pPr>
          </w:p>
          <w:p w14:paraId="53EDBC7A">
            <w:pPr>
              <w:widowControl w:val="0"/>
              <w:rPr>
                <w:rFonts w:hint="eastAsia" w:ascii="宋体" w:hAnsi="宋体"/>
                <w:sz w:val="24"/>
                <w:highlight w:val="none"/>
              </w:rPr>
            </w:pPr>
          </w:p>
          <w:p w14:paraId="19216F12">
            <w:pPr>
              <w:widowControl w:val="0"/>
              <w:rPr>
                <w:rFonts w:hint="eastAsia" w:ascii="宋体" w:hAnsi="宋体"/>
                <w:sz w:val="24"/>
                <w:highlight w:val="none"/>
              </w:rPr>
            </w:pPr>
          </w:p>
          <w:p w14:paraId="72B30CC9">
            <w:pPr>
              <w:widowControl w:val="0"/>
              <w:jc w:val="center"/>
              <w:rPr>
                <w:rFonts w:hint="eastAsia" w:ascii="宋体" w:hAnsi="宋体"/>
                <w:sz w:val="24"/>
                <w:highlight w:val="none"/>
              </w:rPr>
            </w:pPr>
            <w:r>
              <w:rPr>
                <w:rFonts w:hint="eastAsia" w:ascii="宋体" w:hAnsi="宋体"/>
                <w:sz w:val="24"/>
                <w:highlight w:val="none"/>
              </w:rPr>
              <w:t>年  月  日</w:t>
            </w:r>
          </w:p>
        </w:tc>
      </w:tr>
    </w:tbl>
    <w:p w14:paraId="6F5A0819">
      <w:pPr>
        <w:jc w:val="center"/>
        <w:rPr>
          <w:rFonts w:hint="eastAsia" w:ascii="宋体" w:hAnsi="宋体"/>
          <w:spacing w:val="30"/>
          <w:sz w:val="44"/>
          <w:szCs w:val="44"/>
          <w:highlight w:val="none"/>
        </w:rPr>
      </w:pPr>
    </w:p>
    <w:p w14:paraId="4CECDF3C">
      <w:pPr>
        <w:jc w:val="center"/>
        <w:rPr>
          <w:rFonts w:hint="eastAsia" w:ascii="宋体" w:hAnsi="宋体"/>
          <w:spacing w:val="30"/>
          <w:sz w:val="44"/>
          <w:szCs w:val="44"/>
          <w:highlight w:val="none"/>
        </w:rPr>
      </w:pPr>
    </w:p>
    <w:p w14:paraId="40A43731">
      <w:pPr>
        <w:jc w:val="center"/>
        <w:rPr>
          <w:rFonts w:hint="eastAsia" w:ascii="宋体" w:hAnsi="宋体"/>
          <w:spacing w:val="30"/>
          <w:sz w:val="44"/>
          <w:szCs w:val="44"/>
          <w:highlight w:val="none"/>
        </w:rPr>
      </w:pPr>
      <w:r>
        <w:rPr>
          <w:rFonts w:hint="eastAsia" w:ascii="宋体" w:hAnsi="宋体"/>
          <w:spacing w:val="30"/>
          <w:sz w:val="44"/>
          <w:szCs w:val="44"/>
          <w:highlight w:val="none"/>
        </w:rPr>
        <w:t>资产评估结果</w:t>
      </w:r>
    </w:p>
    <w:p w14:paraId="46B1FD38">
      <w:pPr>
        <w:ind w:firstLine="201" w:firstLineChars="72"/>
        <w:rPr>
          <w:rFonts w:hint="eastAsia" w:ascii="宋体" w:hAnsi="宋体"/>
          <w:spacing w:val="20"/>
          <w:sz w:val="24"/>
          <w:highlight w:val="none"/>
        </w:rPr>
      </w:pPr>
    </w:p>
    <w:p w14:paraId="717A572E">
      <w:pPr>
        <w:ind w:firstLine="537" w:firstLineChars="192"/>
        <w:rPr>
          <w:rFonts w:hint="eastAsia" w:ascii="宋体" w:hAnsi="宋体"/>
          <w:spacing w:val="20"/>
          <w:sz w:val="24"/>
          <w:highlight w:val="none"/>
        </w:rPr>
      </w:pPr>
      <w:r>
        <w:rPr>
          <w:rFonts w:hint="eastAsia" w:ascii="宋体" w:hAnsi="宋体"/>
          <w:spacing w:val="20"/>
          <w:sz w:val="24"/>
          <w:highlight w:val="none"/>
        </w:rPr>
        <w:t>评　估　基　准　日：　   年  月  日</w:t>
      </w:r>
    </w:p>
    <w:p w14:paraId="4742BE4D">
      <w:pPr>
        <w:ind w:firstLine="560" w:firstLineChars="200"/>
        <w:rPr>
          <w:rFonts w:hint="eastAsia" w:ascii="宋体" w:hAnsi="宋体"/>
          <w:spacing w:val="20"/>
          <w:sz w:val="24"/>
          <w:highlight w:val="none"/>
        </w:rPr>
      </w:pPr>
      <w:r>
        <w:rPr>
          <w:rFonts w:hint="eastAsia" w:ascii="宋体" w:hAnsi="宋体"/>
          <w:spacing w:val="20"/>
          <w:sz w:val="24"/>
          <w:highlight w:val="none"/>
        </w:rPr>
        <w:t>评估结果使用有效期至：   年  月  日        金额单位：人民币万元</w:t>
      </w:r>
    </w:p>
    <w:p w14:paraId="380BE60C">
      <w:pPr>
        <w:ind w:firstLine="560" w:firstLineChars="200"/>
        <w:rPr>
          <w:rFonts w:hint="eastAsia" w:ascii="宋体" w:hAnsi="宋体"/>
          <w:spacing w:val="20"/>
          <w:sz w:val="24"/>
          <w:highlight w:val="none"/>
        </w:rPr>
      </w:pPr>
    </w:p>
    <w:tbl>
      <w:tblPr>
        <w:tblStyle w:val="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1980"/>
        <w:gridCol w:w="2160"/>
        <w:gridCol w:w="1620"/>
        <w:gridCol w:w="1440"/>
      </w:tblGrid>
      <w:tr w14:paraId="01E7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noWrap w:val="0"/>
            <w:vAlign w:val="center"/>
          </w:tcPr>
          <w:p w14:paraId="4D0B52A6">
            <w:pPr>
              <w:widowControl w:val="0"/>
              <w:jc w:val="center"/>
              <w:rPr>
                <w:rFonts w:hint="eastAsia" w:ascii="宋体" w:hAnsi="宋体"/>
                <w:sz w:val="24"/>
                <w:highlight w:val="none"/>
              </w:rPr>
            </w:pPr>
            <w:r>
              <w:rPr>
                <w:rFonts w:hint="eastAsia" w:ascii="宋体" w:hAnsi="宋体"/>
                <w:sz w:val="24"/>
                <w:highlight w:val="none"/>
              </w:rPr>
              <w:t>项  目</w:t>
            </w:r>
          </w:p>
        </w:tc>
        <w:tc>
          <w:tcPr>
            <w:tcW w:w="1980" w:type="dxa"/>
            <w:noWrap w:val="0"/>
            <w:vAlign w:val="center"/>
          </w:tcPr>
          <w:p w14:paraId="73985228">
            <w:pPr>
              <w:widowControl w:val="0"/>
              <w:jc w:val="center"/>
              <w:rPr>
                <w:rFonts w:hint="eastAsia" w:ascii="宋体" w:hAnsi="宋体"/>
                <w:sz w:val="24"/>
                <w:highlight w:val="none"/>
              </w:rPr>
            </w:pPr>
            <w:r>
              <w:rPr>
                <w:rFonts w:hint="eastAsia" w:ascii="宋体" w:hAnsi="宋体"/>
                <w:sz w:val="24"/>
                <w:highlight w:val="none"/>
              </w:rPr>
              <w:t>账面价值</w:t>
            </w:r>
          </w:p>
        </w:tc>
        <w:tc>
          <w:tcPr>
            <w:tcW w:w="2160" w:type="dxa"/>
            <w:noWrap w:val="0"/>
            <w:vAlign w:val="center"/>
          </w:tcPr>
          <w:p w14:paraId="534DA6B5">
            <w:pPr>
              <w:widowControl w:val="0"/>
              <w:jc w:val="center"/>
              <w:rPr>
                <w:rFonts w:hint="eastAsia" w:ascii="宋体" w:hAnsi="宋体"/>
                <w:sz w:val="24"/>
                <w:highlight w:val="none"/>
              </w:rPr>
            </w:pPr>
            <w:r>
              <w:rPr>
                <w:rFonts w:hint="eastAsia" w:ascii="宋体" w:hAnsi="宋体"/>
                <w:sz w:val="24"/>
                <w:highlight w:val="none"/>
              </w:rPr>
              <w:t>评估价值</w:t>
            </w:r>
          </w:p>
        </w:tc>
        <w:tc>
          <w:tcPr>
            <w:tcW w:w="1620" w:type="dxa"/>
            <w:noWrap w:val="0"/>
            <w:vAlign w:val="center"/>
          </w:tcPr>
          <w:p w14:paraId="4F31950E">
            <w:pPr>
              <w:widowControl w:val="0"/>
              <w:jc w:val="center"/>
              <w:rPr>
                <w:rFonts w:hint="eastAsia" w:ascii="宋体" w:hAnsi="宋体"/>
                <w:sz w:val="24"/>
                <w:highlight w:val="none"/>
              </w:rPr>
            </w:pPr>
            <w:r>
              <w:rPr>
                <w:rFonts w:hint="eastAsia" w:ascii="宋体" w:hAnsi="宋体"/>
                <w:sz w:val="24"/>
                <w:highlight w:val="none"/>
              </w:rPr>
              <w:t>增减值</w:t>
            </w:r>
          </w:p>
        </w:tc>
        <w:tc>
          <w:tcPr>
            <w:tcW w:w="1440" w:type="dxa"/>
            <w:noWrap w:val="0"/>
            <w:vAlign w:val="center"/>
          </w:tcPr>
          <w:p w14:paraId="37B249D8">
            <w:pPr>
              <w:widowControl w:val="0"/>
              <w:jc w:val="center"/>
              <w:rPr>
                <w:rFonts w:hint="eastAsia" w:ascii="宋体" w:hAnsi="宋体"/>
                <w:sz w:val="24"/>
                <w:highlight w:val="none"/>
              </w:rPr>
            </w:pPr>
            <w:r>
              <w:rPr>
                <w:rFonts w:hint="eastAsia" w:ascii="宋体" w:hAnsi="宋体"/>
                <w:sz w:val="24"/>
                <w:highlight w:val="none"/>
              </w:rPr>
              <w:t>增减率</w:t>
            </w:r>
          </w:p>
          <w:p w14:paraId="5D2EF9DA">
            <w:pPr>
              <w:widowControl w:val="0"/>
              <w:jc w:val="center"/>
              <w:rPr>
                <w:rFonts w:hint="eastAsia" w:ascii="宋体" w:hAnsi="宋体"/>
                <w:sz w:val="24"/>
                <w:highlight w:val="none"/>
              </w:rPr>
            </w:pPr>
            <w:r>
              <w:rPr>
                <w:rFonts w:hint="eastAsia" w:ascii="宋体" w:hAnsi="宋体"/>
                <w:sz w:val="24"/>
                <w:highlight w:val="none"/>
              </w:rPr>
              <w:t>（%）</w:t>
            </w:r>
          </w:p>
        </w:tc>
      </w:tr>
      <w:tr w14:paraId="6AB9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noWrap w:val="0"/>
            <w:vAlign w:val="center"/>
          </w:tcPr>
          <w:p w14:paraId="6520200B">
            <w:pPr>
              <w:widowControl w:val="0"/>
              <w:jc w:val="left"/>
              <w:rPr>
                <w:rFonts w:hint="eastAsia" w:ascii="宋体" w:hAnsi="宋体"/>
                <w:sz w:val="24"/>
                <w:highlight w:val="none"/>
              </w:rPr>
            </w:pPr>
            <w:r>
              <w:rPr>
                <w:rFonts w:hint="eastAsia" w:ascii="宋体" w:hAnsi="宋体"/>
                <w:sz w:val="24"/>
                <w:highlight w:val="none"/>
              </w:rPr>
              <w:t>流动资产</w:t>
            </w:r>
          </w:p>
        </w:tc>
        <w:tc>
          <w:tcPr>
            <w:tcW w:w="1980" w:type="dxa"/>
            <w:noWrap w:val="0"/>
            <w:vAlign w:val="center"/>
          </w:tcPr>
          <w:p w14:paraId="76687670">
            <w:pPr>
              <w:widowControl w:val="0"/>
              <w:jc w:val="center"/>
              <w:rPr>
                <w:rFonts w:hint="eastAsia" w:ascii="宋体" w:hAnsi="宋体"/>
                <w:sz w:val="24"/>
                <w:highlight w:val="none"/>
              </w:rPr>
            </w:pPr>
          </w:p>
        </w:tc>
        <w:tc>
          <w:tcPr>
            <w:tcW w:w="2160" w:type="dxa"/>
            <w:noWrap w:val="0"/>
            <w:vAlign w:val="center"/>
          </w:tcPr>
          <w:p w14:paraId="5B7FE1B3">
            <w:pPr>
              <w:widowControl w:val="0"/>
              <w:jc w:val="center"/>
              <w:rPr>
                <w:rFonts w:hint="eastAsia" w:ascii="宋体" w:hAnsi="宋体"/>
                <w:sz w:val="24"/>
                <w:highlight w:val="none"/>
              </w:rPr>
            </w:pPr>
          </w:p>
        </w:tc>
        <w:tc>
          <w:tcPr>
            <w:tcW w:w="1620" w:type="dxa"/>
            <w:noWrap w:val="0"/>
            <w:vAlign w:val="center"/>
          </w:tcPr>
          <w:p w14:paraId="02FE11C8">
            <w:pPr>
              <w:widowControl w:val="0"/>
              <w:jc w:val="center"/>
              <w:rPr>
                <w:rFonts w:hint="eastAsia" w:ascii="宋体" w:hAnsi="宋体"/>
                <w:sz w:val="24"/>
                <w:highlight w:val="none"/>
              </w:rPr>
            </w:pPr>
          </w:p>
        </w:tc>
        <w:tc>
          <w:tcPr>
            <w:tcW w:w="1440" w:type="dxa"/>
            <w:noWrap w:val="0"/>
            <w:vAlign w:val="center"/>
          </w:tcPr>
          <w:p w14:paraId="470DCCC2">
            <w:pPr>
              <w:widowControl w:val="0"/>
              <w:jc w:val="center"/>
              <w:rPr>
                <w:rFonts w:hint="eastAsia" w:ascii="宋体" w:hAnsi="宋体"/>
                <w:sz w:val="24"/>
                <w:highlight w:val="none"/>
              </w:rPr>
            </w:pPr>
          </w:p>
        </w:tc>
      </w:tr>
      <w:tr w14:paraId="3D3C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noWrap w:val="0"/>
            <w:vAlign w:val="center"/>
          </w:tcPr>
          <w:p w14:paraId="694F464F">
            <w:pPr>
              <w:widowControl w:val="0"/>
              <w:jc w:val="left"/>
              <w:rPr>
                <w:rFonts w:hint="eastAsia" w:ascii="宋体" w:hAnsi="宋体"/>
                <w:sz w:val="24"/>
                <w:highlight w:val="none"/>
              </w:rPr>
            </w:pPr>
            <w:r>
              <w:rPr>
                <w:rFonts w:hint="eastAsia" w:ascii="宋体" w:hAnsi="宋体"/>
                <w:sz w:val="24"/>
                <w:highlight w:val="none"/>
              </w:rPr>
              <w:t>长期投资</w:t>
            </w:r>
          </w:p>
        </w:tc>
        <w:tc>
          <w:tcPr>
            <w:tcW w:w="1980" w:type="dxa"/>
            <w:noWrap w:val="0"/>
            <w:vAlign w:val="center"/>
          </w:tcPr>
          <w:p w14:paraId="2030743B">
            <w:pPr>
              <w:widowControl w:val="0"/>
              <w:jc w:val="center"/>
              <w:rPr>
                <w:rFonts w:hint="eastAsia" w:ascii="宋体" w:hAnsi="宋体"/>
                <w:sz w:val="24"/>
                <w:highlight w:val="none"/>
              </w:rPr>
            </w:pPr>
          </w:p>
        </w:tc>
        <w:tc>
          <w:tcPr>
            <w:tcW w:w="2160" w:type="dxa"/>
            <w:noWrap w:val="0"/>
            <w:vAlign w:val="center"/>
          </w:tcPr>
          <w:p w14:paraId="6D494720">
            <w:pPr>
              <w:widowControl w:val="0"/>
              <w:jc w:val="center"/>
              <w:rPr>
                <w:rFonts w:hint="eastAsia" w:ascii="宋体" w:hAnsi="宋体"/>
                <w:sz w:val="24"/>
                <w:highlight w:val="none"/>
              </w:rPr>
            </w:pPr>
          </w:p>
        </w:tc>
        <w:tc>
          <w:tcPr>
            <w:tcW w:w="1620" w:type="dxa"/>
            <w:noWrap w:val="0"/>
            <w:vAlign w:val="center"/>
          </w:tcPr>
          <w:p w14:paraId="321AF9B1">
            <w:pPr>
              <w:widowControl w:val="0"/>
              <w:jc w:val="center"/>
              <w:rPr>
                <w:rFonts w:hint="eastAsia" w:ascii="宋体" w:hAnsi="宋体"/>
                <w:sz w:val="24"/>
                <w:highlight w:val="none"/>
              </w:rPr>
            </w:pPr>
          </w:p>
        </w:tc>
        <w:tc>
          <w:tcPr>
            <w:tcW w:w="1440" w:type="dxa"/>
            <w:noWrap w:val="0"/>
            <w:vAlign w:val="center"/>
          </w:tcPr>
          <w:p w14:paraId="6266B396">
            <w:pPr>
              <w:widowControl w:val="0"/>
              <w:jc w:val="center"/>
              <w:rPr>
                <w:rFonts w:hint="eastAsia" w:ascii="宋体" w:hAnsi="宋体"/>
                <w:sz w:val="24"/>
                <w:highlight w:val="none"/>
              </w:rPr>
            </w:pPr>
          </w:p>
        </w:tc>
      </w:tr>
      <w:tr w14:paraId="09FF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noWrap w:val="0"/>
            <w:vAlign w:val="center"/>
          </w:tcPr>
          <w:p w14:paraId="751E9573">
            <w:pPr>
              <w:widowControl w:val="0"/>
              <w:jc w:val="left"/>
              <w:rPr>
                <w:rFonts w:hint="eastAsia" w:ascii="宋体" w:hAnsi="宋体"/>
                <w:sz w:val="24"/>
                <w:highlight w:val="none"/>
              </w:rPr>
            </w:pPr>
            <w:r>
              <w:rPr>
                <w:rFonts w:hint="eastAsia" w:ascii="宋体" w:hAnsi="宋体"/>
                <w:sz w:val="24"/>
                <w:highlight w:val="none"/>
              </w:rPr>
              <w:t>固定资产</w:t>
            </w:r>
          </w:p>
        </w:tc>
        <w:tc>
          <w:tcPr>
            <w:tcW w:w="1980" w:type="dxa"/>
            <w:noWrap w:val="0"/>
            <w:vAlign w:val="center"/>
          </w:tcPr>
          <w:p w14:paraId="56D2A4DD">
            <w:pPr>
              <w:widowControl w:val="0"/>
              <w:jc w:val="center"/>
              <w:rPr>
                <w:rFonts w:hint="eastAsia" w:ascii="宋体" w:hAnsi="宋体"/>
                <w:sz w:val="24"/>
                <w:highlight w:val="none"/>
              </w:rPr>
            </w:pPr>
          </w:p>
        </w:tc>
        <w:tc>
          <w:tcPr>
            <w:tcW w:w="2160" w:type="dxa"/>
            <w:noWrap w:val="0"/>
            <w:vAlign w:val="center"/>
          </w:tcPr>
          <w:p w14:paraId="25B77C24">
            <w:pPr>
              <w:widowControl w:val="0"/>
              <w:jc w:val="center"/>
              <w:rPr>
                <w:rFonts w:hint="eastAsia" w:ascii="宋体" w:hAnsi="宋体"/>
                <w:sz w:val="24"/>
                <w:highlight w:val="none"/>
              </w:rPr>
            </w:pPr>
          </w:p>
        </w:tc>
        <w:tc>
          <w:tcPr>
            <w:tcW w:w="1620" w:type="dxa"/>
            <w:noWrap w:val="0"/>
            <w:vAlign w:val="center"/>
          </w:tcPr>
          <w:p w14:paraId="7EB4D2CD">
            <w:pPr>
              <w:widowControl w:val="0"/>
              <w:jc w:val="center"/>
              <w:rPr>
                <w:rFonts w:hint="eastAsia" w:ascii="宋体" w:hAnsi="宋体"/>
                <w:sz w:val="24"/>
                <w:highlight w:val="none"/>
              </w:rPr>
            </w:pPr>
          </w:p>
        </w:tc>
        <w:tc>
          <w:tcPr>
            <w:tcW w:w="1440" w:type="dxa"/>
            <w:noWrap w:val="0"/>
            <w:vAlign w:val="center"/>
          </w:tcPr>
          <w:p w14:paraId="60656D79">
            <w:pPr>
              <w:widowControl w:val="0"/>
              <w:jc w:val="center"/>
              <w:rPr>
                <w:rFonts w:hint="eastAsia" w:ascii="宋体" w:hAnsi="宋体"/>
                <w:sz w:val="24"/>
                <w:highlight w:val="none"/>
              </w:rPr>
            </w:pPr>
          </w:p>
        </w:tc>
      </w:tr>
      <w:tr w14:paraId="45B5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noWrap w:val="0"/>
            <w:vAlign w:val="center"/>
          </w:tcPr>
          <w:p w14:paraId="33F7ACAE">
            <w:pPr>
              <w:widowControl w:val="0"/>
              <w:jc w:val="left"/>
              <w:rPr>
                <w:rFonts w:hint="eastAsia" w:ascii="宋体" w:hAnsi="宋体"/>
                <w:sz w:val="24"/>
                <w:highlight w:val="none"/>
              </w:rPr>
            </w:pPr>
            <w:r>
              <w:rPr>
                <w:rFonts w:hint="eastAsia" w:ascii="宋体" w:hAnsi="宋体"/>
                <w:sz w:val="24"/>
                <w:highlight w:val="none"/>
              </w:rPr>
              <w:t>无形资产</w:t>
            </w:r>
          </w:p>
        </w:tc>
        <w:tc>
          <w:tcPr>
            <w:tcW w:w="1980" w:type="dxa"/>
            <w:noWrap w:val="0"/>
            <w:vAlign w:val="center"/>
          </w:tcPr>
          <w:p w14:paraId="70893181">
            <w:pPr>
              <w:widowControl w:val="0"/>
              <w:jc w:val="center"/>
              <w:rPr>
                <w:rFonts w:hint="eastAsia" w:ascii="宋体" w:hAnsi="宋体"/>
                <w:sz w:val="24"/>
                <w:highlight w:val="none"/>
              </w:rPr>
            </w:pPr>
          </w:p>
        </w:tc>
        <w:tc>
          <w:tcPr>
            <w:tcW w:w="2160" w:type="dxa"/>
            <w:noWrap w:val="0"/>
            <w:vAlign w:val="center"/>
          </w:tcPr>
          <w:p w14:paraId="2AEB8A48">
            <w:pPr>
              <w:widowControl w:val="0"/>
              <w:jc w:val="center"/>
              <w:rPr>
                <w:rFonts w:hint="eastAsia" w:ascii="宋体" w:hAnsi="宋体"/>
                <w:sz w:val="24"/>
                <w:highlight w:val="none"/>
              </w:rPr>
            </w:pPr>
          </w:p>
        </w:tc>
        <w:tc>
          <w:tcPr>
            <w:tcW w:w="1620" w:type="dxa"/>
            <w:noWrap w:val="0"/>
            <w:vAlign w:val="center"/>
          </w:tcPr>
          <w:p w14:paraId="0C63B51F">
            <w:pPr>
              <w:widowControl w:val="0"/>
              <w:jc w:val="center"/>
              <w:rPr>
                <w:rFonts w:hint="eastAsia" w:ascii="宋体" w:hAnsi="宋体"/>
                <w:sz w:val="24"/>
                <w:highlight w:val="none"/>
              </w:rPr>
            </w:pPr>
          </w:p>
        </w:tc>
        <w:tc>
          <w:tcPr>
            <w:tcW w:w="1440" w:type="dxa"/>
            <w:noWrap w:val="0"/>
            <w:vAlign w:val="center"/>
          </w:tcPr>
          <w:p w14:paraId="3B26A3C3">
            <w:pPr>
              <w:widowControl w:val="0"/>
              <w:jc w:val="center"/>
              <w:rPr>
                <w:rFonts w:hint="eastAsia" w:ascii="宋体" w:hAnsi="宋体"/>
                <w:sz w:val="24"/>
                <w:highlight w:val="none"/>
              </w:rPr>
            </w:pPr>
          </w:p>
        </w:tc>
      </w:tr>
      <w:tr w14:paraId="0D6C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noWrap w:val="0"/>
            <w:vAlign w:val="center"/>
          </w:tcPr>
          <w:p w14:paraId="4D3361D8">
            <w:pPr>
              <w:widowControl w:val="0"/>
              <w:jc w:val="left"/>
              <w:rPr>
                <w:rFonts w:hint="eastAsia" w:ascii="宋体" w:hAnsi="宋体"/>
                <w:sz w:val="24"/>
                <w:highlight w:val="none"/>
              </w:rPr>
            </w:pPr>
            <w:r>
              <w:rPr>
                <w:rFonts w:hint="eastAsia" w:ascii="宋体" w:hAnsi="宋体"/>
                <w:sz w:val="24"/>
                <w:highlight w:val="none"/>
              </w:rPr>
              <w:t>其中:土地使用权</w:t>
            </w:r>
          </w:p>
        </w:tc>
        <w:tc>
          <w:tcPr>
            <w:tcW w:w="1980" w:type="dxa"/>
            <w:noWrap w:val="0"/>
            <w:vAlign w:val="center"/>
          </w:tcPr>
          <w:p w14:paraId="0EAA77DC">
            <w:pPr>
              <w:widowControl w:val="0"/>
              <w:jc w:val="center"/>
              <w:rPr>
                <w:rFonts w:hint="eastAsia" w:ascii="宋体" w:hAnsi="宋体"/>
                <w:sz w:val="24"/>
                <w:highlight w:val="none"/>
              </w:rPr>
            </w:pPr>
          </w:p>
        </w:tc>
        <w:tc>
          <w:tcPr>
            <w:tcW w:w="2160" w:type="dxa"/>
            <w:noWrap w:val="0"/>
            <w:vAlign w:val="center"/>
          </w:tcPr>
          <w:p w14:paraId="2D0E0C91">
            <w:pPr>
              <w:widowControl w:val="0"/>
              <w:jc w:val="center"/>
              <w:rPr>
                <w:rFonts w:hint="eastAsia" w:ascii="宋体" w:hAnsi="宋体"/>
                <w:sz w:val="24"/>
                <w:highlight w:val="none"/>
              </w:rPr>
            </w:pPr>
          </w:p>
        </w:tc>
        <w:tc>
          <w:tcPr>
            <w:tcW w:w="1620" w:type="dxa"/>
            <w:noWrap w:val="0"/>
            <w:vAlign w:val="center"/>
          </w:tcPr>
          <w:p w14:paraId="3806FB78">
            <w:pPr>
              <w:widowControl w:val="0"/>
              <w:jc w:val="center"/>
              <w:rPr>
                <w:rFonts w:hint="eastAsia" w:ascii="宋体" w:hAnsi="宋体"/>
                <w:sz w:val="24"/>
                <w:highlight w:val="none"/>
              </w:rPr>
            </w:pPr>
          </w:p>
        </w:tc>
        <w:tc>
          <w:tcPr>
            <w:tcW w:w="1440" w:type="dxa"/>
            <w:noWrap w:val="0"/>
            <w:vAlign w:val="center"/>
          </w:tcPr>
          <w:p w14:paraId="3F3B35A2">
            <w:pPr>
              <w:widowControl w:val="0"/>
              <w:jc w:val="center"/>
              <w:rPr>
                <w:rFonts w:hint="eastAsia" w:ascii="宋体" w:hAnsi="宋体"/>
                <w:sz w:val="24"/>
                <w:highlight w:val="none"/>
              </w:rPr>
            </w:pPr>
          </w:p>
        </w:tc>
      </w:tr>
      <w:tr w14:paraId="4067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noWrap w:val="0"/>
            <w:vAlign w:val="center"/>
          </w:tcPr>
          <w:p w14:paraId="675CA8B7">
            <w:pPr>
              <w:widowControl w:val="0"/>
              <w:jc w:val="left"/>
              <w:rPr>
                <w:rFonts w:hint="eastAsia" w:ascii="宋体" w:hAnsi="宋体"/>
                <w:sz w:val="24"/>
                <w:highlight w:val="none"/>
              </w:rPr>
            </w:pPr>
            <w:r>
              <w:rPr>
                <w:rFonts w:hint="eastAsia" w:ascii="宋体" w:hAnsi="宋体"/>
                <w:sz w:val="24"/>
                <w:highlight w:val="none"/>
              </w:rPr>
              <w:t>其他资产</w:t>
            </w:r>
          </w:p>
        </w:tc>
        <w:tc>
          <w:tcPr>
            <w:tcW w:w="1980" w:type="dxa"/>
            <w:noWrap w:val="0"/>
            <w:vAlign w:val="center"/>
          </w:tcPr>
          <w:p w14:paraId="616E9FAD">
            <w:pPr>
              <w:widowControl w:val="0"/>
              <w:jc w:val="center"/>
              <w:rPr>
                <w:rFonts w:hint="eastAsia" w:ascii="宋体" w:hAnsi="宋体"/>
                <w:sz w:val="24"/>
                <w:highlight w:val="none"/>
              </w:rPr>
            </w:pPr>
          </w:p>
        </w:tc>
        <w:tc>
          <w:tcPr>
            <w:tcW w:w="2160" w:type="dxa"/>
            <w:noWrap w:val="0"/>
            <w:vAlign w:val="center"/>
          </w:tcPr>
          <w:p w14:paraId="72FE65A6">
            <w:pPr>
              <w:widowControl w:val="0"/>
              <w:jc w:val="center"/>
              <w:rPr>
                <w:rFonts w:hint="eastAsia" w:ascii="宋体" w:hAnsi="宋体"/>
                <w:sz w:val="24"/>
                <w:highlight w:val="none"/>
              </w:rPr>
            </w:pPr>
          </w:p>
        </w:tc>
        <w:tc>
          <w:tcPr>
            <w:tcW w:w="1620" w:type="dxa"/>
            <w:noWrap w:val="0"/>
            <w:vAlign w:val="center"/>
          </w:tcPr>
          <w:p w14:paraId="1F4B098A">
            <w:pPr>
              <w:widowControl w:val="0"/>
              <w:jc w:val="center"/>
              <w:rPr>
                <w:rFonts w:hint="eastAsia" w:ascii="宋体" w:hAnsi="宋体"/>
                <w:sz w:val="24"/>
                <w:highlight w:val="none"/>
              </w:rPr>
            </w:pPr>
          </w:p>
        </w:tc>
        <w:tc>
          <w:tcPr>
            <w:tcW w:w="1440" w:type="dxa"/>
            <w:noWrap w:val="0"/>
            <w:vAlign w:val="center"/>
          </w:tcPr>
          <w:p w14:paraId="756626BF">
            <w:pPr>
              <w:widowControl w:val="0"/>
              <w:jc w:val="center"/>
              <w:rPr>
                <w:rFonts w:hint="eastAsia" w:ascii="宋体" w:hAnsi="宋体"/>
                <w:sz w:val="24"/>
                <w:highlight w:val="none"/>
              </w:rPr>
            </w:pPr>
          </w:p>
        </w:tc>
      </w:tr>
      <w:tr w14:paraId="0449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noWrap w:val="0"/>
            <w:vAlign w:val="center"/>
          </w:tcPr>
          <w:p w14:paraId="16DF29F0">
            <w:pPr>
              <w:widowControl w:val="0"/>
              <w:jc w:val="center"/>
              <w:rPr>
                <w:rFonts w:hint="eastAsia" w:ascii="宋体" w:hAnsi="宋体"/>
                <w:b/>
                <w:sz w:val="24"/>
                <w:highlight w:val="none"/>
              </w:rPr>
            </w:pPr>
            <w:r>
              <w:rPr>
                <w:rFonts w:hint="eastAsia" w:ascii="宋体" w:hAnsi="宋体"/>
                <w:b/>
                <w:sz w:val="24"/>
                <w:highlight w:val="none"/>
              </w:rPr>
              <w:t>资产总计</w:t>
            </w:r>
          </w:p>
        </w:tc>
        <w:tc>
          <w:tcPr>
            <w:tcW w:w="1980" w:type="dxa"/>
            <w:noWrap w:val="0"/>
            <w:vAlign w:val="center"/>
          </w:tcPr>
          <w:p w14:paraId="323BE97F">
            <w:pPr>
              <w:widowControl w:val="0"/>
              <w:jc w:val="center"/>
              <w:rPr>
                <w:rFonts w:hint="eastAsia" w:ascii="宋体" w:hAnsi="宋体"/>
                <w:sz w:val="24"/>
                <w:highlight w:val="none"/>
              </w:rPr>
            </w:pPr>
          </w:p>
        </w:tc>
        <w:tc>
          <w:tcPr>
            <w:tcW w:w="2160" w:type="dxa"/>
            <w:noWrap w:val="0"/>
            <w:vAlign w:val="center"/>
          </w:tcPr>
          <w:p w14:paraId="3915ED3A">
            <w:pPr>
              <w:widowControl w:val="0"/>
              <w:jc w:val="center"/>
              <w:rPr>
                <w:rFonts w:hint="eastAsia" w:ascii="宋体" w:hAnsi="宋体"/>
                <w:sz w:val="24"/>
                <w:highlight w:val="none"/>
              </w:rPr>
            </w:pPr>
          </w:p>
        </w:tc>
        <w:tc>
          <w:tcPr>
            <w:tcW w:w="1620" w:type="dxa"/>
            <w:noWrap w:val="0"/>
            <w:vAlign w:val="center"/>
          </w:tcPr>
          <w:p w14:paraId="037A8493">
            <w:pPr>
              <w:widowControl w:val="0"/>
              <w:jc w:val="center"/>
              <w:rPr>
                <w:rFonts w:hint="eastAsia" w:ascii="宋体" w:hAnsi="宋体"/>
                <w:sz w:val="24"/>
                <w:highlight w:val="none"/>
              </w:rPr>
            </w:pPr>
          </w:p>
        </w:tc>
        <w:tc>
          <w:tcPr>
            <w:tcW w:w="1440" w:type="dxa"/>
            <w:noWrap w:val="0"/>
            <w:vAlign w:val="center"/>
          </w:tcPr>
          <w:p w14:paraId="353BC866">
            <w:pPr>
              <w:widowControl w:val="0"/>
              <w:jc w:val="center"/>
              <w:rPr>
                <w:rFonts w:hint="eastAsia" w:ascii="宋体" w:hAnsi="宋体"/>
                <w:sz w:val="24"/>
                <w:highlight w:val="none"/>
              </w:rPr>
            </w:pPr>
          </w:p>
        </w:tc>
      </w:tr>
      <w:tr w14:paraId="3ABE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noWrap w:val="0"/>
            <w:vAlign w:val="center"/>
          </w:tcPr>
          <w:p w14:paraId="68FDDB6A">
            <w:pPr>
              <w:widowControl w:val="0"/>
              <w:rPr>
                <w:rFonts w:hint="eastAsia" w:ascii="宋体" w:hAnsi="宋体"/>
                <w:sz w:val="24"/>
                <w:highlight w:val="none"/>
              </w:rPr>
            </w:pPr>
            <w:r>
              <w:rPr>
                <w:rFonts w:hint="eastAsia" w:ascii="宋体" w:hAnsi="宋体"/>
                <w:sz w:val="24"/>
                <w:highlight w:val="none"/>
              </w:rPr>
              <w:t>流动负债</w:t>
            </w:r>
          </w:p>
        </w:tc>
        <w:tc>
          <w:tcPr>
            <w:tcW w:w="1980" w:type="dxa"/>
            <w:noWrap w:val="0"/>
            <w:vAlign w:val="center"/>
          </w:tcPr>
          <w:p w14:paraId="0038A2F0">
            <w:pPr>
              <w:widowControl w:val="0"/>
              <w:jc w:val="center"/>
              <w:rPr>
                <w:rFonts w:hint="eastAsia" w:ascii="宋体" w:hAnsi="宋体"/>
                <w:sz w:val="24"/>
                <w:highlight w:val="none"/>
              </w:rPr>
            </w:pPr>
          </w:p>
        </w:tc>
        <w:tc>
          <w:tcPr>
            <w:tcW w:w="2160" w:type="dxa"/>
            <w:noWrap w:val="0"/>
            <w:vAlign w:val="center"/>
          </w:tcPr>
          <w:p w14:paraId="7D863FC9">
            <w:pPr>
              <w:widowControl w:val="0"/>
              <w:jc w:val="center"/>
              <w:rPr>
                <w:rFonts w:hint="eastAsia" w:ascii="宋体" w:hAnsi="宋体"/>
                <w:sz w:val="24"/>
                <w:highlight w:val="none"/>
              </w:rPr>
            </w:pPr>
          </w:p>
        </w:tc>
        <w:tc>
          <w:tcPr>
            <w:tcW w:w="1620" w:type="dxa"/>
            <w:noWrap w:val="0"/>
            <w:vAlign w:val="center"/>
          </w:tcPr>
          <w:p w14:paraId="262E5816">
            <w:pPr>
              <w:widowControl w:val="0"/>
              <w:jc w:val="center"/>
              <w:rPr>
                <w:rFonts w:hint="eastAsia" w:ascii="宋体" w:hAnsi="宋体"/>
                <w:sz w:val="24"/>
                <w:highlight w:val="none"/>
              </w:rPr>
            </w:pPr>
          </w:p>
        </w:tc>
        <w:tc>
          <w:tcPr>
            <w:tcW w:w="1440" w:type="dxa"/>
            <w:noWrap w:val="0"/>
            <w:vAlign w:val="center"/>
          </w:tcPr>
          <w:p w14:paraId="00998503">
            <w:pPr>
              <w:widowControl w:val="0"/>
              <w:jc w:val="center"/>
              <w:rPr>
                <w:rFonts w:hint="eastAsia" w:ascii="宋体" w:hAnsi="宋体"/>
                <w:sz w:val="24"/>
                <w:highlight w:val="none"/>
              </w:rPr>
            </w:pPr>
          </w:p>
        </w:tc>
      </w:tr>
      <w:tr w14:paraId="516F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noWrap w:val="0"/>
            <w:vAlign w:val="center"/>
          </w:tcPr>
          <w:p w14:paraId="06CE0C64">
            <w:pPr>
              <w:widowControl w:val="0"/>
              <w:rPr>
                <w:rFonts w:hint="eastAsia" w:ascii="宋体" w:hAnsi="宋体"/>
                <w:sz w:val="24"/>
                <w:highlight w:val="none"/>
              </w:rPr>
            </w:pPr>
            <w:r>
              <w:rPr>
                <w:rFonts w:hint="eastAsia" w:ascii="宋体" w:hAnsi="宋体"/>
                <w:sz w:val="24"/>
                <w:highlight w:val="none"/>
              </w:rPr>
              <w:t>长期负债</w:t>
            </w:r>
          </w:p>
        </w:tc>
        <w:tc>
          <w:tcPr>
            <w:tcW w:w="1980" w:type="dxa"/>
            <w:noWrap w:val="0"/>
            <w:vAlign w:val="center"/>
          </w:tcPr>
          <w:p w14:paraId="4B2777FD">
            <w:pPr>
              <w:widowControl w:val="0"/>
              <w:jc w:val="center"/>
              <w:rPr>
                <w:rFonts w:hint="eastAsia" w:ascii="宋体" w:hAnsi="宋体"/>
                <w:sz w:val="24"/>
                <w:highlight w:val="none"/>
              </w:rPr>
            </w:pPr>
          </w:p>
        </w:tc>
        <w:tc>
          <w:tcPr>
            <w:tcW w:w="2160" w:type="dxa"/>
            <w:noWrap w:val="0"/>
            <w:vAlign w:val="center"/>
          </w:tcPr>
          <w:p w14:paraId="6F9C0BD7">
            <w:pPr>
              <w:widowControl w:val="0"/>
              <w:jc w:val="center"/>
              <w:rPr>
                <w:rFonts w:hint="eastAsia" w:ascii="宋体" w:hAnsi="宋体"/>
                <w:sz w:val="24"/>
                <w:highlight w:val="none"/>
              </w:rPr>
            </w:pPr>
          </w:p>
        </w:tc>
        <w:tc>
          <w:tcPr>
            <w:tcW w:w="1620" w:type="dxa"/>
            <w:noWrap w:val="0"/>
            <w:vAlign w:val="center"/>
          </w:tcPr>
          <w:p w14:paraId="13E1F19C">
            <w:pPr>
              <w:widowControl w:val="0"/>
              <w:jc w:val="center"/>
              <w:rPr>
                <w:rFonts w:hint="eastAsia" w:ascii="宋体" w:hAnsi="宋体"/>
                <w:sz w:val="24"/>
                <w:highlight w:val="none"/>
              </w:rPr>
            </w:pPr>
          </w:p>
        </w:tc>
        <w:tc>
          <w:tcPr>
            <w:tcW w:w="1440" w:type="dxa"/>
            <w:noWrap w:val="0"/>
            <w:vAlign w:val="center"/>
          </w:tcPr>
          <w:p w14:paraId="70F342BA">
            <w:pPr>
              <w:widowControl w:val="0"/>
              <w:jc w:val="center"/>
              <w:rPr>
                <w:rFonts w:hint="eastAsia" w:ascii="宋体" w:hAnsi="宋体"/>
                <w:sz w:val="24"/>
                <w:highlight w:val="none"/>
              </w:rPr>
            </w:pPr>
          </w:p>
        </w:tc>
      </w:tr>
      <w:tr w14:paraId="42E8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noWrap w:val="0"/>
            <w:vAlign w:val="center"/>
          </w:tcPr>
          <w:p w14:paraId="00217112">
            <w:pPr>
              <w:widowControl w:val="0"/>
              <w:jc w:val="center"/>
              <w:rPr>
                <w:rFonts w:hint="eastAsia" w:ascii="宋体" w:hAnsi="宋体"/>
                <w:b/>
                <w:sz w:val="24"/>
                <w:highlight w:val="none"/>
              </w:rPr>
            </w:pPr>
            <w:r>
              <w:rPr>
                <w:rFonts w:hint="eastAsia" w:ascii="宋体" w:hAnsi="宋体"/>
                <w:b/>
                <w:sz w:val="24"/>
                <w:highlight w:val="none"/>
              </w:rPr>
              <w:t>负债总计</w:t>
            </w:r>
          </w:p>
        </w:tc>
        <w:tc>
          <w:tcPr>
            <w:tcW w:w="1980" w:type="dxa"/>
            <w:noWrap w:val="0"/>
            <w:vAlign w:val="center"/>
          </w:tcPr>
          <w:p w14:paraId="0156591F">
            <w:pPr>
              <w:widowControl w:val="0"/>
              <w:jc w:val="center"/>
              <w:rPr>
                <w:rFonts w:hint="eastAsia" w:ascii="宋体" w:hAnsi="宋体"/>
                <w:sz w:val="24"/>
                <w:highlight w:val="none"/>
              </w:rPr>
            </w:pPr>
          </w:p>
        </w:tc>
        <w:tc>
          <w:tcPr>
            <w:tcW w:w="2160" w:type="dxa"/>
            <w:noWrap w:val="0"/>
            <w:vAlign w:val="center"/>
          </w:tcPr>
          <w:p w14:paraId="4EFDFC02">
            <w:pPr>
              <w:widowControl w:val="0"/>
              <w:jc w:val="center"/>
              <w:rPr>
                <w:rFonts w:hint="eastAsia" w:ascii="宋体" w:hAnsi="宋体"/>
                <w:sz w:val="24"/>
                <w:highlight w:val="none"/>
              </w:rPr>
            </w:pPr>
          </w:p>
        </w:tc>
        <w:tc>
          <w:tcPr>
            <w:tcW w:w="1620" w:type="dxa"/>
            <w:noWrap w:val="0"/>
            <w:vAlign w:val="center"/>
          </w:tcPr>
          <w:p w14:paraId="06D53BE5">
            <w:pPr>
              <w:widowControl w:val="0"/>
              <w:jc w:val="center"/>
              <w:rPr>
                <w:rFonts w:hint="eastAsia" w:ascii="宋体" w:hAnsi="宋体"/>
                <w:sz w:val="24"/>
                <w:highlight w:val="none"/>
              </w:rPr>
            </w:pPr>
          </w:p>
        </w:tc>
        <w:tc>
          <w:tcPr>
            <w:tcW w:w="1440" w:type="dxa"/>
            <w:noWrap w:val="0"/>
            <w:vAlign w:val="center"/>
          </w:tcPr>
          <w:p w14:paraId="3CE86B51">
            <w:pPr>
              <w:widowControl w:val="0"/>
              <w:jc w:val="center"/>
              <w:rPr>
                <w:rFonts w:hint="eastAsia" w:ascii="宋体" w:hAnsi="宋体"/>
                <w:sz w:val="24"/>
                <w:highlight w:val="none"/>
              </w:rPr>
            </w:pPr>
          </w:p>
        </w:tc>
      </w:tr>
      <w:tr w14:paraId="3BBF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noWrap w:val="0"/>
            <w:vAlign w:val="center"/>
          </w:tcPr>
          <w:p w14:paraId="1EC48DB1">
            <w:pPr>
              <w:widowControl w:val="0"/>
              <w:jc w:val="center"/>
              <w:rPr>
                <w:rFonts w:hint="eastAsia" w:ascii="宋体" w:hAnsi="宋体"/>
                <w:b/>
                <w:sz w:val="24"/>
                <w:highlight w:val="none"/>
              </w:rPr>
            </w:pPr>
            <w:r>
              <w:rPr>
                <w:rFonts w:hint="eastAsia" w:ascii="宋体" w:hAnsi="宋体"/>
                <w:b/>
                <w:sz w:val="24"/>
                <w:highlight w:val="none"/>
              </w:rPr>
              <w:t>净 资 产</w:t>
            </w:r>
          </w:p>
        </w:tc>
        <w:tc>
          <w:tcPr>
            <w:tcW w:w="1980" w:type="dxa"/>
            <w:noWrap w:val="0"/>
            <w:vAlign w:val="center"/>
          </w:tcPr>
          <w:p w14:paraId="755EA2FA">
            <w:pPr>
              <w:widowControl w:val="0"/>
              <w:jc w:val="center"/>
              <w:rPr>
                <w:rFonts w:hint="eastAsia" w:ascii="宋体" w:hAnsi="宋体"/>
                <w:sz w:val="24"/>
                <w:highlight w:val="none"/>
              </w:rPr>
            </w:pPr>
          </w:p>
        </w:tc>
        <w:tc>
          <w:tcPr>
            <w:tcW w:w="2160" w:type="dxa"/>
            <w:noWrap w:val="0"/>
            <w:vAlign w:val="center"/>
          </w:tcPr>
          <w:p w14:paraId="24F8EF97">
            <w:pPr>
              <w:widowControl w:val="0"/>
              <w:jc w:val="center"/>
              <w:rPr>
                <w:rFonts w:hint="eastAsia" w:ascii="宋体" w:hAnsi="宋体"/>
                <w:sz w:val="24"/>
                <w:highlight w:val="none"/>
              </w:rPr>
            </w:pPr>
          </w:p>
        </w:tc>
        <w:tc>
          <w:tcPr>
            <w:tcW w:w="1620" w:type="dxa"/>
            <w:noWrap w:val="0"/>
            <w:vAlign w:val="center"/>
          </w:tcPr>
          <w:p w14:paraId="1F61BBDD">
            <w:pPr>
              <w:widowControl w:val="0"/>
              <w:jc w:val="center"/>
              <w:rPr>
                <w:rFonts w:hint="eastAsia" w:ascii="宋体" w:hAnsi="宋体"/>
                <w:sz w:val="24"/>
                <w:highlight w:val="none"/>
              </w:rPr>
            </w:pPr>
          </w:p>
        </w:tc>
        <w:tc>
          <w:tcPr>
            <w:tcW w:w="1440" w:type="dxa"/>
            <w:noWrap w:val="0"/>
            <w:vAlign w:val="center"/>
          </w:tcPr>
          <w:p w14:paraId="13AB765B">
            <w:pPr>
              <w:widowControl w:val="0"/>
              <w:jc w:val="center"/>
              <w:rPr>
                <w:rFonts w:hint="eastAsia" w:ascii="宋体" w:hAnsi="宋体"/>
                <w:sz w:val="24"/>
                <w:highlight w:val="none"/>
              </w:rPr>
            </w:pPr>
          </w:p>
        </w:tc>
      </w:tr>
    </w:tbl>
    <w:p w14:paraId="63BEFB37">
      <w:pPr>
        <w:ind w:firstLine="472" w:firstLineChars="225"/>
        <w:rPr>
          <w:rFonts w:hint="eastAsia"/>
          <w:highlight w:val="none"/>
        </w:rPr>
      </w:pPr>
      <w:r>
        <w:rPr>
          <w:rFonts w:hint="eastAsia"/>
          <w:highlight w:val="none"/>
        </w:rPr>
        <w:t xml:space="preserve">                                                               （保留两位小数点）</w:t>
      </w:r>
    </w:p>
    <w:p w14:paraId="4EF3EE28">
      <w:pPr>
        <w:bidi w:val="0"/>
        <w:rPr>
          <w:sz w:val="15"/>
          <w:szCs w:val="15"/>
          <w:highlight w:val="none"/>
        </w:rPr>
      </w:pPr>
    </w:p>
    <w:sectPr>
      <w:type w:val="continuous"/>
      <w:pgSz w:w="23814" w:h="16840" w:orient="landscape"/>
      <w:pgMar w:top="1797" w:right="1440" w:bottom="1797" w:left="1440" w:header="851" w:footer="992" w:gutter="0"/>
      <w:cols w:space="425" w:num="2"/>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12A1697-E435-4DE2-BD31-42DD5A5B21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8EB2CC69-6FBC-40E3-84D8-C1B25DE5B1B4}"/>
  </w:font>
  <w:font w:name="方正仿宋_GB2312">
    <w:panose1 w:val="02000000000000000000"/>
    <w:charset w:val="86"/>
    <w:family w:val="auto"/>
    <w:pitch w:val="default"/>
    <w:sig w:usb0="A00002BF" w:usb1="184F6CFA" w:usb2="00000012" w:usb3="00000000" w:csb0="00040001" w:csb1="00000000"/>
    <w:embedRegular r:id="rId3" w:fontKey="{5E0C6B33-1783-4F12-BE49-DE38AD9AC116}"/>
  </w:font>
  <w:font w:name="仿宋_GB2312">
    <w:panose1 w:val="02010609030101010101"/>
    <w:charset w:val="86"/>
    <w:family w:val="auto"/>
    <w:pitch w:val="default"/>
    <w:sig w:usb0="00000001" w:usb1="080E0000" w:usb2="00000000" w:usb3="00000000" w:csb0="00040000" w:csb1="00000000"/>
    <w:embedRegular r:id="rId4" w:fontKey="{9178A022-DF47-4309-88B3-4B5C79924E94}"/>
  </w:font>
  <w:font w:name="方正公文小标宋">
    <w:panose1 w:val="02000500000000000000"/>
    <w:charset w:val="86"/>
    <w:family w:val="auto"/>
    <w:pitch w:val="default"/>
    <w:sig w:usb0="A00002BF" w:usb1="38CF7CFA" w:usb2="00000016" w:usb3="00000000" w:csb0="00040001" w:csb1="00000000"/>
    <w:embedRegular r:id="rId5" w:fontKey="{608BFB14-F0D3-44F1-993F-3605B22F7FDA}"/>
  </w:font>
  <w:font w:name="华文仿宋">
    <w:panose1 w:val="02010600040101010101"/>
    <w:charset w:val="86"/>
    <w:family w:val="auto"/>
    <w:pitch w:val="default"/>
    <w:sig w:usb0="00000287" w:usb1="080F0000" w:usb2="00000000" w:usb3="00000000" w:csb0="0004009F" w:csb1="DFD70000"/>
    <w:embedRegular r:id="rId6" w:fontKey="{5D3A6202-2C6C-4D6B-B0CC-19A1FB550E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D3EB">
    <w:pPr>
      <w:spacing w:line="172" w:lineRule="auto"/>
      <w:ind w:left="287"/>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83A5B"/>
    <w:multiLevelType w:val="singleLevel"/>
    <w:tmpl w:val="89883A5B"/>
    <w:lvl w:ilvl="0" w:tentative="0">
      <w:start w:val="1"/>
      <w:numFmt w:val="chineseCounting"/>
      <w:suff w:val="nothing"/>
      <w:lvlText w:val="（%1）"/>
      <w:lvlJc w:val="left"/>
      <w:rPr>
        <w:rFonts w:hint="eastAsia"/>
      </w:rPr>
    </w:lvl>
  </w:abstractNum>
  <w:abstractNum w:abstractNumId="1">
    <w:nsid w:val="C13FBA22"/>
    <w:multiLevelType w:val="singleLevel"/>
    <w:tmpl w:val="C13FBA22"/>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isplayBackgroundShape w:val="1"/>
  <w:embedTrueTypeFonts/>
  <w:saveSubsetFonts/>
  <w:bordersDoNotSurroundHeader w:val="0"/>
  <w:bordersDoNotSurroundFooter w:val="0"/>
  <w:documentProtection w:enforcement="0"/>
  <w:drawingGridHorizontalSpacing w:val="210"/>
  <w:drawingGridVerticalSpacing w:val="9999999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hkYzRiYjQ5NjQ0YjZhZTg2MmY2YjU5YWY5MWNlNTcifQ=="/>
  </w:docVars>
  <w:rsids>
    <w:rsidRoot w:val="00000000"/>
    <w:rsid w:val="02356292"/>
    <w:rsid w:val="023C4A9F"/>
    <w:rsid w:val="027041C5"/>
    <w:rsid w:val="05B82689"/>
    <w:rsid w:val="05CF5FA2"/>
    <w:rsid w:val="073D330F"/>
    <w:rsid w:val="0742420A"/>
    <w:rsid w:val="088E5221"/>
    <w:rsid w:val="089C6917"/>
    <w:rsid w:val="08BD1531"/>
    <w:rsid w:val="0BED7182"/>
    <w:rsid w:val="0CDE6ACB"/>
    <w:rsid w:val="10B506F2"/>
    <w:rsid w:val="10CD0CA2"/>
    <w:rsid w:val="117C2752"/>
    <w:rsid w:val="16127DF3"/>
    <w:rsid w:val="162E240A"/>
    <w:rsid w:val="17016C66"/>
    <w:rsid w:val="17174E4F"/>
    <w:rsid w:val="189F322F"/>
    <w:rsid w:val="1927569A"/>
    <w:rsid w:val="1A3C6D5B"/>
    <w:rsid w:val="1B013D47"/>
    <w:rsid w:val="1E4569AA"/>
    <w:rsid w:val="1E5B11C2"/>
    <w:rsid w:val="1F3360E0"/>
    <w:rsid w:val="205E4570"/>
    <w:rsid w:val="24360360"/>
    <w:rsid w:val="29CC4705"/>
    <w:rsid w:val="2C0A3184"/>
    <w:rsid w:val="2CB27933"/>
    <w:rsid w:val="2FAD4289"/>
    <w:rsid w:val="31DD48E4"/>
    <w:rsid w:val="32345EF8"/>
    <w:rsid w:val="36E669E7"/>
    <w:rsid w:val="38211F04"/>
    <w:rsid w:val="3B551934"/>
    <w:rsid w:val="3E5F1F6A"/>
    <w:rsid w:val="400C4038"/>
    <w:rsid w:val="406B1E48"/>
    <w:rsid w:val="42DC4F3A"/>
    <w:rsid w:val="48353EFD"/>
    <w:rsid w:val="4A0426AA"/>
    <w:rsid w:val="4CC05844"/>
    <w:rsid w:val="4DA370C6"/>
    <w:rsid w:val="4E4A12EF"/>
    <w:rsid w:val="51C043C7"/>
    <w:rsid w:val="529F291F"/>
    <w:rsid w:val="53AA03BA"/>
    <w:rsid w:val="548F2850"/>
    <w:rsid w:val="55487895"/>
    <w:rsid w:val="58FA2064"/>
    <w:rsid w:val="5ADF6445"/>
    <w:rsid w:val="5B7F7AA0"/>
    <w:rsid w:val="5BC22150"/>
    <w:rsid w:val="5C2827F4"/>
    <w:rsid w:val="5F681281"/>
    <w:rsid w:val="5F720DD2"/>
    <w:rsid w:val="61591C9F"/>
    <w:rsid w:val="62DB2D61"/>
    <w:rsid w:val="65705570"/>
    <w:rsid w:val="66512D54"/>
    <w:rsid w:val="6832131A"/>
    <w:rsid w:val="69933131"/>
    <w:rsid w:val="6AB42B03"/>
    <w:rsid w:val="6D357BED"/>
    <w:rsid w:val="6EC65CD1"/>
    <w:rsid w:val="6F6A750A"/>
    <w:rsid w:val="6F6D2C38"/>
    <w:rsid w:val="71DE7E1D"/>
    <w:rsid w:val="72CA3A86"/>
    <w:rsid w:val="7483199F"/>
    <w:rsid w:val="78DC436D"/>
    <w:rsid w:val="7AB71B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Body Text First Indent"/>
    <w:basedOn w:val="2"/>
    <w:next w:val="1"/>
    <w:qFormat/>
    <w:uiPriority w:val="0"/>
    <w:pPr>
      <w:ind w:firstLine="420" w:firstLineChars="100"/>
    </w:pPr>
    <w:rPr>
      <w:szCs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3590</Words>
  <Characters>3599</Characters>
  <TotalTime>1</TotalTime>
  <ScaleCrop>false</ScaleCrop>
  <LinksUpToDate>false</LinksUpToDate>
  <CharactersWithSpaces>3631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2020-08-11T15:04:00Z</dcterms:created>
  <dc:creator>微软用户</dc:creator>
  <cp:lastModifiedBy>bigdata</cp:lastModifiedBy>
  <cp:lastPrinted>2024-12-24T06:50:00Z</cp:lastPrinted>
  <dcterms:modified xsi:type="dcterms:W3CDTF">2025-06-23T08:11:58Z</dcterms:modified>
  <dc:title>关于要求对黄定贵同志出国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2024-12-03T18:23:45Z</vt:filetime>
  </property>
  <property fmtid="{D5CDD505-2E9C-101B-9397-08002B2CF9AE}" pid="4" name="KSOProductBuildVer">
    <vt:lpwstr>2052-12.1.0.19302</vt:lpwstr>
  </property>
  <property fmtid="{D5CDD505-2E9C-101B-9397-08002B2CF9AE}" pid="5" name="ICV">
    <vt:lpwstr>AFDC276F04CA40DA88D528E1E0B87459_12</vt:lpwstr>
  </property>
  <property fmtid="{D5CDD505-2E9C-101B-9397-08002B2CF9AE}" pid="6" name="KSOTemplateDocerSaveRecord">
    <vt:lpwstr>eyJoZGlkIjoiZGJjNGMzZWMwZjk3Y2ZhOGRlNWFlMzM3NjM5YThjZmUifQ==</vt:lpwstr>
  </property>
</Properties>
</file>