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bookmarkStart w:id="0" w:name="_Hlk111816783"/>
      <w:r>
        <w:rPr>
          <w:rFonts w:hint="eastAsia" w:ascii="方正小标宋简体" w:hAnsi="方正小标宋简体" w:eastAsia="方正小标宋简体" w:cs="方正小标宋简体"/>
          <w:sz w:val="36"/>
          <w:szCs w:val="36"/>
        </w:rPr>
        <w:t>生产领域路桥区可调式清洗机产品</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质量监督抽查</w:t>
      </w:r>
      <w:r>
        <w:rPr>
          <w:rFonts w:hint="eastAsia" w:ascii="方正小标宋简体" w:hAnsi="方正小标宋简体" w:eastAsia="方正小标宋简体" w:cs="方正小标宋简体"/>
          <w:sz w:val="36"/>
          <w:szCs w:val="36"/>
          <w:lang w:eastAsia="zh-CN"/>
        </w:rPr>
        <w:t>实施细则</w:t>
      </w:r>
    </w:p>
    <w:bookmarkEnd w:id="0"/>
    <w:p>
      <w:pPr>
        <w:wordWrap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1、抽样要求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样品应当由抽样人员在被抽样生产者的待销产品或者生产线末端经检验合格的产品中随机抽样。</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抽样时应当购买检验样品，购买检验样品的价格以生产、销售产品的标价为准；没有标价的，以同类产品的市场价格为准。备用样品由被抽样生产者先行无偿提供。</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抽样时，被抽样生产者、销售者应提供技术参数（工作压力、流量、转速等信息），在抽样单中注明并签章确认。</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应确保样品在运输过程中产品不受损伤；应贮存在干燥通风的仓库内，不得露天堆放，不得与腐蚀性物品混贮。</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shd w:val="clear" w:color="auto" w:fill="FFFFFF"/>
        </w:rPr>
        <w:t>抽样时，应当通过录像、拍照等方式对告知、抽样、封样、签章、样品封存状态，以及被抽样生产者的营业执照等关键环节和内容进行记录。</w:t>
      </w:r>
    </w:p>
    <w:p>
      <w:pPr>
        <w:wordWrap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2、抽样产品种类</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可调式清洗机</w:t>
      </w:r>
      <w:r>
        <w:rPr>
          <w:rFonts w:ascii="仿宋" w:hAnsi="仿宋" w:eastAsia="仿宋" w:cs="仿宋_GB2312"/>
          <w:sz w:val="32"/>
          <w:szCs w:val="32"/>
        </w:rPr>
        <w:t>产品</w:t>
      </w:r>
      <w:r>
        <w:rPr>
          <w:rFonts w:hint="eastAsia" w:ascii="仿宋" w:hAnsi="仿宋" w:eastAsia="仿宋" w:cs="仿宋_GB2312"/>
          <w:sz w:val="32"/>
          <w:szCs w:val="32"/>
        </w:rPr>
        <w:t>。</w:t>
      </w:r>
    </w:p>
    <w:p>
      <w:pPr>
        <w:wordWrap w:val="0"/>
        <w:spacing w:line="360" w:lineRule="auto"/>
        <w:rPr>
          <w:rFonts w:ascii="仿宋" w:hAnsi="仿宋" w:eastAsia="仿宋" w:cs="仿宋_GB2312"/>
          <w:b/>
          <w:bCs/>
          <w:sz w:val="32"/>
          <w:szCs w:val="32"/>
        </w:rPr>
      </w:pPr>
      <w:r>
        <w:rPr>
          <w:rFonts w:ascii="仿宋" w:hAnsi="仿宋" w:eastAsia="仿宋" w:cs="仿宋_GB2312"/>
          <w:b/>
          <w:bCs/>
          <w:sz w:val="32"/>
          <w:szCs w:val="32"/>
        </w:rPr>
        <w:t>3</w:t>
      </w:r>
      <w:r>
        <w:rPr>
          <w:rFonts w:hint="eastAsia" w:ascii="仿宋" w:hAnsi="仿宋" w:eastAsia="仿宋" w:cs="仿宋_GB2312"/>
          <w:b/>
          <w:bCs/>
          <w:sz w:val="32"/>
          <w:szCs w:val="32"/>
        </w:rPr>
        <w:t>、抽样数量</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随机抽取同一生产者同一标准生产的同一商标、同一规格型号的产品2台，其中1台作为检验样品，另1台为备用样品。</w:t>
      </w:r>
    </w:p>
    <w:p>
      <w:pPr>
        <w:wordWrap w:val="0"/>
        <w:spacing w:line="360" w:lineRule="auto"/>
        <w:rPr>
          <w:rFonts w:ascii="仿宋" w:hAnsi="仿宋" w:eastAsia="仿宋" w:cs="仿宋_GB2312"/>
          <w:b/>
          <w:bCs/>
          <w:sz w:val="32"/>
          <w:szCs w:val="32"/>
        </w:rPr>
      </w:pPr>
    </w:p>
    <w:p>
      <w:pPr>
        <w:wordWrap w:val="0"/>
        <w:spacing w:line="360" w:lineRule="auto"/>
        <w:rPr>
          <w:rFonts w:ascii="仿宋" w:hAnsi="仿宋" w:eastAsia="仿宋" w:cs="仿宋_GB2312"/>
          <w:sz w:val="32"/>
          <w:szCs w:val="32"/>
        </w:rPr>
      </w:pPr>
      <w:r>
        <w:rPr>
          <w:rFonts w:ascii="仿宋" w:hAnsi="仿宋" w:eastAsia="仿宋" w:cs="仿宋_GB2312"/>
          <w:b/>
          <w:bCs/>
          <w:sz w:val="32"/>
          <w:szCs w:val="32"/>
        </w:rPr>
        <w:t>4</w:t>
      </w:r>
      <w:r>
        <w:rPr>
          <w:rFonts w:hint="eastAsia" w:ascii="仿宋" w:hAnsi="仿宋" w:eastAsia="仿宋" w:cs="仿宋_GB2312"/>
          <w:b/>
          <w:bCs/>
          <w:sz w:val="32"/>
          <w:szCs w:val="32"/>
        </w:rPr>
        <w:t>、判定原则</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（一）单项质量判定</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1.包装、标志判定</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包装检验项目中，所列子项目中任意项缺失或标注不准确，即判该所列子项为不符合执行标准要求，否则判该所列子项为符合执行标准要求，所列子项中有一项或一项以上A类项目不符合执行标准要求、两项或者两项以上B类项目不符合执行标准要求，即判定包装项目不符合执行标准要求。否则判定包装项目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标志检验项目中，所列子项目中任意项缺失或标注不准确，即判该所列子项为不符合执行标准要求，否则判该所列子项为符合执行标准要求，所列子项中有一项或一项以上A类项目不符合执行标准要求、两项或者两项以上B类项目不符合执行标准要求，即判定标志项目不符合执行标准要求。否则判定标志项目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2.其他项目判定</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当所检项目的检验结果符合执行标准中该项目要求时，判该项目为符合执行标准要求，否则判该项目为不符合执行标准要求。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（二）综合质量判定</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1.所检项目出现下列情况之一时，检验结论为“</w:t>
      </w:r>
      <w:r>
        <w:rPr>
          <w:rFonts w:hint="eastAsia" w:ascii="仿宋" w:hAnsi="仿宋" w:eastAsia="仿宋" w:cs="仿宋_GB2312"/>
          <w:sz w:val="32"/>
          <w:szCs w:val="32"/>
          <w:shd w:val="clear" w:color="auto" w:fill="FFFFFF"/>
        </w:rPr>
        <w:t>不符合本次监督抽查要求</w:t>
      </w:r>
      <w:r>
        <w:rPr>
          <w:rFonts w:hint="eastAsia" w:ascii="仿宋" w:hAnsi="仿宋" w:eastAsia="仿宋" w:cs="仿宋_GB2312"/>
          <w:sz w:val="32"/>
          <w:szCs w:val="32"/>
        </w:rPr>
        <w:t>”：</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（1）有一项或一项以上A类不合格项目不符合执行标准要求；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（2）有两项或两项以上B类不合格项目不符合执行标准要求。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2．同时满足下列要求的，检验结论为“符合本次监督抽查要求”：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（1）未发现A类项目不符合执行标准；</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（2）发现不符合执行标准的B类项目数量少于两项。</w:t>
      </w:r>
    </w:p>
    <w:p>
      <w:pPr>
        <w:wordWrap w:val="0"/>
        <w:spacing w:line="360" w:lineRule="auto"/>
        <w:rPr>
          <w:rFonts w:ascii="仿宋" w:hAnsi="仿宋" w:eastAsia="仿宋" w:cs="仿宋_GB2312"/>
          <w:b/>
          <w:bCs/>
          <w:sz w:val="32"/>
          <w:szCs w:val="32"/>
        </w:rPr>
      </w:pPr>
      <w:r>
        <w:rPr>
          <w:rFonts w:ascii="仿宋" w:hAnsi="仿宋" w:eastAsia="仿宋" w:cs="仿宋_GB2312"/>
          <w:b/>
          <w:bCs/>
          <w:sz w:val="32"/>
          <w:szCs w:val="32"/>
        </w:rPr>
        <w:t>5</w:t>
      </w:r>
      <w:r>
        <w:rPr>
          <w:rFonts w:hint="eastAsia" w:ascii="仿宋" w:hAnsi="仿宋" w:eastAsia="仿宋" w:cs="仿宋_GB2312"/>
          <w:b/>
          <w:bCs/>
          <w:sz w:val="32"/>
          <w:szCs w:val="32"/>
        </w:rPr>
        <w:t>、检验项目</w:t>
      </w:r>
    </w:p>
    <w:p>
      <w:pPr>
        <w:spacing w:line="360" w:lineRule="auto"/>
        <w:jc w:val="center"/>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表1</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可调式清洗机检验项目</w:t>
      </w:r>
    </w:p>
    <w:tbl>
      <w:tblPr>
        <w:tblStyle w:val="9"/>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67"/>
        <w:gridCol w:w="709"/>
        <w:gridCol w:w="1660"/>
        <w:gridCol w:w="1701"/>
        <w:gridCol w:w="679"/>
        <w:gridCol w:w="597"/>
        <w:gridCol w:w="12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blHeader/>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序号</w:t>
            </w:r>
          </w:p>
        </w:tc>
        <w:tc>
          <w:tcPr>
            <w:tcW w:w="293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检验项目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标准条款</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不合格类别</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项目设定</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w:t>
            </w:r>
          </w:p>
        </w:tc>
        <w:tc>
          <w:tcPr>
            <w:tcW w:w="567"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包装</w:t>
            </w:r>
          </w:p>
        </w:tc>
        <w:tc>
          <w:tcPr>
            <w:tcW w:w="709"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包装标志</w:t>
            </w:r>
          </w:p>
        </w:tc>
        <w:tc>
          <w:tcPr>
            <w:tcW w:w="1660" w:type="dxa"/>
            <w:tcBorders>
              <w:top w:val="single" w:color="auto" w:sz="4" w:space="0"/>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型号、名称、产品执行标准</w:t>
            </w:r>
          </w:p>
        </w:tc>
        <w:tc>
          <w:tcPr>
            <w:tcW w:w="17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 6284-2007</w:t>
            </w:r>
          </w:p>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 xml:space="preserve"> 7.2</w:t>
            </w:r>
          </w:p>
        </w:tc>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567"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709"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数量</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continue"/>
            <w:tcBorders>
              <w:left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567"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709"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质量</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continue"/>
            <w:tcBorders>
              <w:left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567"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709"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体积（长×宽×高），单位为mm×mm×mm</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continue"/>
            <w:tcBorders>
              <w:left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567"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709"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生产厂名称，商标</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597" w:type="dxa"/>
            <w:vMerge w:val="continue"/>
            <w:tcBorders>
              <w:left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567"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709" w:type="dxa"/>
            <w:vMerge w:val="restart"/>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随机文件和附件</w:t>
            </w: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产品合格证</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continue"/>
            <w:tcBorders>
              <w:left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567"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709"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使用说明书</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597" w:type="dxa"/>
            <w:vMerge w:val="continue"/>
            <w:tcBorders>
              <w:left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p>
        </w:tc>
        <w:tc>
          <w:tcPr>
            <w:tcW w:w="567"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bottom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必要的随机附件</w:t>
            </w:r>
          </w:p>
        </w:tc>
        <w:tc>
          <w:tcPr>
            <w:tcW w:w="1701"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2</w:t>
            </w:r>
          </w:p>
        </w:tc>
        <w:tc>
          <w:tcPr>
            <w:tcW w:w="1276" w:type="dxa"/>
            <w:gridSpan w:val="2"/>
            <w:vMerge w:val="restart"/>
            <w:tcBorders>
              <w:top w:val="single" w:color="auto" w:sz="4" w:space="0"/>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标志</w:t>
            </w:r>
          </w:p>
        </w:tc>
        <w:tc>
          <w:tcPr>
            <w:tcW w:w="1660" w:type="dxa"/>
            <w:tcBorders>
              <w:top w:val="single" w:color="auto" w:sz="4" w:space="0"/>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商标、型号、名称</w:t>
            </w:r>
          </w:p>
        </w:tc>
        <w:tc>
          <w:tcPr>
            <w:tcW w:w="17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 6284-2007 7.1</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1276" w:type="dxa"/>
            <w:gridSpan w:val="2"/>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生产厂名称</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597" w:type="dxa"/>
            <w:vMerge w:val="continue"/>
            <w:tcBorders>
              <w:left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1276" w:type="dxa"/>
            <w:gridSpan w:val="2"/>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生产日期或出厂编号</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continue"/>
            <w:tcBorders>
              <w:left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1276" w:type="dxa"/>
            <w:gridSpan w:val="2"/>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主要参数</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continue"/>
            <w:tcBorders>
              <w:left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1276" w:type="dxa"/>
            <w:gridSpan w:val="2"/>
            <w:vMerge w:val="continue"/>
            <w:tcBorders>
              <w:left w:val="single" w:color="auto" w:sz="4" w:space="0"/>
              <w:right w:val="single" w:color="auto" w:sz="4" w:space="0"/>
            </w:tcBorders>
            <w:vAlign w:val="center"/>
          </w:tcPr>
          <w:p>
            <w:pPr>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警示标志或警示说明</w:t>
            </w:r>
          </w:p>
        </w:tc>
        <w:tc>
          <w:tcPr>
            <w:tcW w:w="1701"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597" w:type="dxa"/>
            <w:vMerge w:val="continue"/>
            <w:tcBorders>
              <w:left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p>
        </w:tc>
        <w:tc>
          <w:tcPr>
            <w:tcW w:w="1276" w:type="dxa"/>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p>
        </w:tc>
        <w:tc>
          <w:tcPr>
            <w:tcW w:w="1660" w:type="dxa"/>
            <w:tcBorders>
              <w:left w:val="single" w:color="auto" w:sz="4" w:space="0"/>
              <w:bottom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产品执行标准号</w:t>
            </w:r>
          </w:p>
        </w:tc>
        <w:tc>
          <w:tcPr>
            <w:tcW w:w="1701"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597" w:type="dxa"/>
            <w:vMerge w:val="continue"/>
            <w:tcBorders>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3</w:t>
            </w:r>
          </w:p>
        </w:tc>
        <w:tc>
          <w:tcPr>
            <w:tcW w:w="2936"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警示要求</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 6284-2007 4.13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主要项目</w:t>
            </w:r>
          </w:p>
        </w:tc>
        <w:tc>
          <w:tcPr>
            <w:tcW w:w="850" w:type="dxa"/>
            <w:tcBorders>
              <w:top w:val="single" w:color="auto" w:sz="4" w:space="0"/>
              <w:left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4</w:t>
            </w:r>
          </w:p>
        </w:tc>
        <w:tc>
          <w:tcPr>
            <w:tcW w:w="2936"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外观质量</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 6284-2007 4.8.1</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5</w:t>
            </w:r>
          </w:p>
        </w:tc>
        <w:tc>
          <w:tcPr>
            <w:tcW w:w="2936"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起动性能</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 6284-2007 4.6</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主要项目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w:t>
            </w:r>
          </w:p>
        </w:tc>
        <w:tc>
          <w:tcPr>
            <w:tcW w:w="2936"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运转要求</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 6284-2007 4.2</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主要项目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7</w:t>
            </w:r>
          </w:p>
        </w:tc>
        <w:tc>
          <w:tcPr>
            <w:tcW w:w="2936"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功率</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 6284-2007 4.7</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8</w:t>
            </w:r>
          </w:p>
        </w:tc>
        <w:tc>
          <w:tcPr>
            <w:tcW w:w="2936"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喷量要求</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 6284-2007 4.10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非主要项目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w:t>
            </w:r>
          </w:p>
        </w:tc>
      </w:tr>
    </w:tbl>
    <w:p>
      <w:pPr>
        <w:widowControl/>
        <w:adjustRightInd w:val="0"/>
        <w:snapToGrid w:val="0"/>
        <w:spacing w:line="264" w:lineRule="auto"/>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注：使用同一台样品试验时，如出现试验不合格且样品损坏，终止该样品的后续检验项目的检验。</w:t>
      </w: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5.检验结论表述</w:t>
      </w:r>
    </w:p>
    <w:p>
      <w:pPr>
        <w:jc w:val="center"/>
        <w:rPr>
          <w:rFonts w:ascii="方正小标宋简体" w:hAnsi="方正小标宋简体" w:eastAsia="方正小标宋简体" w:cs="方正小标宋简体"/>
          <w:sz w:val="36"/>
          <w:szCs w:val="36"/>
        </w:rPr>
      </w:pPr>
      <w:r>
        <w:rPr>
          <w:rFonts w:hint="eastAsia" w:ascii="仿宋" w:hAnsi="仿宋" w:eastAsia="仿宋" w:cs="仿宋_GB2312"/>
          <w:sz w:val="32"/>
          <w:szCs w:val="32"/>
          <w:shd w:val="clear" w:color="auto" w:fill="FFFFFF"/>
        </w:rPr>
        <w:t>（1）当检验结论判定为“符合本次监督抽查要求”时</w:t>
      </w:r>
    </w:p>
    <w:p>
      <w:pPr>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依据《</w:t>
      </w:r>
      <w:r>
        <w:rPr>
          <w:rFonts w:hint="eastAsia" w:ascii="仿宋" w:hAnsi="仿宋" w:eastAsia="仿宋" w:cs="仿宋_GB2312"/>
          <w:sz w:val="32"/>
          <w:szCs w:val="32"/>
          <w:shd w:val="clear" w:color="auto" w:fill="FFFFFF"/>
          <w:lang w:val="en-US" w:eastAsia="zh-CN"/>
        </w:rPr>
        <w:t>2025</w:t>
      </w:r>
      <w:r>
        <w:rPr>
          <w:rFonts w:hint="eastAsia" w:ascii="仿宋" w:hAnsi="仿宋" w:eastAsia="仿宋" w:cs="仿宋_GB2312"/>
          <w:sz w:val="32"/>
          <w:szCs w:val="32"/>
          <w:shd w:val="clear" w:color="auto" w:fill="FFFFFF"/>
        </w:rPr>
        <w:t>年生产领域路桥区可调式清洗机产品质量监督抽查方案》的要求，对所抽样品进行了检验，所检项目符合本次监督抽查要求。</w:t>
      </w:r>
    </w:p>
    <w:p>
      <w:pPr>
        <w:adjustRightInd w:val="0"/>
        <w:snapToGrid w:val="0"/>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（2）当检验结论判定为“不符合本次监督抽查要求”时</w:t>
      </w:r>
    </w:p>
    <w:p>
      <w:pPr>
        <w:ind w:firstLine="800" w:firstLineChars="25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依据《</w:t>
      </w:r>
      <w:r>
        <w:rPr>
          <w:rFonts w:hint="eastAsia" w:ascii="仿宋" w:hAnsi="仿宋" w:eastAsia="仿宋" w:cs="仿宋_GB2312"/>
          <w:sz w:val="32"/>
          <w:szCs w:val="32"/>
          <w:shd w:val="clear" w:color="auto" w:fill="FFFFFF"/>
          <w:lang w:val="en-US" w:eastAsia="zh-CN"/>
        </w:rPr>
        <w:t>2025</w:t>
      </w:r>
      <w:r>
        <w:rPr>
          <w:rFonts w:hint="eastAsia" w:ascii="仿宋" w:hAnsi="仿宋" w:eastAsia="仿宋" w:cs="仿宋_GB2312"/>
          <w:sz w:val="32"/>
          <w:szCs w:val="32"/>
          <w:shd w:val="clear" w:color="auto" w:fill="FFFFFF"/>
        </w:rPr>
        <w:t>年生产领域路桥区可调式清洗机产品质量监督抽查方案》的要求，对所抽样品进行了检验，其中××、××项目的检验结果不符合本次监督抽查要求。</w:t>
      </w:r>
    </w:p>
    <w:p>
      <w:pPr>
        <w:rPr>
          <w:rFonts w:ascii="仿宋" w:hAnsi="仿宋" w:eastAsia="仿宋" w:cs="仿宋_GB2312"/>
          <w:sz w:val="32"/>
          <w:szCs w:val="32"/>
          <w:shd w:val="clear" w:color="auto" w:fill="FFFFFF"/>
        </w:rPr>
      </w:pPr>
    </w:p>
    <w:p>
      <w:pPr>
        <w:wordWrap w:val="0"/>
        <w:spacing w:line="360" w:lineRule="auto"/>
        <w:rPr>
          <w:rFonts w:ascii="仿宋" w:hAnsi="仿宋" w:eastAsia="仿宋" w:cs="仿宋_GB2312"/>
          <w:sz w:val="32"/>
          <w:szCs w:val="32"/>
        </w:rPr>
      </w:pPr>
      <w:r>
        <w:rPr>
          <w:rFonts w:ascii="仿宋" w:hAnsi="仿宋" w:eastAsia="仿宋" w:cs="仿宋_GB2312"/>
          <w:b/>
          <w:bCs/>
          <w:sz w:val="32"/>
          <w:szCs w:val="32"/>
        </w:rPr>
        <w:t>6</w:t>
      </w:r>
      <w:r>
        <w:rPr>
          <w:rFonts w:hint="eastAsia" w:ascii="仿宋" w:hAnsi="仿宋" w:eastAsia="仿宋" w:cs="仿宋_GB2312"/>
          <w:b/>
          <w:bCs/>
          <w:sz w:val="32"/>
          <w:szCs w:val="32"/>
        </w:rPr>
        <w:t>、</w:t>
      </w:r>
      <w:r>
        <w:rPr>
          <w:rFonts w:ascii="仿宋" w:hAnsi="仿宋" w:eastAsia="仿宋" w:cs="仿宋_GB2312"/>
          <w:b/>
          <w:bCs/>
          <w:sz w:val="32"/>
          <w:szCs w:val="32"/>
        </w:rPr>
        <w:t>注意事项</w:t>
      </w:r>
    </w:p>
    <w:p>
      <w:pPr>
        <w:wordWrap w:val="0"/>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被抽样生产者愿意无偿提供样品的，应在抽样单中注明并签章确认。</w:t>
      </w:r>
    </w:p>
    <w:p>
      <w:pPr>
        <w:numPr>
          <w:ilvl w:val="0"/>
          <w:numId w:val="1"/>
        </w:numPr>
        <w:wordWrap w:val="0"/>
        <w:spacing w:line="360" w:lineRule="auto"/>
        <w:rPr>
          <w:rFonts w:hint="eastAsia" w:eastAsia="仿宋_GB2312" w:cs="仿宋_GB2312"/>
          <w:b/>
          <w:bCs/>
          <w:sz w:val="32"/>
          <w:szCs w:val="32"/>
        </w:rPr>
      </w:pPr>
      <w:r>
        <w:rPr>
          <w:rFonts w:hint="eastAsia" w:eastAsia="仿宋_GB2312" w:cs="仿宋_GB2312"/>
          <w:b/>
          <w:bCs/>
          <w:sz w:val="32"/>
          <w:szCs w:val="32"/>
        </w:rPr>
        <w:t>抽样单位</w:t>
      </w:r>
    </w:p>
    <w:p>
      <w:pPr>
        <w:wordWrap w:val="0"/>
        <w:spacing w:line="360" w:lineRule="auto"/>
        <w:rPr>
          <w:rFonts w:hint="eastAsia" w:eastAsia="仿宋_GB2312" w:cs="仿宋_GB2312"/>
          <w:sz w:val="32"/>
          <w:szCs w:val="32"/>
        </w:rPr>
      </w:pPr>
      <w:r>
        <w:rPr>
          <w:rFonts w:hint="eastAsia" w:eastAsia="仿宋_GB2312" w:cs="仿宋_GB2312"/>
          <w:b/>
          <w:bCs/>
          <w:sz w:val="32"/>
          <w:szCs w:val="32"/>
        </w:rPr>
        <w:t xml:space="preserve">    </w:t>
      </w:r>
      <w:r>
        <w:rPr>
          <w:rFonts w:hint="eastAsia" w:eastAsia="仿宋_GB2312" w:cs="仿宋_GB2312"/>
          <w:sz w:val="32"/>
          <w:szCs w:val="32"/>
        </w:rPr>
        <w:t>台州市路桥区产品质量检验所（台州市路桥区珠光街199号）；0576-82908088。</w:t>
      </w:r>
    </w:p>
    <w:p>
      <w:pPr>
        <w:pStyle w:val="2"/>
      </w:pPr>
    </w:p>
    <w:p/>
    <w:p>
      <w:pPr>
        <w:pStyle w:val="2"/>
      </w:pPr>
    </w:p>
    <w:p/>
    <w:p>
      <w:pPr>
        <w:pStyle w:val="2"/>
      </w:pPr>
    </w:p>
    <w:p>
      <w:pPr>
        <w:pStyle w:val="2"/>
      </w:pPr>
    </w:p>
    <w:p/>
    <w:p/>
    <w:p/>
    <w:p>
      <w:pPr>
        <w:jc w:val="center"/>
        <w:rPr>
          <w:rFonts w:ascii="方正小标宋简体" w:hAnsi="方正小标宋简体" w:eastAsia="方正小标宋简体" w:cs="方正小标宋简体"/>
          <w:sz w:val="36"/>
          <w:szCs w:val="36"/>
        </w:rPr>
      </w:pPr>
      <w:bookmarkStart w:id="1" w:name="_Hlk111792629"/>
      <w:r>
        <w:rPr>
          <w:rFonts w:hint="eastAsia" w:ascii="方正小标宋简体" w:hAnsi="方正小标宋简体" w:eastAsia="方正小标宋简体" w:cs="方正小标宋简体"/>
          <w:sz w:val="36"/>
          <w:szCs w:val="36"/>
        </w:rPr>
        <w:t>生产领域路桥区喷雾器产品</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质量监督抽查</w:t>
      </w:r>
      <w:r>
        <w:rPr>
          <w:rFonts w:hint="eastAsia" w:ascii="方正小标宋简体" w:hAnsi="方正小标宋简体" w:eastAsia="方正小标宋简体" w:cs="方正小标宋简体"/>
          <w:sz w:val="36"/>
          <w:szCs w:val="36"/>
          <w:lang w:eastAsia="zh-CN"/>
        </w:rPr>
        <w:t>实施细则</w:t>
      </w:r>
    </w:p>
    <w:bookmarkEnd w:id="1"/>
    <w:p>
      <w:pPr>
        <w:wordWrap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1、抽样要求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样品应当由抽样人员在被抽样生产者的待销产品或者生产线末端经检验合格的产品中随机抽样。</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抽样时应当购买检验样品，购买检验样品的价格以生产、销售产品的标价为准；没有标价的，以同类产品的市场价格为准。备用样品由被抽样生产者先行无偿提供。</w:t>
      </w:r>
    </w:p>
    <w:p>
      <w:pPr>
        <w:widowControl/>
        <w:tabs>
          <w:tab w:val="left" w:pos="1140"/>
        </w:tabs>
        <w:spacing w:line="264"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抽样时检样、备样应分别封样，并加以标注。</w:t>
      </w:r>
      <w:r>
        <w:rPr>
          <w:rFonts w:ascii="仿宋" w:hAnsi="仿宋" w:eastAsia="仿宋" w:cs="仿宋_GB2312"/>
          <w:sz w:val="32"/>
          <w:szCs w:val="32"/>
        </w:rPr>
        <w:t xml:space="preserve"> 样品</w:t>
      </w:r>
      <w:r>
        <w:rPr>
          <w:rFonts w:hint="eastAsia" w:ascii="仿宋" w:hAnsi="仿宋" w:eastAsia="仿宋" w:cs="仿宋_GB2312"/>
          <w:sz w:val="32"/>
          <w:szCs w:val="32"/>
        </w:rPr>
        <w:t>在运输过程中做好保护措施，确保样品不受到摔打、撞击和受潮。</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抽样时，应当通过</w:t>
      </w:r>
      <w:r>
        <w:rPr>
          <w:rFonts w:hint="eastAsia" w:ascii="仿宋" w:hAnsi="仿宋" w:eastAsia="仿宋" w:cs="仿宋_GB2312"/>
          <w:sz w:val="32"/>
          <w:szCs w:val="32"/>
          <w:shd w:val="clear" w:color="auto" w:fill="FFFFFF"/>
        </w:rPr>
        <w:t>录像、拍照等方式对告知、抽样、封样、签章、样品封存状态，以及被抽样生产者的营业执照等关键环节和内容进行记录。</w:t>
      </w:r>
    </w:p>
    <w:p>
      <w:pPr>
        <w:wordWrap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2、抽样产品种类</w:t>
      </w:r>
    </w:p>
    <w:p>
      <w:pPr>
        <w:wordWrap w:val="0"/>
        <w:spacing w:line="360"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手动喷雾器（</w:t>
      </w:r>
      <w:r>
        <w:rPr>
          <w:rFonts w:ascii="仿宋" w:hAnsi="仿宋" w:eastAsia="仿宋" w:cs="仿宋_GB2312"/>
          <w:sz w:val="32"/>
          <w:szCs w:val="32"/>
          <w:shd w:val="clear" w:color="auto" w:fill="FFFFFF"/>
        </w:rPr>
        <w:t>背负式</w:t>
      </w:r>
      <w:r>
        <w:rPr>
          <w:rFonts w:hint="eastAsia" w:ascii="仿宋" w:hAnsi="仿宋" w:eastAsia="仿宋" w:cs="仿宋_GB2312"/>
          <w:sz w:val="32"/>
          <w:szCs w:val="32"/>
          <w:shd w:val="clear" w:color="auto" w:fill="FFFFFF"/>
        </w:rPr>
        <w:t>手动喷雾器），电动喷雾器（背负式电动喷雾器）产品。</w:t>
      </w:r>
    </w:p>
    <w:p>
      <w:pPr>
        <w:wordWrap w:val="0"/>
        <w:spacing w:line="360" w:lineRule="auto"/>
        <w:rPr>
          <w:rFonts w:ascii="仿宋" w:hAnsi="仿宋" w:eastAsia="仿宋" w:cs="仿宋_GB2312"/>
          <w:b/>
          <w:bCs/>
          <w:sz w:val="32"/>
          <w:szCs w:val="32"/>
        </w:rPr>
      </w:pPr>
      <w:r>
        <w:rPr>
          <w:rFonts w:ascii="仿宋" w:hAnsi="仿宋" w:eastAsia="仿宋" w:cs="仿宋_GB2312"/>
          <w:b/>
          <w:bCs/>
          <w:sz w:val="32"/>
          <w:szCs w:val="32"/>
        </w:rPr>
        <w:t>3</w:t>
      </w:r>
      <w:r>
        <w:rPr>
          <w:rFonts w:hint="eastAsia" w:ascii="仿宋" w:hAnsi="仿宋" w:eastAsia="仿宋" w:cs="仿宋_GB2312"/>
          <w:b/>
          <w:bCs/>
          <w:sz w:val="32"/>
          <w:szCs w:val="32"/>
        </w:rPr>
        <w:t>、抽样数量</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1.手动喷雾器（</w:t>
      </w:r>
      <w:r>
        <w:rPr>
          <w:rFonts w:ascii="仿宋" w:hAnsi="仿宋" w:eastAsia="仿宋" w:cs="仿宋_GB2312"/>
          <w:sz w:val="32"/>
          <w:szCs w:val="32"/>
          <w:shd w:val="clear" w:color="auto" w:fill="FFFFFF"/>
        </w:rPr>
        <w:t>背负式</w:t>
      </w:r>
      <w:r>
        <w:rPr>
          <w:rFonts w:hint="eastAsia" w:ascii="仿宋" w:hAnsi="仿宋" w:eastAsia="仿宋" w:cs="仿宋_GB2312"/>
          <w:sz w:val="32"/>
          <w:szCs w:val="32"/>
          <w:shd w:val="clear" w:color="auto" w:fill="FFFFFF"/>
        </w:rPr>
        <w:t>手动喷雾器）：随机抽取同一生产者同一标准生产的同一商标、同一规格型号的产品6台，其中3台为检样，另3台为备样。</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2.电动喷雾器（背负式电动喷雾器）：随机抽取同一生产者同一标准生产的同一商标、同一规格型号的产品4台，其中2台为检样，另2台为备样。</w:t>
      </w:r>
    </w:p>
    <w:p>
      <w:pPr>
        <w:wordWrap w:val="0"/>
        <w:spacing w:line="360" w:lineRule="auto"/>
        <w:rPr>
          <w:rFonts w:ascii="仿宋" w:hAnsi="仿宋" w:eastAsia="仿宋" w:cs="仿宋_GB2312"/>
          <w:sz w:val="32"/>
          <w:szCs w:val="32"/>
        </w:rPr>
      </w:pPr>
      <w:r>
        <w:rPr>
          <w:rFonts w:ascii="仿宋" w:hAnsi="仿宋" w:eastAsia="仿宋" w:cs="仿宋_GB2312"/>
          <w:b/>
          <w:bCs/>
          <w:sz w:val="32"/>
          <w:szCs w:val="32"/>
        </w:rPr>
        <w:t>4</w:t>
      </w:r>
      <w:r>
        <w:rPr>
          <w:rFonts w:hint="eastAsia" w:ascii="仿宋" w:hAnsi="仿宋" w:eastAsia="仿宋" w:cs="仿宋_GB2312"/>
          <w:b/>
          <w:bCs/>
          <w:sz w:val="32"/>
          <w:szCs w:val="32"/>
        </w:rPr>
        <w:t>、判定原则</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（一）单项质量判定</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当所检项目的检验结果符合执行标准中该项目要求时，判该项目为符合执行标准要求，否则判该项目为不符合执行标准要求。</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 xml:space="preserve"> （二）综合质量判定</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1.所检项目出现下列情况之一时，检验结论为“</w:t>
      </w:r>
      <w:bookmarkStart w:id="2" w:name="_Hlk111813160"/>
      <w:r>
        <w:rPr>
          <w:rFonts w:hint="eastAsia" w:ascii="仿宋" w:hAnsi="仿宋" w:eastAsia="仿宋" w:cs="仿宋_GB2312"/>
          <w:sz w:val="32"/>
          <w:szCs w:val="32"/>
          <w:shd w:val="clear" w:color="auto" w:fill="FFFFFF"/>
        </w:rPr>
        <w:t>不符合本次监督抽查要求</w:t>
      </w:r>
      <w:bookmarkEnd w:id="2"/>
      <w:r>
        <w:rPr>
          <w:rFonts w:hint="eastAsia" w:ascii="仿宋" w:hAnsi="仿宋" w:eastAsia="仿宋" w:cs="仿宋_GB2312"/>
          <w:sz w:val="32"/>
          <w:szCs w:val="32"/>
          <w:shd w:val="clear" w:color="auto" w:fill="FFFFFF"/>
        </w:rPr>
        <w:t>”。</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（1）手动喷雾器（背负式喷雾器）：</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①有一项或一项以上A类项目不符合执行标准要求；</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②有五项或五项以上B类项目不符合执行标准要求。</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（2）电动喷雾器（背负式电动喷雾器）：</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①有一项或一项以上A类项目不符合执行标准要求；</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②有三项或三项以上B类项目不符合执行标准要求。</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2．同时满足下列要求的，检验结论为“</w:t>
      </w:r>
      <w:bookmarkStart w:id="3" w:name="_Hlk111793366"/>
      <w:r>
        <w:rPr>
          <w:rFonts w:hint="eastAsia" w:ascii="仿宋" w:hAnsi="仿宋" w:eastAsia="仿宋" w:cs="仿宋_GB2312"/>
          <w:sz w:val="32"/>
          <w:szCs w:val="32"/>
          <w:shd w:val="clear" w:color="auto" w:fill="FFFFFF"/>
        </w:rPr>
        <w:t>符合本次监督抽查要求</w:t>
      </w:r>
      <w:bookmarkEnd w:id="3"/>
      <w:r>
        <w:rPr>
          <w:rFonts w:hint="eastAsia" w:ascii="仿宋" w:hAnsi="仿宋" w:eastAsia="仿宋" w:cs="仿宋_GB2312"/>
          <w:sz w:val="32"/>
          <w:szCs w:val="32"/>
          <w:shd w:val="clear" w:color="auto" w:fill="FFFFFF"/>
        </w:rPr>
        <w:t>”。</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（1）手动喷雾器（背负式喷雾器）：</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①未发现A类项目不符合执行标准；</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②发现不符合执行标准的B类项目数量少于五项。</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（2）电动喷雾器（背负式电动喷雾器）：</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①未发现A类项目不符合执行标准；</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②发现不符合执行标准的B类项目数量少于三项。</w:t>
      </w:r>
    </w:p>
    <w:p>
      <w:pPr>
        <w:spacing w:line="360" w:lineRule="auto"/>
        <w:rPr>
          <w:rFonts w:ascii="仿宋" w:hAnsi="仿宋" w:eastAsia="仿宋" w:cs="仿宋_GB2312"/>
          <w:b/>
          <w:bCs/>
          <w:sz w:val="32"/>
          <w:szCs w:val="32"/>
        </w:rPr>
      </w:pPr>
      <w:bookmarkStart w:id="4" w:name="_Hlk111816560"/>
      <w:r>
        <w:rPr>
          <w:rFonts w:hint="eastAsia" w:ascii="仿宋" w:hAnsi="仿宋" w:eastAsia="仿宋" w:cs="仿宋_GB2312"/>
          <w:b/>
          <w:bCs/>
          <w:sz w:val="32"/>
          <w:szCs w:val="32"/>
        </w:rPr>
        <w:t>5.检验结论表述</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（1）当检验结论判定为“符合本次监督抽查要求”时</w:t>
      </w:r>
    </w:p>
    <w:p>
      <w:pPr>
        <w:ind w:firstLine="800" w:firstLineChars="25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依据《</w:t>
      </w:r>
      <w:bookmarkStart w:id="5" w:name="_Hlk111792961"/>
      <w:r>
        <w:rPr>
          <w:rFonts w:hint="eastAsia" w:ascii="仿宋" w:hAnsi="仿宋" w:eastAsia="仿宋" w:cs="仿宋_GB2312"/>
          <w:sz w:val="32"/>
          <w:szCs w:val="32"/>
          <w:shd w:val="clear" w:color="auto" w:fill="FFFFFF"/>
        </w:rPr>
        <w:t>202</w:t>
      </w:r>
      <w:r>
        <w:rPr>
          <w:rFonts w:hint="eastAsia" w:ascii="仿宋" w:hAnsi="仿宋" w:eastAsia="仿宋" w:cs="仿宋_GB2312"/>
          <w:sz w:val="32"/>
          <w:szCs w:val="32"/>
          <w:shd w:val="clear" w:color="auto" w:fill="FFFFFF"/>
          <w:lang w:val="en-US" w:eastAsia="zh-CN"/>
        </w:rPr>
        <w:t>5</w:t>
      </w:r>
      <w:r>
        <w:rPr>
          <w:rFonts w:hint="eastAsia" w:ascii="仿宋" w:hAnsi="仿宋" w:eastAsia="仿宋" w:cs="仿宋_GB2312"/>
          <w:sz w:val="32"/>
          <w:szCs w:val="32"/>
          <w:shd w:val="clear" w:color="auto" w:fill="FFFFFF"/>
        </w:rPr>
        <w:t>年生产领域路桥区喷雾器产品质量监督抽查方案</w:t>
      </w:r>
      <w:bookmarkEnd w:id="5"/>
      <w:r>
        <w:rPr>
          <w:rFonts w:hint="eastAsia" w:ascii="仿宋" w:hAnsi="仿宋" w:eastAsia="仿宋" w:cs="仿宋_GB2312"/>
          <w:sz w:val="32"/>
          <w:szCs w:val="32"/>
          <w:shd w:val="clear" w:color="auto" w:fill="FFFFFF"/>
        </w:rPr>
        <w:t>》的要求，对所抽样品进行了检验，所检项目符合本次监督抽查要求。</w:t>
      </w:r>
    </w:p>
    <w:p>
      <w:pPr>
        <w:adjustRightInd w:val="0"/>
        <w:snapToGrid w:val="0"/>
        <w:spacing w:line="264" w:lineRule="auto"/>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（2）当检验结论判定为“不符合本次监督抽查要求”时</w:t>
      </w:r>
    </w:p>
    <w:p>
      <w:pPr>
        <w:adjustRightInd w:val="0"/>
        <w:snapToGrid w:val="0"/>
        <w:spacing w:line="264" w:lineRule="auto"/>
        <w:ind w:firstLine="800" w:firstLineChars="25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依据《202</w:t>
      </w:r>
      <w:r>
        <w:rPr>
          <w:rFonts w:hint="eastAsia" w:ascii="仿宋" w:hAnsi="仿宋" w:eastAsia="仿宋" w:cs="仿宋_GB2312"/>
          <w:sz w:val="32"/>
          <w:szCs w:val="32"/>
          <w:shd w:val="clear" w:color="auto" w:fill="FFFFFF"/>
          <w:lang w:val="en-US" w:eastAsia="zh-CN"/>
        </w:rPr>
        <w:t>5</w:t>
      </w:r>
      <w:r>
        <w:rPr>
          <w:rFonts w:hint="eastAsia" w:ascii="仿宋" w:hAnsi="仿宋" w:eastAsia="仿宋" w:cs="仿宋_GB2312"/>
          <w:sz w:val="32"/>
          <w:szCs w:val="32"/>
          <w:shd w:val="clear" w:color="auto" w:fill="FFFFFF"/>
        </w:rPr>
        <w:t>年生产领域路桥区喷雾器产品质量监督抽查方案》的要求，对所抽样品进行了检验，其中××、××项目的检验结果不符合本次监督抽查要求。</w:t>
      </w:r>
    </w:p>
    <w:bookmarkEnd w:id="4"/>
    <w:p>
      <w:pPr>
        <w:wordWrap w:val="0"/>
        <w:spacing w:line="360" w:lineRule="auto"/>
        <w:rPr>
          <w:rFonts w:ascii="仿宋" w:hAnsi="仿宋" w:eastAsia="仿宋" w:cs="仿宋_GB2312"/>
          <w:sz w:val="32"/>
          <w:szCs w:val="32"/>
        </w:rPr>
      </w:pPr>
    </w:p>
    <w:p>
      <w:pPr>
        <w:wordWrap w:val="0"/>
        <w:spacing w:line="360" w:lineRule="auto"/>
        <w:rPr>
          <w:rFonts w:ascii="仿宋" w:hAnsi="仿宋" w:eastAsia="仿宋" w:cs="仿宋_GB2312"/>
          <w:sz w:val="32"/>
          <w:szCs w:val="32"/>
          <w:shd w:val="clear" w:color="auto" w:fill="FFFFFF"/>
        </w:rPr>
      </w:pPr>
      <w:r>
        <w:rPr>
          <w:rFonts w:ascii="仿宋" w:hAnsi="仿宋" w:eastAsia="仿宋" w:cs="仿宋_GB2312"/>
          <w:b/>
          <w:bCs/>
          <w:sz w:val="32"/>
          <w:szCs w:val="32"/>
        </w:rPr>
        <w:t>6</w:t>
      </w:r>
      <w:r>
        <w:rPr>
          <w:rFonts w:hint="eastAsia" w:ascii="仿宋" w:hAnsi="仿宋" w:eastAsia="仿宋" w:cs="仿宋_GB2312"/>
          <w:b/>
          <w:bCs/>
          <w:sz w:val="32"/>
          <w:szCs w:val="32"/>
        </w:rPr>
        <w:t>、检验项目</w:t>
      </w:r>
    </w:p>
    <w:p>
      <w:pPr>
        <w:widowControl/>
        <w:adjustRightInd w:val="0"/>
        <w:snapToGrid w:val="0"/>
        <w:spacing w:line="264" w:lineRule="auto"/>
        <w:ind w:firstLine="640" w:firstLineChars="20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表1</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手动喷雾器（</w:t>
      </w:r>
      <w:r>
        <w:rPr>
          <w:rFonts w:ascii="仿宋" w:hAnsi="仿宋" w:eastAsia="仿宋" w:cs="仿宋_GB2312"/>
          <w:sz w:val="32"/>
          <w:szCs w:val="32"/>
          <w:shd w:val="clear" w:color="auto" w:fill="FFFFFF"/>
        </w:rPr>
        <w:t>背负式喷雾器</w:t>
      </w:r>
      <w:r>
        <w:rPr>
          <w:rFonts w:hint="eastAsia" w:ascii="仿宋" w:hAnsi="仿宋" w:eastAsia="仿宋" w:cs="仿宋_GB2312"/>
          <w:sz w:val="32"/>
          <w:szCs w:val="32"/>
          <w:shd w:val="clear" w:color="auto" w:fill="FFFFFF"/>
        </w:rPr>
        <w:t>）检验项目</w:t>
      </w:r>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94"/>
        <w:gridCol w:w="2976"/>
        <w:gridCol w:w="1276"/>
        <w:gridCol w:w="127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blHeader/>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bookmarkStart w:id="6" w:name="_Hlk111814043"/>
            <w:r>
              <w:rPr>
                <w:rFonts w:ascii="仿宋" w:hAnsi="仿宋" w:eastAsia="仿宋" w:cs="仿宋_GB2312"/>
                <w:sz w:val="32"/>
                <w:szCs w:val="32"/>
                <w:shd w:val="clear" w:color="auto" w:fill="FFFFFF"/>
              </w:rPr>
              <w:t>序号</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检验项目</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标准条款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不合格类别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项目设定</w:t>
            </w: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备注</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标牌</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5.4.1</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2</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标志</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5.4.2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使用说明书</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5.4.3</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4</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装配质量</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5.5.1</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5</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背带</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5.3.9</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药液箱加液口直径</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5.3.5.2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7</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整机质量</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5.1.2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8</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药液箱容量</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5.2.4</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9</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水位线</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w:t>
            </w:r>
            <w:r>
              <w:rPr>
                <w:rFonts w:hint="eastAsia" w:ascii="仿宋" w:hAnsi="仿宋" w:eastAsia="仿宋" w:cs="仿宋_GB2312"/>
                <w:sz w:val="32"/>
                <w:szCs w:val="32"/>
                <w:shd w:val="clear" w:color="auto" w:fill="FFFFFF"/>
              </w:rPr>
              <w:t>3.5.1</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10</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药液箱</w:t>
            </w:r>
            <w:r>
              <w:rPr>
                <w:rFonts w:hint="eastAsia" w:ascii="仿宋" w:hAnsi="仿宋" w:eastAsia="仿宋" w:cs="仿宋_GB2312"/>
                <w:sz w:val="32"/>
                <w:szCs w:val="32"/>
                <w:shd w:val="clear" w:color="auto" w:fill="FFFFFF"/>
              </w:rPr>
              <w:t>额外体积</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GB</w:t>
            </w:r>
            <w:r>
              <w:rPr>
                <w:rFonts w:ascii="仿宋" w:hAnsi="仿宋" w:eastAsia="仿宋" w:cs="仿宋_GB2312"/>
                <w:sz w:val="32"/>
                <w:szCs w:val="32"/>
                <w:shd w:val="clear" w:color="auto" w:fill="FFFFFF"/>
              </w:rPr>
              <w:t>/T</w:t>
            </w:r>
            <w:r>
              <w:rPr>
                <w:rFonts w:hint="eastAsia" w:ascii="仿宋" w:hAnsi="仿宋" w:eastAsia="仿宋" w:cs="仿宋_GB2312"/>
                <w:sz w:val="32"/>
                <w:szCs w:val="32"/>
                <w:shd w:val="clear" w:color="auto" w:fill="FFFFFF"/>
              </w:rPr>
              <w:t xml:space="preserve"> 24679.2-2020 5.2.2</w:t>
            </w:r>
          </w:p>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GB</w:t>
            </w:r>
            <w:r>
              <w:rPr>
                <w:rFonts w:ascii="仿宋" w:hAnsi="仿宋" w:eastAsia="仿宋" w:cs="仿宋_GB2312"/>
                <w:sz w:val="32"/>
                <w:szCs w:val="32"/>
                <w:shd w:val="clear" w:color="auto" w:fill="FFFFFF"/>
              </w:rPr>
              <w:t>/T</w:t>
            </w:r>
            <w:r>
              <w:rPr>
                <w:rFonts w:hint="eastAsia" w:ascii="仿宋" w:hAnsi="仿宋" w:eastAsia="仿宋" w:cs="仿宋_GB2312"/>
                <w:sz w:val="32"/>
                <w:szCs w:val="32"/>
                <w:shd w:val="clear" w:color="auto" w:fill="FFFFFF"/>
              </w:rPr>
              <w:t xml:space="preserve"> 24679.1-2017 5.3.5</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w:t>
            </w:r>
            <w:r>
              <w:rPr>
                <w:rFonts w:hint="eastAsia" w:ascii="仿宋" w:hAnsi="仿宋" w:eastAsia="仿宋" w:cs="仿宋_GB2312"/>
                <w:sz w:val="32"/>
                <w:szCs w:val="32"/>
                <w:shd w:val="clear" w:color="auto" w:fill="FFFFFF"/>
              </w:rPr>
              <w:t>1</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喷雾性能</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5.2.1</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w:t>
            </w:r>
            <w:r>
              <w:rPr>
                <w:rFonts w:hint="eastAsia" w:ascii="仿宋" w:hAnsi="仿宋" w:eastAsia="仿宋" w:cs="仿宋_GB2312"/>
                <w:sz w:val="32"/>
                <w:szCs w:val="32"/>
                <w:shd w:val="clear" w:color="auto" w:fill="FFFFFF"/>
              </w:rPr>
              <w:t>2</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密封性能</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5.2.2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13</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残留</w:t>
            </w:r>
            <w:r>
              <w:rPr>
                <w:rFonts w:hint="eastAsia" w:ascii="仿宋" w:hAnsi="仿宋" w:eastAsia="仿宋" w:cs="仿宋_GB2312"/>
                <w:sz w:val="32"/>
                <w:szCs w:val="32"/>
                <w:shd w:val="clear" w:color="auto" w:fill="FFFFFF"/>
              </w:rPr>
              <w:t>液</w:t>
            </w:r>
            <w:r>
              <w:rPr>
                <w:rFonts w:ascii="仿宋" w:hAnsi="仿宋" w:eastAsia="仿宋" w:cs="仿宋_GB2312"/>
                <w:sz w:val="32"/>
                <w:szCs w:val="32"/>
                <w:shd w:val="clear" w:color="auto" w:fill="FFFFFF"/>
              </w:rPr>
              <w:t>量</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5.2.6</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14</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药液箱盖连接可靠性</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5.3.5.</w:t>
            </w:r>
            <w:r>
              <w:rPr>
                <w:rFonts w:hint="eastAsia" w:ascii="仿宋" w:hAnsi="仿宋" w:eastAsia="仿宋" w:cs="仿宋_GB2312"/>
                <w:sz w:val="32"/>
                <w:szCs w:val="32"/>
                <w:shd w:val="clear" w:color="auto" w:fill="FFFFFF"/>
              </w:rPr>
              <w:t>4</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B</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15</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喷射部件耐压性能</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5.3.4.2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16</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药液箱坠落试验</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w:t>
            </w:r>
            <w:r>
              <w:rPr>
                <w:rFonts w:ascii="仿宋" w:hAnsi="仿宋" w:eastAsia="仿宋" w:cs="仿宋_GB2312"/>
                <w:sz w:val="32"/>
                <w:szCs w:val="32"/>
                <w:shd w:val="clear" w:color="auto" w:fill="FFFFFF"/>
              </w:rPr>
              <w:t>6661-2015 5.3.5.</w:t>
            </w:r>
            <w:r>
              <w:rPr>
                <w:rFonts w:hint="eastAsia" w:ascii="仿宋" w:hAnsi="仿宋" w:eastAsia="仿宋" w:cs="仿宋_GB2312"/>
                <w:sz w:val="32"/>
                <w:szCs w:val="32"/>
                <w:shd w:val="clear" w:color="auto" w:fill="FFFFFF"/>
              </w:rPr>
              <w:t>3</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A</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bl>
    <w:p>
      <w:pPr>
        <w:widowControl/>
        <w:adjustRightInd w:val="0"/>
        <w:snapToGrid w:val="0"/>
        <w:spacing w:line="264" w:lineRule="auto"/>
        <w:ind w:left="570" w:leftChars="43" w:hanging="480" w:hangingChars="15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注：当样品损坏，不能进行后续项目的检验时，不再进行后续项目的检验。</w:t>
      </w:r>
    </w:p>
    <w:p>
      <w:pPr>
        <w:widowControl/>
        <w:adjustRightInd w:val="0"/>
        <w:snapToGrid w:val="0"/>
        <w:spacing w:line="264" w:lineRule="auto"/>
        <w:ind w:firstLine="640" w:firstLineChars="20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表2.电动喷雾器（背负式电动喷雾器）检验项目</w:t>
      </w:r>
    </w:p>
    <w:tbl>
      <w:tblPr>
        <w:tblStyle w:val="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687"/>
        <w:gridCol w:w="2976"/>
        <w:gridCol w:w="1276"/>
        <w:gridCol w:w="125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blHeader/>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序号</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检验项目</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标准条款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不合格类别</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项目设定</w:t>
            </w:r>
          </w:p>
        </w:tc>
        <w:tc>
          <w:tcPr>
            <w:tcW w:w="8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标牌和标志</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使用说明书</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装配质量</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外观质量</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背带</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7</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绝缘性能</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A</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8</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背负式电动喷雾机（器）总质量</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9</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药液箱</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5.3.6.1、5.3.6.2、5.3.6.3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10</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喷雾性能</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A</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密封性能</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5</w:t>
            </w:r>
            <w:r>
              <w:rPr>
                <w:rFonts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rPr>
              <w:t>1</w:t>
            </w:r>
            <w:r>
              <w:rPr>
                <w:rFonts w:ascii="仿宋" w:hAnsi="仿宋" w:eastAsia="仿宋" w:cs="仿宋_GB2312"/>
                <w:sz w:val="32"/>
                <w:szCs w:val="32"/>
                <w:shd w:val="clear" w:color="auto" w:fill="FFFFFF"/>
              </w:rPr>
              <w:t>.1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A</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12</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液泵过载保护装置</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A</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13</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残留液量</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14</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药液箱盖连接可靠性</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 5.3.6.4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B</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非主要项目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15</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喷射部件耐压性能</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JB/T</w:t>
            </w:r>
            <w:r>
              <w:rPr>
                <w:rFonts w:hint="eastAsia" w:ascii="仿宋" w:hAnsi="仿宋" w:eastAsia="仿宋" w:cs="仿宋_GB2312"/>
                <w:sz w:val="32"/>
                <w:szCs w:val="32"/>
                <w:shd w:val="clear" w:color="auto" w:fill="FFFFFF"/>
              </w:rPr>
              <w:t xml:space="preserve"> 10807-2015</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5.1.2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A</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主要项目</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w:t>
            </w:r>
          </w:p>
        </w:tc>
      </w:tr>
    </w:tbl>
    <w:p>
      <w:pPr>
        <w:widowControl/>
        <w:adjustRightInd w:val="0"/>
        <w:snapToGrid w:val="0"/>
        <w:spacing w:line="264" w:lineRule="auto"/>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注：当样品损坏，不能进行后续项目的检验时，不再进行后续项目的检验。</w:t>
      </w:r>
    </w:p>
    <w:p>
      <w:pPr>
        <w:wordWrap w:val="0"/>
        <w:spacing w:line="360" w:lineRule="auto"/>
        <w:rPr>
          <w:rFonts w:ascii="仿宋" w:hAnsi="仿宋" w:eastAsia="仿宋" w:cs="仿宋_GB2312"/>
          <w:sz w:val="32"/>
          <w:szCs w:val="32"/>
        </w:rPr>
      </w:pPr>
      <w:r>
        <w:rPr>
          <w:rFonts w:ascii="仿宋" w:hAnsi="仿宋" w:eastAsia="仿宋" w:cs="仿宋_GB2312"/>
          <w:b/>
          <w:bCs/>
          <w:sz w:val="32"/>
          <w:szCs w:val="32"/>
        </w:rPr>
        <w:t>6</w:t>
      </w:r>
      <w:r>
        <w:rPr>
          <w:rFonts w:hint="eastAsia" w:ascii="仿宋" w:hAnsi="仿宋" w:eastAsia="仿宋" w:cs="仿宋_GB2312"/>
          <w:b/>
          <w:bCs/>
          <w:sz w:val="32"/>
          <w:szCs w:val="32"/>
        </w:rPr>
        <w:t>、</w:t>
      </w:r>
      <w:r>
        <w:rPr>
          <w:rFonts w:ascii="仿宋" w:hAnsi="仿宋" w:eastAsia="仿宋" w:cs="仿宋_GB2312"/>
          <w:b/>
          <w:bCs/>
          <w:sz w:val="32"/>
          <w:szCs w:val="32"/>
        </w:rPr>
        <w:t>注意事项</w:t>
      </w:r>
    </w:p>
    <w:p>
      <w:pPr>
        <w:wordWrap w:val="0"/>
        <w:spacing w:line="360" w:lineRule="auto"/>
        <w:ind w:firstLine="640" w:firstLineChars="200"/>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被抽样生产者愿意无偿提供样品的，应在抽样单中注明并签章确认。</w:t>
      </w:r>
    </w:p>
    <w:p>
      <w:pPr>
        <w:numPr>
          <w:numId w:val="0"/>
        </w:numPr>
        <w:wordWrap w:val="0"/>
        <w:spacing w:line="360" w:lineRule="auto"/>
        <w:rPr>
          <w:rFonts w:hint="eastAsia" w:eastAsia="仿宋_GB2312" w:cs="仿宋_GB2312"/>
          <w:b/>
          <w:bCs/>
          <w:sz w:val="32"/>
          <w:szCs w:val="32"/>
        </w:rPr>
      </w:pPr>
      <w:r>
        <w:rPr>
          <w:rFonts w:hint="eastAsia" w:eastAsia="仿宋_GB2312" w:cs="仿宋_GB2312"/>
          <w:b/>
          <w:bCs/>
          <w:sz w:val="32"/>
          <w:szCs w:val="32"/>
          <w:lang w:val="en-US" w:eastAsia="zh-CN"/>
        </w:rPr>
        <w:t>7、</w:t>
      </w:r>
      <w:r>
        <w:rPr>
          <w:rFonts w:hint="eastAsia" w:eastAsia="仿宋_GB2312" w:cs="仿宋_GB2312"/>
          <w:b/>
          <w:bCs/>
          <w:sz w:val="32"/>
          <w:szCs w:val="32"/>
        </w:rPr>
        <w:t>抽样单位</w:t>
      </w:r>
      <w:bookmarkStart w:id="7" w:name="_GoBack"/>
      <w:bookmarkEnd w:id="7"/>
    </w:p>
    <w:p>
      <w:pPr>
        <w:wordWrap w:val="0"/>
        <w:spacing w:line="360" w:lineRule="auto"/>
        <w:rPr>
          <w:rFonts w:hint="eastAsia" w:eastAsia="仿宋_GB2312" w:cs="仿宋_GB2312"/>
          <w:sz w:val="32"/>
          <w:szCs w:val="32"/>
        </w:rPr>
      </w:pPr>
      <w:r>
        <w:rPr>
          <w:rFonts w:hint="eastAsia" w:eastAsia="仿宋_GB2312" w:cs="仿宋_GB2312"/>
          <w:b/>
          <w:bCs/>
          <w:sz w:val="32"/>
          <w:szCs w:val="32"/>
        </w:rPr>
        <w:t xml:space="preserve">    </w:t>
      </w:r>
      <w:r>
        <w:rPr>
          <w:rFonts w:hint="eastAsia" w:eastAsia="仿宋_GB2312" w:cs="仿宋_GB2312"/>
          <w:sz w:val="32"/>
          <w:szCs w:val="32"/>
        </w:rPr>
        <w:t>台州市路桥区产品质量检验所（台州市路桥区珠光街199号）；0576-82908088。</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439A28"/>
    <w:multiLevelType w:val="singleLevel"/>
    <w:tmpl w:val="79439A28"/>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5B"/>
    <w:rsid w:val="00042D32"/>
    <w:rsid w:val="000820A9"/>
    <w:rsid w:val="000912AB"/>
    <w:rsid w:val="000B5ED3"/>
    <w:rsid w:val="00120DA1"/>
    <w:rsid w:val="00176273"/>
    <w:rsid w:val="001D2904"/>
    <w:rsid w:val="001E67CD"/>
    <w:rsid w:val="00224714"/>
    <w:rsid w:val="00271E11"/>
    <w:rsid w:val="002B63CC"/>
    <w:rsid w:val="002F0BE6"/>
    <w:rsid w:val="003054B9"/>
    <w:rsid w:val="00312DB9"/>
    <w:rsid w:val="0031576C"/>
    <w:rsid w:val="003251CD"/>
    <w:rsid w:val="00345D25"/>
    <w:rsid w:val="003B12B1"/>
    <w:rsid w:val="003B7048"/>
    <w:rsid w:val="00404321"/>
    <w:rsid w:val="004172C4"/>
    <w:rsid w:val="00420DB5"/>
    <w:rsid w:val="00454ED3"/>
    <w:rsid w:val="00467E5F"/>
    <w:rsid w:val="004C131D"/>
    <w:rsid w:val="004C27E9"/>
    <w:rsid w:val="005A247B"/>
    <w:rsid w:val="005A69E3"/>
    <w:rsid w:val="00666538"/>
    <w:rsid w:val="006D03AB"/>
    <w:rsid w:val="007352A6"/>
    <w:rsid w:val="00852DA1"/>
    <w:rsid w:val="00855344"/>
    <w:rsid w:val="008E0593"/>
    <w:rsid w:val="00920BEE"/>
    <w:rsid w:val="00987239"/>
    <w:rsid w:val="009B07DC"/>
    <w:rsid w:val="009D2199"/>
    <w:rsid w:val="00A12056"/>
    <w:rsid w:val="00A269BE"/>
    <w:rsid w:val="00A84A30"/>
    <w:rsid w:val="00AA5568"/>
    <w:rsid w:val="00AB6036"/>
    <w:rsid w:val="00AC63B8"/>
    <w:rsid w:val="00AE0775"/>
    <w:rsid w:val="00B16C2C"/>
    <w:rsid w:val="00B30F16"/>
    <w:rsid w:val="00B3525B"/>
    <w:rsid w:val="00BA237D"/>
    <w:rsid w:val="00BF42BF"/>
    <w:rsid w:val="00C252FC"/>
    <w:rsid w:val="00C77FC8"/>
    <w:rsid w:val="00C87C72"/>
    <w:rsid w:val="00D22161"/>
    <w:rsid w:val="00D32566"/>
    <w:rsid w:val="00D33DFB"/>
    <w:rsid w:val="00D45071"/>
    <w:rsid w:val="00DE08E1"/>
    <w:rsid w:val="00F45693"/>
    <w:rsid w:val="00F9148F"/>
    <w:rsid w:val="04073D80"/>
    <w:rsid w:val="1EF543DC"/>
    <w:rsid w:val="222D12A6"/>
    <w:rsid w:val="5FBB3DF3"/>
    <w:rsid w:val="63A429A5"/>
    <w:rsid w:val="7AB7B8C4"/>
    <w:rsid w:val="B16D3FF1"/>
    <w:rsid w:val="F6F98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lock Text"/>
    <w:basedOn w:val="1"/>
    <w:qFormat/>
    <w:uiPriority w:val="0"/>
    <w:pPr>
      <w:spacing w:line="280" w:lineRule="exact"/>
      <w:ind w:left="-73" w:leftChars="-35" w:right="-73" w:rightChars="-35"/>
    </w:pPr>
    <w:rPr>
      <w:sz w:val="18"/>
      <w:szCs w:val="20"/>
    </w:rPr>
  </w:style>
  <w:style w:type="paragraph" w:styleId="5">
    <w:name w:val="Plain Text"/>
    <w:basedOn w:val="1"/>
    <w:link w:val="14"/>
    <w:qFormat/>
    <w:uiPriority w:val="0"/>
    <w:rPr>
      <w:rFonts w:ascii="宋体" w:hAnsi="Courier New"/>
    </w:rPr>
  </w:style>
  <w:style w:type="paragraph" w:styleId="6">
    <w:name w:val="Balloon Text"/>
    <w:basedOn w:val="1"/>
    <w:link w:val="16"/>
    <w:qFormat/>
    <w:uiPriority w:val="0"/>
    <w:rPr>
      <w:rFonts w:asciiTheme="minorHAnsi" w:hAnsiTheme="minorHAnsi" w:eastAsiaTheme="minorEastAsia" w:cstheme="minorBidi"/>
      <w:sz w:val="18"/>
      <w:szCs w:val="18"/>
    </w:rPr>
  </w:style>
  <w:style w:type="paragraph" w:styleId="7">
    <w:name w:val="footer"/>
    <w:basedOn w:val="1"/>
    <w:link w:val="12"/>
    <w:unhideWhenUsed/>
    <w:qFormat/>
    <w:uiPriority w:val="0"/>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0"/>
    <w:rPr>
      <w:sz w:val="18"/>
      <w:szCs w:val="18"/>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character" w:customStyle="1" w:styleId="14">
    <w:name w:val="纯文本 字符"/>
    <w:basedOn w:val="10"/>
    <w:link w:val="5"/>
    <w:qFormat/>
    <w:uiPriority w:val="0"/>
    <w:rPr>
      <w:rFonts w:ascii="宋体" w:hAnsi="Courier New" w:eastAsia="宋体" w:cs="Times New Roman"/>
      <w:szCs w:val="21"/>
    </w:rPr>
  </w:style>
  <w:style w:type="paragraph" w:customStyle="1" w:styleId="15">
    <w:name w:val="p17"/>
    <w:basedOn w:val="1"/>
    <w:qFormat/>
    <w:uiPriority w:val="0"/>
    <w:pPr>
      <w:widowControl/>
    </w:pPr>
    <w:rPr>
      <w:color w:val="000000"/>
      <w:kern w:val="0"/>
    </w:rPr>
  </w:style>
  <w:style w:type="character" w:customStyle="1" w:styleId="16">
    <w:name w:val="批注框文本 字符"/>
    <w:link w:val="6"/>
    <w:qFormat/>
    <w:uiPriority w:val="0"/>
    <w:rPr>
      <w:sz w:val="18"/>
      <w:szCs w:val="18"/>
    </w:rPr>
  </w:style>
  <w:style w:type="character" w:customStyle="1" w:styleId="17">
    <w:name w:val="批注框文本 Char1"/>
    <w:basedOn w:val="10"/>
    <w:semiHidden/>
    <w:qFormat/>
    <w:uiPriority w:val="99"/>
    <w:rPr>
      <w:rFonts w:ascii="Times New Roman" w:hAnsi="Times New Roman" w:eastAsia="宋体" w:cs="Times New Roman"/>
      <w:sz w:val="18"/>
      <w:szCs w:val="18"/>
    </w:rPr>
  </w:style>
  <w:style w:type="character" w:customStyle="1" w:styleId="18">
    <w:name w:val="标题 1 字符"/>
    <w:basedOn w:val="10"/>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3207</Words>
  <Characters>3867</Characters>
  <Lines>31</Lines>
  <Paragraphs>8</Paragraphs>
  <TotalTime>0</TotalTime>
  <ScaleCrop>false</ScaleCrop>
  <LinksUpToDate>false</LinksUpToDate>
  <CharactersWithSpaces>3950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2021-05-31T15:30:00Z</dcterms:created>
  <dc:creator>Linclver</dc:creator>
  <cp:lastModifiedBy>admin1</cp:lastModifiedBy>
  <dcterms:modified xsi:type="dcterms:W3CDTF">2025-05-22T17:42:42Z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KSOTemplateDocerSaveRecord">
    <vt:lpwstr>eyJoZGlkIjoiMjllM2I4NDYzZjJkNGEyNjVjNDRjMGI0MTdlOWYxZDAifQ==</vt:lpwstr>
  </property>
  <property fmtid="{D5CDD505-2E9C-101B-9397-08002B2CF9AE}" pid="4" name="ICV">
    <vt:lpwstr>E22A253624DA4423A85CBD0948561A17_13</vt:lpwstr>
  </property>
</Properties>
</file>