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rPr>
          <w:rFonts w:ascii="仿宋_GB2312" w:eastAsia="仿宋_GB2312" w:cs="宋体"/>
          <w:color w:val="000000"/>
          <w:sz w:val="32"/>
          <w:szCs w:val="32"/>
        </w:rPr>
      </w:pPr>
      <w:bookmarkStart w:id="0" w:name="_Toc16897"/>
      <w:r>
        <w:rPr>
          <w:rFonts w:ascii="仿宋_GB2312" w:eastAsia="仿宋_GB2312" w:cs="宋体" w:hint="eastAsia"/>
          <w:color w:val="000000"/>
          <w:sz w:val="32"/>
          <w:szCs w:val="32"/>
        </w:rPr>
        <w:t>附件</w:t>
      </w:r>
      <w:r>
        <w:rPr>
          <w:rFonts w:ascii="Times New Roman" w:eastAsia="仿宋_GB2312" w:cs="Times New Roman" w:hAnsi="Times New Roman"/>
          <w:color w:val="000000"/>
          <w:sz w:val="32"/>
          <w:szCs w:val="32"/>
        </w:rPr>
        <w:t>1</w:t>
      </w:r>
    </w:p>
    <w:p>
      <w:pPr>
        <w:spacing w:line="600" w:lineRule="exact"/>
        <w:jc w:val="left"/>
        <w:rPr>
          <w:rFonts w:ascii="仿宋_GB2312" w:eastAsia="仿宋_GB2312" w:cs="宋体"/>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after="0" w:line="240" w:lineRule="auto"/>
        <w:ind w:firstLineChars="0" w:firstLine="0"/>
        <w:jc w:val="center"/>
        <w:textAlignment w:val="auto"/>
        <w:rPr>
          <w:rFonts w:ascii="方正大标宋_GBK" w:eastAsia="方正大标宋_GBK" w:cs="方正大标宋_GBK" w:hAnsi="方正小标宋简体" w:hint="eastAsia"/>
          <w:b w:val="0"/>
          <w:bCs w:val="0"/>
          <w:color w:val="000000"/>
          <w:sz w:val="44"/>
          <w:szCs w:val="44"/>
          <w14:textFill>
            <w14:solidFill>
              <w14:srgbClr w14:val="000000"/>
            </w14:solidFill>
          </w14:textFill>
          <w:highlight w:val="auto"/>
        </w:rPr>
      </w:pPr>
      <w:bookmarkEnd w:id="0"/>
      <w:r>
        <w:rPr>
          <w:rFonts w:ascii="方正大标宋_GBK" w:eastAsia="方正大标宋_GBK" w:cs="方正大标宋_GBK" w:hAnsi="方正小标宋简体" w:hint="eastAsia"/>
          <w:b w:val="0"/>
          <w:bCs w:val="0"/>
          <w:color w:val="000000"/>
          <w:sz w:val="44"/>
          <w:szCs w:val="44"/>
          <w14:textFill>
            <w14:solidFill>
              <w14:srgbClr w14:val="000000"/>
            </w14:solidFill>
          </w14:textFill>
          <w:highlight w:val="auto"/>
        </w:rPr>
        <w:t>《温州市城市轨道交通管理办法（试行）》</w:t>
      </w:r>
    </w:p>
    <w:p>
      <w:pPr>
        <w:pStyle w:val="16"/>
        <w:keepNext w:val="0"/>
        <w:keepLines w:val="0"/>
        <w:pageBreakBefore w:val="0"/>
        <w:widowControl w:val="0"/>
        <w:kinsoku/>
        <w:wordWrap/>
        <w:overflowPunct/>
        <w:topLinePunct w:val="0"/>
        <w:autoSpaceDE/>
        <w:autoSpaceDN/>
        <w:bidi w:val="0"/>
        <w:adjustRightInd/>
        <w:snapToGrid/>
        <w:spacing w:after="0" w:line="600" w:lineRule="exact"/>
        <w:ind w:firstLineChars="0" w:firstLine="0"/>
        <w:jc w:val="center"/>
        <w:textAlignment w:val="auto"/>
        <w:rPr>
          <w:rFonts w:eastAsia="楷体_GB2312"/>
          <w:b w:val="0"/>
          <w:bCs w:val="0"/>
          <w:color w:val="000000"/>
          <w:sz w:val="32"/>
          <w:szCs w:val="32"/>
          <w14:textFill>
            <w14:solidFill>
              <w14:srgbClr w14:val="000000"/>
            </w14:solidFill>
          </w14:textFill>
          <w:highlight w:val="auto"/>
        </w:rPr>
      </w:pPr>
      <w:r>
        <w:rPr>
          <w:rFonts w:eastAsia="楷体_GB2312" w:hint="eastAsia"/>
          <w:b w:val="0"/>
          <w:bCs w:val="0"/>
          <w:color w:val="000000"/>
          <w:sz w:val="32"/>
          <w:szCs w:val="32"/>
          <w14:textFill>
            <w14:solidFill>
              <w14:srgbClr w14:val="000000"/>
            </w14:solidFill>
          </w14:textFill>
          <w:highlight w:val="auto"/>
        </w:rPr>
        <w:t>（修正草案</w:t>
      </w:r>
      <w:r>
        <w:rPr>
          <w:rFonts w:eastAsia="楷体_GB2312"/>
          <w:b w:val="0"/>
          <w:bCs w:val="0"/>
          <w:color w:val="000000"/>
          <w:sz w:val="32"/>
          <w:szCs w:val="32"/>
          <w14:textFill>
            <w14:solidFill>
              <w14:srgbClr w14:val="000000"/>
            </w14:solidFill>
          </w14:textFill>
          <w:highlight w:val="auto"/>
        </w:rPr>
        <w:t>送审</w:t>
      </w:r>
      <w:r>
        <w:rPr>
          <w:rFonts w:eastAsia="楷体_GB2312" w:hint="eastAsia"/>
          <w:b w:val="0"/>
          <w:bCs w:val="0"/>
          <w:color w:val="000000"/>
          <w:sz w:val="32"/>
          <w:szCs w:val="32"/>
          <w14:textFill>
            <w14:solidFill>
              <w14:srgbClr w14:val="000000"/>
            </w14:solidFill>
          </w14:textFill>
          <w:highlight w:val="auto"/>
        </w:rPr>
        <w:t>稿）</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b w:val="0"/>
          <w:bCs w:val="0"/>
          <w:color w:val="000000"/>
          <w:sz w:val="32"/>
          <w:szCs w:val="32"/>
          <w14:textFill>
            <w14:solidFill>
              <w14:srgbClr w14:val="000000"/>
            </w14:solidFill>
          </w14:textFill>
          <w:lang w:val="en-US" w:eastAsia="zh-CN"/>
          <w:highlight w:val="auto"/>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lang w:val="en-US" w:eastAsia="zh-CN"/>
          <w:highlight w:val="auto"/>
        </w:rPr>
      </w:pPr>
      <w:r>
        <w:rPr>
          <w:rFonts w:ascii="仿宋_GB2312" w:eastAsia="仿宋_GB2312" w:hAnsi="黑体" w:hint="eastAsia"/>
          <w:b w:val="0"/>
          <w:bCs w:val="0"/>
          <w:sz w:val="32"/>
          <w:szCs w:val="32"/>
          <w:lang w:val="en-US" w:eastAsia="zh-CN"/>
          <w:highlight w:val="auto"/>
        </w:rPr>
        <w:t>一、将第四条第二款修改为</w:t>
      </w:r>
      <w:r>
        <w:rPr>
          <w:rFonts w:ascii="仿宋_GB2312" w:eastAsia="仿宋_GB2312" w:hAnsi="黑体"/>
          <w:b w:val="0"/>
          <w:bCs w:val="0"/>
          <w:sz w:val="32"/>
          <w:szCs w:val="32"/>
          <w:lang w:val="en-US" w:eastAsia="zh-CN"/>
          <w:highlight w:val="auto"/>
        </w:rPr>
        <w:t>：</w:t>
      </w:r>
      <w:r>
        <w:rPr>
          <w:rFonts w:ascii="仿宋_GB2312" w:eastAsia="仿宋_GB2312" w:hAnsi="黑体" w:hint="eastAsia"/>
          <w:b w:val="0"/>
          <w:bCs w:val="0"/>
          <w:sz w:val="32"/>
          <w:szCs w:val="32"/>
          <w:lang w:val="en-US" w:eastAsia="zh-CN"/>
          <w:highlight w:val="auto"/>
        </w:rPr>
        <w:t>“城市轨道交通沿线的县（市、区）人民政府（含功能区管理机构，下同）应当协助做好本辖区内城市轨道交通规划、建设、运营等相关工作，县（市）人民政府确定一个行政部门具体实施城市轨道交通建设期、运营期保护区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lang w:eastAsia="zh-CN"/>
          <w:highlight w:val="auto"/>
        </w:rPr>
      </w:pPr>
      <w:r>
        <w:rPr>
          <w:rFonts w:ascii="仿宋_GB2312" w:eastAsia="仿宋_GB2312" w:hAnsi="黑体" w:hint="eastAsia"/>
          <w:b w:val="0"/>
          <w:bCs w:val="0"/>
          <w:sz w:val="32"/>
          <w:szCs w:val="32"/>
          <w:lang w:eastAsia="zh-CN"/>
          <w:highlight w:val="auto"/>
        </w:rPr>
        <w:t>二</w:t>
      </w:r>
      <w:r>
        <w:rPr>
          <w:rFonts w:ascii="仿宋_GB2312" w:eastAsia="仿宋_GB2312" w:hAnsi="黑体" w:hint="eastAsia"/>
          <w:b w:val="0"/>
          <w:bCs w:val="0"/>
          <w:sz w:val="32"/>
          <w:szCs w:val="32"/>
          <w:highlight w:val="auto"/>
        </w:rPr>
        <w:t>、第五条第一款</w:t>
      </w:r>
      <w:r>
        <w:rPr>
          <w:rFonts w:ascii="仿宋_GB2312" w:eastAsia="仿宋_GB2312" w:hAnsi="黑体" w:hint="eastAsia"/>
          <w:b w:val="0"/>
          <w:bCs w:val="0"/>
          <w:sz w:val="32"/>
          <w:szCs w:val="32"/>
          <w:lang w:eastAsia="zh-CN"/>
          <w:highlight w:val="auto"/>
        </w:rPr>
        <w:t>删</w:t>
      </w:r>
      <w:r>
        <w:rPr>
          <w:rFonts w:ascii="仿宋_GB2312" w:eastAsia="仿宋_GB2312" w:hAnsi="黑体"/>
          <w:b w:val="0"/>
          <w:bCs w:val="0"/>
          <w:sz w:val="32"/>
          <w:szCs w:val="32"/>
          <w:lang w:eastAsia="zh-CN"/>
          <w:highlight w:val="auto"/>
        </w:rPr>
        <w:t>除</w:t>
      </w:r>
      <w:r>
        <w:rPr>
          <w:rFonts w:ascii="仿宋_GB2312" w:eastAsia="仿宋_GB2312" w:hAnsi="黑体" w:hint="eastAsia"/>
          <w:b w:val="0"/>
          <w:bCs w:val="0"/>
          <w:sz w:val="32"/>
          <w:szCs w:val="32"/>
          <w:lang w:eastAsia="zh-CN"/>
          <w:highlight w:val="auto"/>
        </w:rPr>
        <w:t>“</w:t>
      </w:r>
      <w:r>
        <w:rPr>
          <w:rFonts w:ascii="仿宋_GB2312" w:eastAsia="仿宋_GB2312" w:hAnsi="黑体" w:hint="eastAsia"/>
          <w:b w:val="0"/>
          <w:bCs w:val="0"/>
          <w:sz w:val="32"/>
          <w:szCs w:val="32"/>
          <w:highlight w:val="auto"/>
        </w:rPr>
        <w:t>市交通运输行政主管部门可以委托城市轨道交通监督管理机构承担日常监督管理工作</w:t>
      </w:r>
      <w:r>
        <w:rPr>
          <w:rFonts w:ascii="仿宋_GB2312" w:eastAsia="仿宋_GB2312" w:hAnsi="黑体" w:hint="eastAsia"/>
          <w:b w:val="0"/>
          <w:bCs w:val="0"/>
          <w:sz w:val="32"/>
          <w:szCs w:val="32"/>
          <w:lang w:eastAsia="zh-CN"/>
          <w:highlight w:val="auto"/>
        </w:rPr>
        <w:t>”</w:t>
      </w:r>
      <w:r>
        <w:rPr>
          <w:rFonts w:ascii="仿宋_GB2312" w:eastAsia="仿宋_GB2312" w:hAnsi="黑体"/>
          <w:b w:val="0"/>
          <w:bCs w:val="0"/>
          <w:sz w:val="32"/>
          <w:szCs w:val="32"/>
          <w:lang w:eastAsia="zh-CN"/>
          <w:highlight w:val="auto"/>
        </w:rPr>
        <w:t>，</w:t>
      </w:r>
      <w:r>
        <w:rPr>
          <w:rFonts w:ascii="仿宋_GB2312" w:eastAsia="仿宋_GB2312" w:hAnsi="黑体" w:hint="eastAsia"/>
          <w:b w:val="0"/>
          <w:bCs w:val="0"/>
          <w:sz w:val="32"/>
          <w:szCs w:val="32"/>
          <w:highlight w:val="auto"/>
        </w:rPr>
        <w:t>修改为</w:t>
      </w:r>
      <w:r>
        <w:rPr>
          <w:rFonts w:ascii="仿宋_GB2312" w:eastAsia="仿宋_GB2312" w:hAnsi="黑体"/>
          <w:b w:val="0"/>
          <w:bCs w:val="0"/>
          <w:sz w:val="32"/>
          <w:szCs w:val="32"/>
          <w:highlight w:val="auto"/>
        </w:rPr>
        <w:t>：</w:t>
      </w:r>
      <w:r>
        <w:rPr>
          <w:rFonts w:ascii="仿宋_GB2312" w:eastAsia="仿宋_GB2312" w:hAnsi="黑体" w:hint="eastAsia"/>
          <w:b w:val="0"/>
          <w:bCs w:val="0"/>
          <w:sz w:val="32"/>
          <w:szCs w:val="32"/>
          <w:highlight w:val="auto"/>
        </w:rPr>
        <w:t>“市交通运输主管部门是本市城市轨道交通行业主管部门。”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lang w:eastAsia="zh-CN"/>
          <w:highlight w:val="auto"/>
        </w:rPr>
        <w:t>三</w:t>
      </w:r>
      <w:r>
        <w:rPr>
          <w:rFonts w:ascii="仿宋_GB2312" w:eastAsia="仿宋_GB2312" w:hAnsi="黑体" w:hint="eastAsia"/>
          <w:b w:val="0"/>
          <w:bCs w:val="0"/>
          <w:sz w:val="32"/>
          <w:szCs w:val="32"/>
          <w:highlight w:val="auto"/>
        </w:rPr>
        <w:t>、在第十七条后增加一条，作为第十八条：“第十八条</w:t>
      </w:r>
      <w:r>
        <w:rPr>
          <w:rFonts w:ascii="仿宋_GB2312" w:eastAsia="仿宋_GB2312" w:hAnsi="黑体" w:hint="eastAsia"/>
          <w:b w:val="0"/>
          <w:bCs w:val="0"/>
          <w:sz w:val="32"/>
          <w:szCs w:val="32"/>
          <w:lang w:val="en-US" w:eastAsia="zh-CN"/>
          <w:highlight w:val="auto"/>
        </w:rPr>
        <w:t xml:space="preserve"> </w:t>
      </w:r>
      <w:r>
        <w:rPr>
          <w:rFonts w:ascii="仿宋_GB2312" w:eastAsia="仿宋_GB2312" w:hAnsi="黑体"/>
          <w:b w:val="0"/>
          <w:bCs w:val="0"/>
          <w:sz w:val="32"/>
          <w:szCs w:val="32"/>
          <w:lang w:val="en-US" w:eastAsia="zh-CN"/>
          <w:highlight w:val="auto"/>
        </w:rPr>
        <w:t xml:space="preserve"> </w:t>
      </w:r>
      <w:r>
        <w:rPr>
          <w:rFonts w:ascii="仿宋_GB2312" w:eastAsia="仿宋_GB2312" w:hAnsi="黑体" w:hint="eastAsia"/>
          <w:b w:val="0"/>
          <w:bCs w:val="0"/>
          <w:sz w:val="32"/>
          <w:szCs w:val="32"/>
          <w:highlight w:val="auto"/>
        </w:rPr>
        <w:t>城市轨道交通两侧沿线用地规划或现状功能为噪声敏感建筑物的，城市轨道交通建设项目应严格按照环境影响评价的相关环保要求，采取降低、减少城市轨道交通噪声及振动影响的措施；在城市轨道交通线路项目环境影响评价通过后，两侧规划新增并建设噪声敏感建筑物的，地块建设单位应当采取降低、减少城市轨道交通噪声及振动影响的措施，地块建设项目应当符合民用建筑隔声设计相关标准和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eastAsia="仿宋_GB2312"/>
          <w:b w:val="0"/>
          <w:bCs w:val="0"/>
          <w:lang w:val="en-US" w:eastAsia="zh-CN"/>
          <w:highlight w:val="auto"/>
        </w:rPr>
      </w:pPr>
      <w:r>
        <w:rPr>
          <w:rFonts w:ascii="仿宋_GB2312" w:eastAsia="仿宋_GB2312" w:hAnsi="黑体" w:hint="eastAsia"/>
          <w:b w:val="0"/>
          <w:bCs w:val="0"/>
          <w:sz w:val="32"/>
          <w:szCs w:val="32"/>
          <w:lang w:eastAsia="zh-CN"/>
          <w:highlight w:val="auto"/>
        </w:rPr>
        <w:t>四</w:t>
      </w:r>
      <w:r>
        <w:rPr>
          <w:rFonts w:ascii="仿宋_GB2312" w:eastAsia="仿宋_GB2312" w:hAnsi="黑体" w:hint="eastAsia"/>
          <w:b w:val="0"/>
          <w:bCs w:val="0"/>
          <w:sz w:val="32"/>
          <w:szCs w:val="32"/>
          <w:highlight w:val="auto"/>
        </w:rPr>
        <w:t>、将第十九条</w:t>
      </w:r>
      <w:r>
        <w:rPr>
          <w:rFonts w:ascii="仿宋_GB2312" w:eastAsia="仿宋_GB2312" w:hAnsi="黑体"/>
          <w:b w:val="0"/>
          <w:bCs w:val="0"/>
          <w:sz w:val="32"/>
          <w:szCs w:val="32"/>
          <w:highlight w:val="auto"/>
        </w:rPr>
        <w:t>调整</w:t>
      </w:r>
      <w:r>
        <w:rPr>
          <w:rFonts w:ascii="仿宋_GB2312" w:eastAsia="仿宋_GB2312" w:hAnsi="黑体" w:hint="eastAsia"/>
          <w:b w:val="0"/>
          <w:bCs w:val="0"/>
          <w:sz w:val="32"/>
          <w:szCs w:val="32"/>
          <w:highlight w:val="auto"/>
        </w:rPr>
        <w:t>为第二十条，</w:t>
      </w:r>
      <w:r>
        <w:rPr>
          <w:rFonts w:ascii="仿宋_GB2312" w:eastAsia="仿宋_GB2312" w:hAnsi="黑体"/>
          <w:b w:val="0"/>
          <w:bCs w:val="0"/>
          <w:sz w:val="32"/>
          <w:szCs w:val="32"/>
          <w:highlight w:val="auto"/>
        </w:rPr>
        <w:t>并</w:t>
      </w:r>
      <w:r>
        <w:rPr>
          <w:rFonts w:ascii="仿宋_GB2312" w:eastAsia="仿宋_GB2312" w:hAnsi="黑体" w:hint="eastAsia"/>
          <w:b w:val="0"/>
          <w:bCs w:val="0"/>
          <w:sz w:val="32"/>
          <w:szCs w:val="32"/>
          <w:highlight w:val="auto"/>
        </w:rPr>
        <w:t>增加一款作为第三款</w:t>
      </w:r>
      <w:r>
        <w:rPr>
          <w:rFonts w:ascii="仿宋_GB2312" w:eastAsia="仿宋_GB2312" w:hAnsi="黑体"/>
          <w:b w:val="0"/>
          <w:bCs w:val="0"/>
          <w:sz w:val="32"/>
          <w:szCs w:val="32"/>
          <w:highlight w:val="auto"/>
        </w:rPr>
        <w:t>：</w:t>
      </w:r>
      <w:r>
        <w:rPr>
          <w:rFonts w:ascii="仿宋_GB2312" w:eastAsia="仿宋_GB2312" w:hAnsi="黑体" w:hint="eastAsia"/>
          <w:b w:val="0"/>
          <w:bCs w:val="0"/>
          <w:sz w:val="32"/>
          <w:szCs w:val="32"/>
          <w:highlight w:val="auto"/>
        </w:rPr>
        <w:t>“市交通运输主管部门可以根据实际情况，制定城市轨道交通建设管理相关规定。”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b w:val="0"/>
          <w:bCs w:val="0"/>
          <w:sz w:val="32"/>
          <w:szCs w:val="32"/>
          <w:lang w:val="en-US" w:eastAsia="zh-CN"/>
          <w:highlight w:val="auto"/>
        </w:rPr>
      </w:pPr>
      <w:r>
        <w:rPr>
          <w:rFonts w:ascii="仿宋_GB2312" w:eastAsia="仿宋_GB2312" w:hAnsi="黑体" w:hint="eastAsia"/>
          <w:b w:val="0"/>
          <w:bCs w:val="0"/>
          <w:sz w:val="32"/>
          <w:szCs w:val="32"/>
          <w:lang w:eastAsia="zh-CN"/>
          <w:highlight w:val="auto"/>
        </w:rPr>
        <w:t>五、将</w:t>
      </w:r>
      <w:r>
        <w:rPr>
          <w:rFonts w:ascii="仿宋_GB2312" w:eastAsia="仿宋_GB2312" w:hAnsi="黑体"/>
          <w:b w:val="0"/>
          <w:bCs w:val="0"/>
          <w:sz w:val="32"/>
          <w:szCs w:val="32"/>
          <w:lang w:eastAsia="zh-CN"/>
          <w:highlight w:val="auto"/>
        </w:rPr>
        <w:t>第</w:t>
      </w:r>
      <w:r>
        <w:rPr>
          <w:rFonts w:ascii="仿宋_GB2312" w:eastAsia="仿宋_GB2312" w:hAnsi="黑体" w:hint="eastAsia"/>
          <w:b w:val="0"/>
          <w:bCs w:val="0"/>
          <w:sz w:val="32"/>
          <w:szCs w:val="32"/>
          <w:lang w:eastAsia="zh-CN"/>
          <w:highlight w:val="auto"/>
        </w:rPr>
        <w:t>二十二条</w:t>
      </w:r>
      <w:r>
        <w:rPr>
          <w:rFonts w:ascii="仿宋_GB2312" w:eastAsia="仿宋_GB2312" w:hAnsi="黑体" w:hint="eastAsia"/>
          <w:b w:val="0"/>
          <w:bCs w:val="0"/>
          <w:sz w:val="32"/>
          <w:szCs w:val="32"/>
          <w:lang w:val="en-US" w:eastAsia="zh-CN"/>
          <w:highlight w:val="auto"/>
        </w:rPr>
        <w:t>修改为</w:t>
      </w:r>
      <w:r>
        <w:rPr>
          <w:rFonts w:ascii="仿宋_GB2312" w:eastAsia="仿宋_GB2312" w:hAnsi="黑体"/>
          <w:b w:val="0"/>
          <w:bCs w:val="0"/>
          <w:sz w:val="32"/>
          <w:szCs w:val="32"/>
          <w:lang w:val="en-US" w:eastAsia="zh-CN"/>
          <w:highlight w:val="auto"/>
        </w:rPr>
        <w:t>：</w:t>
      </w:r>
      <w:r>
        <w:rPr>
          <w:rFonts w:ascii="仿宋_GB2312" w:eastAsia="仿宋_GB2312" w:hAnsi="黑体" w:hint="eastAsia"/>
          <w:b w:val="0"/>
          <w:bCs w:val="0"/>
          <w:sz w:val="32"/>
          <w:szCs w:val="32"/>
          <w:lang w:val="en-US" w:eastAsia="zh-CN"/>
          <w:highlight w:val="auto"/>
        </w:rPr>
        <w:t>“第二十三条</w:t>
      </w:r>
      <w:r>
        <w:rPr>
          <w:rFonts w:ascii="仿宋_GB2312" w:eastAsia="仿宋_GB2312" w:hAnsi="黑体"/>
          <w:b w:val="0"/>
          <w:bCs w:val="0"/>
          <w:sz w:val="32"/>
          <w:szCs w:val="32"/>
          <w:lang w:val="en-US" w:eastAsia="zh-CN"/>
          <w:highlight w:val="auto"/>
        </w:rPr>
        <w:t xml:space="preserve">  </w:t>
      </w:r>
      <w:r>
        <w:rPr>
          <w:rFonts w:ascii="仿宋_GB2312" w:eastAsia="仿宋_GB2312" w:hAnsi="黑体" w:hint="eastAsia"/>
          <w:b w:val="0"/>
          <w:bCs w:val="0"/>
          <w:sz w:val="32"/>
          <w:szCs w:val="32"/>
          <w:lang w:val="en-US" w:eastAsia="zh-CN"/>
          <w:highlight w:val="auto"/>
        </w:rPr>
        <w:t>城市轨道交通在建、已建线路特别保护区内禁止进行建设活动，但交通、市政、水利、绿化、环卫、人防等设施的改（扩）建工程与城市轨道交通整体设计、融合建设的连通工程以及高架线路桥下空间保护性利用项目除外。</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Autospacing="0" w:line="560" w:lineRule="exact"/>
        <w:ind w:right="0" w:firstLineChars="200" w:firstLine="640"/>
        <w:jc w:val="both"/>
        <w:textAlignment w:val="auto"/>
        <w:rPr>
          <w:rFonts w:ascii="仿宋_GB2312" w:eastAsia="仿宋_GB2312" w:cs="仿宋_GB2312" w:hAnsi="仿宋_GB2312" w:hint="eastAsia"/>
          <w:i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i w:val="0"/>
          <w:caps w:val="0"/>
          <w:smallCaps w:val="0"/>
          <w:color w:val="000000"/>
          <w:spacing w:val="0"/>
          <w:kern w:val="0"/>
          <w:sz w:val="32"/>
          <w:szCs w:val="32"/>
          <w:u w:val="none"/>
          <w:shd w:val="clear" w:color="auto" w:fill="FFFFFF"/>
          <w14:textFill>
            <w14:solidFill>
              <w14:srgbClr w14:val="000000"/>
            </w14:solidFill>
          </w14:textFill>
          <w:lang w:val="en-US" w:eastAsia="zh-CN"/>
        </w:rPr>
        <w:t>作业单位或者个人</w:t>
      </w: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在城市轨道交通在建、已建线路控制保护区内从事下列施工作业活动的，有关行政机关在办理相关手续时应当书面征求城市轨道交通建设单位、运营单位意见：</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Autospacing="0" w:line="560" w:lineRule="exact"/>
        <w:ind w:left="0" w:right="0" w:firstLineChars="181" w:firstLine="579"/>
        <w:jc w:val="both"/>
        <w:textAlignment w:val="auto"/>
        <w:rPr>
          <w:rFonts w:ascii="仿宋_GB2312" w:eastAsia="仿宋_GB2312" w:cs="仿宋_GB2312" w:hAnsi="仿宋_GB2312" w:hint="eastAsia"/>
          <w:i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（一）新建、改建、扩建或者拆除建（构）筑物；</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Autospacing="0" w:line="560" w:lineRule="exact"/>
        <w:ind w:left="0" w:right="0" w:firstLineChars="181" w:firstLine="579"/>
        <w:jc w:val="both"/>
        <w:textAlignment w:val="auto"/>
        <w:rPr>
          <w:rFonts w:ascii="仿宋_GB2312" w:eastAsia="仿宋_GB2312" w:cs="仿宋_GB2312" w:hAnsi="仿宋_GB2312" w:hint="eastAsia"/>
          <w:i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（二）钻探、挖掘、爆破、基坑施工、桩基础施工、地基加固、地下顶进、灌浆、锚杆作业、地面堆卸载；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Autospacing="0" w:line="560" w:lineRule="exact"/>
        <w:ind w:left="0" w:right="0" w:firstLineChars="181" w:firstLine="579"/>
        <w:jc w:val="both"/>
        <w:textAlignment w:val="auto"/>
        <w:rPr>
          <w:rFonts w:ascii="仿宋_GB2312" w:eastAsia="仿宋_GB2312" w:cs="仿宋_GB2312" w:hAnsi="仿宋_GB2312" w:hint="eastAsia"/>
          <w:i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（三）新建塘坝、开挖河道水渠、泄洪排水、打井取水、吹填、驳岸、取土、采石、采砂；</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Autospacing="0" w:line="560" w:lineRule="exact"/>
        <w:ind w:left="0" w:right="0" w:firstLineChars="181" w:firstLine="579"/>
        <w:jc w:val="both"/>
        <w:textAlignment w:val="auto"/>
        <w:rPr>
          <w:rFonts w:ascii="仿宋_GB2312" w:eastAsia="仿宋_GB2312" w:cs="仿宋_GB2312" w:hAnsi="仿宋_GB2312" w:hint="eastAsia"/>
          <w:i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（四）在过江（河、湖）隧道、桥梁周围疏浚清淤、抛锚停靠等活动；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Autospacing="0" w:line="560" w:lineRule="exact"/>
        <w:ind w:left="0" w:right="0" w:firstLineChars="181" w:firstLine="579"/>
        <w:jc w:val="both"/>
        <w:textAlignment w:val="auto"/>
        <w:rPr>
          <w:rFonts w:ascii="仿宋_GB2312" w:eastAsia="仿宋_GB2312" w:cs="仿宋_GB2312" w:hAnsi="仿宋_GB2312" w:hint="eastAsia"/>
          <w:i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（五）埋设、敷设、架设管线（廊）或者跨越、穿越城市轨道交通设施的施工作业；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Autospacing="0" w:line="560" w:lineRule="exact"/>
        <w:ind w:left="0" w:right="0" w:firstLineChars="181" w:firstLine="579"/>
        <w:jc w:val="both"/>
        <w:textAlignment w:val="auto"/>
        <w:rPr>
          <w:rFonts w:ascii="仿宋_GB2312" w:eastAsia="仿宋_GB2312" w:cs="仿宋_GB2312" w:hAnsi="仿宋_GB2312" w:hint="eastAsia"/>
          <w:i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（六）大面积增加或者减少建（构）筑物荷载的活动；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Autospacing="0" w:line="560" w:lineRule="exact"/>
        <w:ind w:left="0" w:right="0" w:firstLineChars="181" w:firstLine="579"/>
        <w:jc w:val="both"/>
        <w:textAlignment w:val="auto"/>
        <w:rPr>
          <w:rFonts w:ascii="仿宋_GB2312" w:eastAsia="仿宋_GB2312" w:cs="仿宋_GB2312" w:hAnsi="仿宋_GB2312" w:hint="eastAsia"/>
          <w:i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（七）电焊、气焊和使用明火等具有火灾危险作业；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Autospacing="0" w:line="560" w:lineRule="exact"/>
        <w:ind w:left="0" w:right="0" w:firstLineChars="181" w:firstLine="579"/>
        <w:jc w:val="both"/>
        <w:textAlignment w:val="auto"/>
        <w:rPr>
          <w:rFonts w:ascii="仿宋_GB2312" w:eastAsia="仿宋_GB2312" w:cs="仿宋_GB2312" w:hAnsi="仿宋_GB2312" w:hint="eastAsia"/>
          <w:i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（八）可能影响城市轨道交通设施安全的其他施工作业。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lang w:eastAsia="zh-CN"/>
          <w:highlight w:val="auto"/>
        </w:rPr>
      </w:pPr>
      <w:r>
        <w:rPr>
          <w:rFonts w:ascii="仿宋_GB2312" w:eastAsia="仿宋_GB2312" w:cs="仿宋_GB2312" w:hAnsi="仿宋_GB2312" w:hint="eastAsia"/>
          <w:i w:val="0"/>
          <w:caps w:val="0"/>
          <w:smallCaps w:val="0"/>
          <w:color w:val="000000"/>
          <w:spacing w:val="0"/>
          <w:kern w:val="0"/>
          <w:sz w:val="32"/>
          <w:szCs w:val="32"/>
          <w:shd w:val="clear" w:color="auto" w:fill="FFFFFF"/>
          <w14:textFill>
            <w14:solidFill>
              <w14:srgbClr w14:val="000000"/>
            </w14:solidFill>
          </w14:textFill>
          <w:lang w:val="en-US" w:eastAsia="zh-CN"/>
        </w:rPr>
        <w:t>城市轨道交通建设单位、运营单位应当在接到书面征求意见函后五个工作日内作出是否同意作业的书面答复，专家论证或者安全评估的时间不计入书面答复期限。</w:t>
      </w:r>
      <w:r>
        <w:rPr>
          <w:rFonts w:ascii="仿宋_GB2312" w:eastAsia="仿宋_GB2312" w:hAnsi="黑体" w:hint="eastAsia"/>
          <w:b w:val="0"/>
          <w:bCs w:val="0"/>
          <w:sz w:val="32"/>
          <w:szCs w:val="32"/>
          <w:lang w:val="en-US" w:eastAsia="zh-CN"/>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lang w:eastAsia="zh-CN"/>
          <w:highlight w:val="auto"/>
        </w:rPr>
        <w:t>六</w:t>
      </w:r>
      <w:r>
        <w:rPr>
          <w:rFonts w:ascii="仿宋_GB2312" w:eastAsia="仿宋_GB2312" w:hAnsi="黑体" w:hint="eastAsia"/>
          <w:b w:val="0"/>
          <w:bCs w:val="0"/>
          <w:sz w:val="32"/>
          <w:szCs w:val="32"/>
          <w:highlight w:val="auto"/>
        </w:rPr>
        <w:t>、将第二十三条修改为</w:t>
      </w:r>
      <w:r>
        <w:rPr>
          <w:rFonts w:ascii="仿宋_GB2312" w:eastAsia="仿宋_GB2312" w:hAnsi="黑体"/>
          <w:b w:val="0"/>
          <w:bCs w:val="0"/>
          <w:sz w:val="32"/>
          <w:szCs w:val="32"/>
          <w:highlight w:val="auto"/>
        </w:rPr>
        <w:t>：</w:t>
      </w:r>
      <w:r>
        <w:rPr>
          <w:rFonts w:ascii="仿宋_GB2312" w:eastAsia="仿宋_GB2312" w:hAnsi="黑体" w:hint="eastAsia"/>
          <w:b w:val="0"/>
          <w:bCs w:val="0"/>
          <w:sz w:val="32"/>
          <w:szCs w:val="32"/>
          <w:lang w:eastAsia="zh-CN"/>
          <w:highlight w:val="auto"/>
        </w:rPr>
        <w:t>“</w:t>
      </w:r>
      <w:r>
        <w:rPr>
          <w:rFonts w:ascii="仿宋_GB2312" w:eastAsia="仿宋_GB2312" w:hAnsi="黑体" w:hint="eastAsia"/>
          <w:b w:val="0"/>
          <w:bCs w:val="0"/>
          <w:sz w:val="32"/>
          <w:szCs w:val="32"/>
          <w:highlight w:val="auto"/>
        </w:rPr>
        <w:t>第二十四条</w:t>
      </w:r>
      <w:r>
        <w:rPr>
          <w:rFonts w:ascii="仿宋_GB2312" w:eastAsia="仿宋_GB2312" w:hAnsi="黑体" w:hint="eastAsia"/>
          <w:b w:val="0"/>
          <w:bCs w:val="0"/>
          <w:sz w:val="32"/>
          <w:szCs w:val="32"/>
          <w:lang w:val="en-US" w:eastAsia="zh-CN"/>
          <w:highlight w:val="auto"/>
        </w:rPr>
        <w:t xml:space="preserve"> </w:t>
      </w:r>
      <w:r>
        <w:rPr>
          <w:rFonts w:ascii="仿宋_GB2312" w:eastAsia="仿宋_GB2312" w:hAnsi="黑体"/>
          <w:b w:val="0"/>
          <w:bCs w:val="0"/>
          <w:sz w:val="32"/>
          <w:szCs w:val="32"/>
          <w:lang w:val="en-US" w:eastAsia="zh-CN"/>
          <w:highlight w:val="auto"/>
        </w:rPr>
        <w:t xml:space="preserve"> </w:t>
      </w:r>
      <w:r>
        <w:rPr>
          <w:rFonts w:ascii="仿宋_GB2312" w:eastAsia="仿宋_GB2312" w:hAnsi="黑体" w:hint="eastAsia"/>
          <w:b w:val="0"/>
          <w:bCs w:val="0"/>
          <w:sz w:val="32"/>
          <w:szCs w:val="32"/>
          <w:highlight w:val="auto"/>
        </w:rPr>
        <w:t>从事本办法第二十三条规定的施工作业活动的，作业单位或者个人应当制定城市轨道交通安全防护方案；施工作业活动对城市轨道交通安全有较大影响的，作业单位或者个人应当委托具备相应资质的第三方机构进行安全评估，并在施工作业前委托具备相应资质的第三方机构对受影响区域的城市轨道交通设施进行监测。城市轨道交通安全防护方案应当经建设单位、运营单位认可。</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highlight w:val="auto"/>
        </w:rPr>
        <w:t>作业单位或者个人在施工作业前，应当与建设单位、运营单位签订安全作业协议，接受建设单位、运营单位的监测监控，落实城市轨道交通安全防护措施，承担监测监控、专家论证或者安全评估等相关费用。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lang w:eastAsia="zh-CN"/>
          <w:highlight w:val="auto"/>
        </w:rPr>
      </w:pPr>
      <w:r>
        <w:rPr>
          <w:rFonts w:ascii="仿宋_GB2312" w:eastAsia="仿宋_GB2312" w:hAnsi="黑体" w:hint="eastAsia"/>
          <w:b w:val="0"/>
          <w:bCs w:val="0"/>
          <w:sz w:val="32"/>
          <w:szCs w:val="32"/>
          <w:highlight w:val="auto"/>
        </w:rPr>
        <w:t>作业单位或者个人应当严格按照经建设单位、运营单位认可的城市轨道交通安全防护方案施工作业。</w:t>
      </w:r>
      <w:r>
        <w:rPr>
          <w:rFonts w:ascii="仿宋_GB2312" w:eastAsia="仿宋_GB2312" w:hAnsi="黑体" w:hint="eastAsia"/>
          <w:b w:val="0"/>
          <w:bCs w:val="0"/>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lang w:eastAsia="zh-CN"/>
          <w:highlight w:val="auto"/>
        </w:rPr>
      </w:pPr>
      <w:r>
        <w:rPr>
          <w:rFonts w:ascii="仿宋_GB2312" w:eastAsia="仿宋_GB2312" w:hAnsi="黑体" w:hint="eastAsia"/>
          <w:b w:val="0"/>
          <w:bCs w:val="0"/>
          <w:sz w:val="32"/>
          <w:szCs w:val="32"/>
          <w:lang w:eastAsia="zh-CN"/>
          <w:highlight w:val="auto"/>
        </w:rPr>
        <w:t>七、将</w:t>
      </w:r>
      <w:r>
        <w:rPr>
          <w:rFonts w:ascii="仿宋_GB2312" w:eastAsia="仿宋_GB2312" w:hAnsi="黑体"/>
          <w:b w:val="0"/>
          <w:bCs w:val="0"/>
          <w:sz w:val="32"/>
          <w:szCs w:val="32"/>
          <w:lang w:eastAsia="zh-CN"/>
          <w:highlight w:val="auto"/>
        </w:rPr>
        <w:t>第</w:t>
      </w:r>
      <w:r>
        <w:rPr>
          <w:rFonts w:ascii="仿宋_GB2312" w:eastAsia="仿宋_GB2312" w:hAnsi="黑体" w:hint="eastAsia"/>
          <w:b w:val="0"/>
          <w:bCs w:val="0"/>
          <w:sz w:val="32"/>
          <w:szCs w:val="32"/>
          <w:lang w:eastAsia="zh-CN"/>
          <w:highlight w:val="auto"/>
        </w:rPr>
        <w:t>三十四条</w:t>
      </w:r>
      <w:r>
        <w:rPr>
          <w:rFonts w:ascii="仿宋_GB2312" w:eastAsia="仿宋_GB2312" w:hAnsi="黑体"/>
          <w:b w:val="0"/>
          <w:bCs w:val="0"/>
          <w:sz w:val="32"/>
          <w:szCs w:val="32"/>
          <w:lang w:eastAsia="zh-CN"/>
          <w:highlight w:val="auto"/>
        </w:rPr>
        <w:t>调整为第三十五条，并将该条第一款第六项</w:t>
      </w:r>
      <w:r>
        <w:rPr>
          <w:rFonts w:ascii="仿宋_GB2312" w:eastAsia="仿宋_GB2312" w:hAnsi="黑体" w:hint="eastAsia"/>
          <w:b w:val="0"/>
          <w:bCs w:val="0"/>
          <w:sz w:val="32"/>
          <w:szCs w:val="32"/>
          <w:lang w:eastAsia="zh-CN"/>
          <w:highlight w:val="auto"/>
        </w:rPr>
        <w:t>修改为：“</w:t>
      </w:r>
      <w:r>
        <w:rPr>
          <w:rFonts w:ascii="仿宋_GB2312" w:eastAsia="仿宋_GB2312" w:cs="仿宋_GB2312" w:hAnsi="仿宋_GB2312"/>
          <w:b w:val="0"/>
          <w:bCs w:val="0"/>
          <w:i w:val="0"/>
          <w:caps w:val="0"/>
          <w:smallCaps w:val="0"/>
          <w:spacing w:val="0"/>
          <w:kern w:val="0"/>
          <w:sz w:val="32"/>
          <w:szCs w:val="32"/>
          <w:shd w:val="clear" w:color="auto" w:fill="FFFFFF"/>
          <w:lang w:val="en-US" w:eastAsia="zh-CN"/>
          <w:highlight w:val="auto"/>
        </w:rPr>
        <w:t>（六）</w:t>
      </w:r>
      <w:r>
        <w:rPr>
          <w:rFonts w:ascii="仿宋_GB2312" w:eastAsia="仿宋_GB2312" w:hAnsi="黑体"/>
          <w:b w:val="0"/>
          <w:bCs w:val="0"/>
          <w:sz w:val="32"/>
          <w:szCs w:val="32"/>
          <w:lang w:val="en-US" w:eastAsia="zh-CN"/>
          <w:highlight w:val="auto"/>
        </w:rPr>
        <w:t>自行车（符合行李规范的除外）、手推车、电动车</w:t>
      </w:r>
      <w:r>
        <w:rPr>
          <w:rFonts w:ascii="仿宋_GB2312" w:eastAsia="仿宋_GB2312" w:hAnsi="黑体" w:hint="eastAsia"/>
          <w:b w:val="0"/>
          <w:bCs w:val="0"/>
          <w:sz w:val="32"/>
          <w:szCs w:val="32"/>
        </w:rPr>
        <w:t>（</w:t>
      </w:r>
      <w:r>
        <w:rPr>
          <w:rFonts w:ascii="仿宋_GB2312" w:eastAsia="仿宋_GB2312" w:hAnsi="黑体" w:hint="eastAsia"/>
          <w:b w:val="0"/>
          <w:bCs w:val="0"/>
          <w:sz w:val="32"/>
          <w:szCs w:val="32"/>
          <w:lang w:eastAsia="zh-CN"/>
        </w:rPr>
        <w:t>合规</w:t>
      </w:r>
      <w:r>
        <w:rPr>
          <w:rFonts w:ascii="仿宋_GB2312" w:eastAsia="仿宋_GB2312" w:hAnsi="黑体" w:hint="eastAsia"/>
          <w:b w:val="0"/>
          <w:bCs w:val="0"/>
          <w:sz w:val="32"/>
          <w:szCs w:val="32"/>
        </w:rPr>
        <w:t>残疾人助力车</w:t>
      </w:r>
      <w:r>
        <w:rPr>
          <w:rFonts w:ascii="仿宋_GB2312" w:eastAsia="仿宋_GB2312" w:hAnsi="黑体"/>
          <w:b w:val="0"/>
          <w:bCs w:val="0"/>
          <w:sz w:val="32"/>
          <w:szCs w:val="32"/>
          <w:lang w:val="en-US" w:eastAsia="zh-CN"/>
        </w:rPr>
        <w:t>除外</w:t>
      </w:r>
      <w:r>
        <w:rPr>
          <w:rFonts w:ascii="仿宋_GB2312" w:eastAsia="仿宋_GB2312" w:hAnsi="黑体" w:hint="eastAsia"/>
          <w:b w:val="0"/>
          <w:bCs w:val="0"/>
          <w:sz w:val="32"/>
          <w:szCs w:val="32"/>
        </w:rPr>
        <w:t>）</w:t>
      </w:r>
      <w:r>
        <w:rPr>
          <w:rFonts w:ascii="仿宋_GB2312" w:eastAsia="仿宋_GB2312" w:hAnsi="黑体"/>
          <w:b w:val="0"/>
          <w:bCs w:val="0"/>
          <w:sz w:val="32"/>
          <w:szCs w:val="32"/>
          <w:lang w:val="en-US" w:eastAsia="zh-CN"/>
        </w:rPr>
        <w:t>、燃油助力车、充气气球等物品</w:t>
      </w:r>
      <w:r>
        <w:rPr>
          <w:rFonts w:ascii="仿宋_GB2312" w:eastAsia="仿宋_GB2312" w:hAnsi="黑体" w:hint="eastAsia"/>
          <w:b w:val="0"/>
          <w:bCs w:val="0"/>
          <w:sz w:val="32"/>
          <w:szCs w:val="32"/>
          <w:lang w:eastAsia="zh-CN"/>
        </w:rPr>
        <w:t>”</w:t>
      </w:r>
      <w:r>
        <w:rPr>
          <w:rFonts w:ascii="仿宋_GB2312" w:eastAsia="仿宋_GB2312" w:hAnsi="黑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lang w:eastAsia="zh-CN"/>
          <w:highlight w:val="auto"/>
        </w:rPr>
        <w:t>八、</w:t>
      </w:r>
      <w:r>
        <w:rPr>
          <w:rFonts w:ascii="仿宋_GB2312" w:eastAsia="仿宋_GB2312" w:hAnsi="黑体" w:hint="eastAsia"/>
          <w:b w:val="0"/>
          <w:bCs w:val="0"/>
          <w:sz w:val="32"/>
          <w:szCs w:val="32"/>
          <w:highlight w:val="auto"/>
        </w:rPr>
        <w:t xml:space="preserve">将第三十五条修改为：“第三十六条 </w:t>
      </w:r>
      <w:r>
        <w:rPr>
          <w:rFonts w:ascii="仿宋_GB2312" w:eastAsia="仿宋_GB2312" w:hAnsi="黑体"/>
          <w:b w:val="0"/>
          <w:bCs w:val="0"/>
          <w:sz w:val="32"/>
          <w:szCs w:val="32"/>
          <w:highlight w:val="auto"/>
        </w:rPr>
        <w:t xml:space="preserve"> </w:t>
      </w:r>
      <w:r>
        <w:rPr>
          <w:rFonts w:ascii="仿宋_GB2312" w:eastAsia="仿宋_GB2312" w:hAnsi="黑体" w:hint="eastAsia"/>
          <w:b w:val="0"/>
          <w:bCs w:val="0"/>
          <w:sz w:val="32"/>
          <w:szCs w:val="32"/>
          <w:highlight w:val="auto"/>
        </w:rPr>
        <w:t>禁止下列影响城市轨道交通公共场所容貌、环境卫生和公共秩序的行为：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rPr>
        <w:t>（一）</w:t>
      </w:r>
      <w:r>
        <w:rPr>
          <w:rFonts w:ascii="仿宋_GB2312" w:eastAsia="仿宋_GB2312" w:hAnsi="黑体" w:hint="eastAsia"/>
          <w:b w:val="0"/>
          <w:bCs w:val="0"/>
          <w:sz w:val="32"/>
          <w:szCs w:val="32"/>
        </w:rPr>
        <w:t>在车站、列车内吸烟，随地吐痰、便溺，乱扔果皮、纸屑、烟蒂、饮料罐、包装物、口香糖等废弃物；</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highlight w:val="auto"/>
        </w:rPr>
        <w:t>（二）</w:t>
      </w:r>
      <w:r>
        <w:rPr>
          <w:rFonts w:ascii="仿宋_GB2312" w:eastAsia="仿宋_GB2312" w:hAnsi="黑体" w:hint="eastAsia"/>
          <w:b w:val="0"/>
          <w:bCs w:val="0"/>
          <w:sz w:val="32"/>
          <w:szCs w:val="32"/>
          <w:highlight w:val="auto"/>
        </w:rPr>
        <w:t>在车站、列车内乞讨、卖艺、捡拾废旧物品、兜售或者发放物品、发放传单（广告）；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highlight w:val="auto"/>
        </w:rPr>
        <w:t>（三）</w:t>
      </w:r>
      <w:r>
        <w:rPr>
          <w:rFonts w:ascii="仿宋_GB2312" w:eastAsia="仿宋_GB2312" w:hAnsi="黑体" w:hint="eastAsia"/>
          <w:b w:val="0"/>
          <w:bCs w:val="0"/>
          <w:sz w:val="32"/>
          <w:szCs w:val="32"/>
          <w:highlight w:val="auto"/>
        </w:rPr>
        <w:t>在车站、列车内骑（滑）轮滑鞋、踏滑板、平衡车、电动车（合规残疾人助力车除外）、自行车；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highlight w:val="auto"/>
        </w:rPr>
        <w:t>（四）</w:t>
      </w:r>
      <w:r>
        <w:rPr>
          <w:rFonts w:ascii="仿宋_GB2312" w:eastAsia="仿宋_GB2312" w:hAnsi="黑体" w:hint="eastAsia"/>
          <w:b w:val="0"/>
          <w:bCs w:val="0"/>
          <w:sz w:val="32"/>
          <w:szCs w:val="32"/>
          <w:highlight w:val="auto"/>
        </w:rPr>
        <w:t>在车站、列车内躺卧、踩踏座椅、追逐打闹、大声喧哗，使用电子设备时外放声音滋扰其他乘客；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highlight w:val="auto"/>
        </w:rPr>
        <w:t>（五）</w:t>
      </w:r>
      <w:r>
        <w:rPr>
          <w:rFonts w:ascii="仿宋_GB2312" w:eastAsia="仿宋_GB2312" w:hAnsi="黑体" w:hint="eastAsia"/>
          <w:b w:val="0"/>
          <w:bCs w:val="0"/>
          <w:sz w:val="32"/>
          <w:szCs w:val="32"/>
          <w:highlight w:val="auto"/>
        </w:rPr>
        <w:t>在列车内进食（婴儿、病人除外）；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highlight w:val="auto"/>
        </w:rPr>
        <w:t>（六）</w:t>
      </w:r>
      <w:r>
        <w:rPr>
          <w:rFonts w:ascii="仿宋_GB2312" w:eastAsia="仿宋_GB2312" w:hAnsi="黑体" w:hint="eastAsia"/>
          <w:b w:val="0"/>
          <w:bCs w:val="0"/>
          <w:sz w:val="32"/>
          <w:szCs w:val="32"/>
          <w:highlight w:val="auto"/>
        </w:rPr>
        <w:t>在车站、列车内携带易污损城市轨道交通设施、有严重异味以及其他影响乘车环境的物品；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highlight w:val="auto"/>
        </w:rPr>
        <w:t>（七）</w:t>
      </w:r>
      <w:r>
        <w:rPr>
          <w:rFonts w:ascii="仿宋_GB2312" w:eastAsia="仿宋_GB2312" w:hAnsi="黑体" w:hint="eastAsia"/>
          <w:b w:val="0"/>
          <w:bCs w:val="0"/>
          <w:sz w:val="32"/>
          <w:szCs w:val="32"/>
          <w:highlight w:val="auto"/>
        </w:rPr>
        <w:t>在车站、列车等城市轨道交通设施设备上涂写、喷涂、刻画，擅自张贴、悬挂物品；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highlight w:val="auto"/>
        </w:rPr>
        <w:t>（八）</w:t>
      </w:r>
      <w:r>
        <w:rPr>
          <w:rFonts w:ascii="仿宋_GB2312" w:eastAsia="仿宋_GB2312" w:hAnsi="黑体" w:hint="eastAsia"/>
          <w:b w:val="0"/>
          <w:bCs w:val="0"/>
          <w:sz w:val="32"/>
          <w:szCs w:val="32"/>
          <w:highlight w:val="auto"/>
        </w:rPr>
        <w:t>在车站、列车内寻衅滋事、打架斗殴；</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highlight w:val="auto"/>
        </w:rPr>
        <w:t>（九）</w:t>
      </w:r>
      <w:r>
        <w:rPr>
          <w:rFonts w:ascii="仿宋_GB2312" w:eastAsia="仿宋_GB2312" w:hAnsi="黑体" w:hint="eastAsia"/>
          <w:b w:val="0"/>
          <w:bCs w:val="0"/>
          <w:sz w:val="32"/>
          <w:szCs w:val="32"/>
          <w:highlight w:val="auto"/>
        </w:rPr>
        <w:t>在运行的自动扶梯上推挤、逆行；</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b w:val="0"/>
          <w:bCs w:val="0"/>
          <w:sz w:val="32"/>
          <w:szCs w:val="32"/>
          <w:highlight w:val="auto"/>
        </w:rPr>
        <w:t>（十）</w:t>
      </w:r>
      <w:r>
        <w:rPr>
          <w:rFonts w:ascii="仿宋_GB2312" w:eastAsia="仿宋_GB2312" w:hAnsi="黑体" w:hint="eastAsia"/>
          <w:b w:val="0"/>
          <w:bCs w:val="0"/>
          <w:sz w:val="32"/>
          <w:szCs w:val="32"/>
          <w:highlight w:val="auto"/>
        </w:rPr>
        <w:t>其他影响城市轨道交通公共场所容貌、环境卫生和公共秩序的行为。”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lang w:eastAsia="zh-CN"/>
          <w:highlight w:val="auto"/>
        </w:rPr>
        <w:t>九、</w:t>
      </w:r>
      <w:r>
        <w:rPr>
          <w:rFonts w:ascii="仿宋_GB2312" w:eastAsia="仿宋_GB2312" w:hAnsi="黑体" w:hint="eastAsia"/>
          <w:b w:val="0"/>
          <w:bCs w:val="0"/>
          <w:sz w:val="32"/>
          <w:szCs w:val="32"/>
          <w:highlight w:val="auto"/>
        </w:rPr>
        <w:t>将第五十九条修改为：</w:t>
      </w:r>
      <w:r>
        <w:rPr>
          <w:rFonts w:ascii="仿宋_GB2312" w:eastAsia="仿宋_GB2312" w:hAnsi="黑体" w:hint="eastAsia"/>
          <w:b w:val="0"/>
          <w:bCs w:val="0"/>
          <w:sz w:val="32"/>
          <w:szCs w:val="32"/>
          <w:lang w:eastAsia="zh-CN"/>
          <w:highlight w:val="auto"/>
        </w:rPr>
        <w:t>“</w:t>
      </w:r>
      <w:r>
        <w:rPr>
          <w:rFonts w:ascii="仿宋_GB2312" w:eastAsia="仿宋_GB2312" w:hAnsi="黑体" w:hint="eastAsia"/>
          <w:b w:val="0"/>
          <w:bCs w:val="0"/>
          <w:sz w:val="32"/>
          <w:szCs w:val="32"/>
          <w:highlight w:val="auto"/>
        </w:rPr>
        <w:t>第六十条</w:t>
      </w:r>
      <w:r>
        <w:rPr>
          <w:rFonts w:ascii="仿宋_GB2312" w:eastAsia="仿宋_GB2312" w:hAnsi="黑体"/>
          <w:b w:val="0"/>
          <w:bCs w:val="0"/>
          <w:sz w:val="32"/>
          <w:szCs w:val="32"/>
          <w:highlight w:val="auto"/>
        </w:rPr>
        <w:t xml:space="preserve"> </w:t>
      </w:r>
      <w:r>
        <w:rPr>
          <w:rFonts w:ascii="仿宋_GB2312" w:eastAsia="仿宋_GB2312" w:hAnsi="黑体" w:hint="eastAsia"/>
          <w:b w:val="0"/>
          <w:bCs w:val="0"/>
          <w:sz w:val="32"/>
          <w:szCs w:val="32"/>
          <w:highlight w:val="auto"/>
        </w:rPr>
        <w:t xml:space="preserve"> 作业单位或者个人违反本办法第二十三条至第二十五条规定在城市轨道交通控制保护区内从事施工作业活动，有下列情形之一的，由市交通运输主管部门或城市轨道交通沿线县（市）人民政府确定的行政部门责令限期改正，并对作业个人处以二百元以上三千元以下罚款，对作业单位处以三千元以上五万元以下罚款： </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highlight w:val="auto"/>
        </w:rPr>
        <w:t>（一）未在施工作业前书面征求建设单位、运营单位意见的；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highlight w:val="auto"/>
        </w:rPr>
        <w:t>（二）未制定城市轨道交通安全防护方案的；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highlight w:val="auto"/>
        </w:rPr>
        <w:t>（三）未按要求委托具备相应资质的第三方机构进行安全评估或未在施工作业前委托具备相应资质的第三方机构对受影响区域的城市轨道交通设施进行监测的；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highlight w:val="auto"/>
        </w:rPr>
        <w:t>（</w:t>
      </w:r>
      <w:r>
        <w:rPr>
          <w:rFonts w:ascii="仿宋_GB2312" w:eastAsia="仿宋_GB2312" w:hAnsi="黑体" w:hint="eastAsia"/>
          <w:b w:val="0"/>
          <w:bCs w:val="0"/>
          <w:sz w:val="32"/>
          <w:szCs w:val="32"/>
          <w:lang w:eastAsia="zh-CN"/>
          <w:highlight w:val="auto"/>
        </w:rPr>
        <w:t>四</w:t>
      </w:r>
      <w:r>
        <w:rPr>
          <w:rFonts w:ascii="仿宋_GB2312" w:eastAsia="仿宋_GB2312" w:hAnsi="黑体" w:hint="eastAsia"/>
          <w:b w:val="0"/>
          <w:bCs w:val="0"/>
          <w:sz w:val="32"/>
          <w:szCs w:val="32"/>
          <w:highlight w:val="auto"/>
        </w:rPr>
        <w:t>）未在施工作业前与建设单位、运营单位签订安全作业协议的；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highlight w:val="auto"/>
        </w:rPr>
        <w:t>（</w:t>
      </w:r>
      <w:r>
        <w:rPr>
          <w:rFonts w:ascii="仿宋_GB2312" w:eastAsia="仿宋_GB2312" w:hAnsi="黑体" w:hint="eastAsia"/>
          <w:b w:val="0"/>
          <w:bCs w:val="0"/>
          <w:sz w:val="32"/>
          <w:szCs w:val="32"/>
          <w:lang w:eastAsia="zh-CN"/>
          <w:highlight w:val="auto"/>
        </w:rPr>
        <w:t>五</w:t>
      </w:r>
      <w:r>
        <w:rPr>
          <w:rFonts w:ascii="仿宋_GB2312" w:eastAsia="仿宋_GB2312" w:hAnsi="黑体" w:hint="eastAsia"/>
          <w:b w:val="0"/>
          <w:bCs w:val="0"/>
          <w:sz w:val="32"/>
          <w:szCs w:val="32"/>
          <w:highlight w:val="auto"/>
        </w:rPr>
        <w:t>）未按照经建设单位、运营单位认可的城市轨道交通安全防护方案施工作业的。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highlight w:val="auto"/>
        </w:rPr>
        <w:t>前款所列违法行为造成损害的，由作业单位和个人依法承担民事责任。”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hAnsi="黑体" w:hint="eastAsia"/>
          <w:b w:val="0"/>
          <w:bCs w:val="0"/>
          <w:sz w:val="32"/>
          <w:szCs w:val="32"/>
          <w:highlight w:val="auto"/>
        </w:rPr>
      </w:pPr>
      <w:r>
        <w:rPr>
          <w:rFonts w:ascii="仿宋_GB2312" w:eastAsia="仿宋_GB2312" w:hAnsi="黑体" w:hint="eastAsia"/>
          <w:b w:val="0"/>
          <w:bCs w:val="0"/>
          <w:sz w:val="32"/>
          <w:szCs w:val="32"/>
          <w:lang w:eastAsia="zh-CN"/>
          <w:highlight w:val="auto"/>
        </w:rPr>
        <w:t>十、</w:t>
      </w:r>
      <w:r>
        <w:rPr>
          <w:rFonts w:ascii="仿宋_GB2312" w:eastAsia="仿宋_GB2312" w:hAnsi="黑体" w:hint="eastAsia"/>
          <w:b w:val="0"/>
          <w:bCs w:val="0"/>
          <w:sz w:val="32"/>
          <w:szCs w:val="32"/>
          <w:highlight w:val="auto"/>
        </w:rPr>
        <w:t>删</w:t>
      </w:r>
      <w:r>
        <w:rPr>
          <w:rFonts w:ascii="仿宋_GB2312" w:eastAsia="仿宋_GB2312" w:hAnsi="黑体"/>
          <w:b w:val="0"/>
          <w:bCs w:val="0"/>
          <w:sz w:val="32"/>
          <w:szCs w:val="32"/>
          <w:highlight w:val="auto"/>
        </w:rPr>
        <w:t>除</w:t>
      </w:r>
      <w:r>
        <w:rPr>
          <w:rFonts w:ascii="仿宋_GB2312" w:eastAsia="仿宋_GB2312" w:hAnsi="黑体" w:hint="eastAsia"/>
          <w:b w:val="0"/>
          <w:bCs w:val="0"/>
          <w:sz w:val="32"/>
          <w:szCs w:val="32"/>
          <w:highlight w:val="auto"/>
        </w:rPr>
        <w:t>第六十二条。</w:t>
      </w:r>
    </w:p>
    <w:p>
      <w:pPr>
        <w:keepNext w:val="0"/>
        <w:keepLines w:val="0"/>
        <w:pageBreakBefore w:val="0"/>
        <w:widowControl w:val="0"/>
        <w:kinsoku/>
        <w:wordWrap/>
        <w:overflowPunct/>
        <w:topLinePunct w:val="0"/>
        <w:autoSpaceDE/>
        <w:autoSpaceDN/>
        <w:adjustRightInd/>
        <w:snapToGrid/>
        <w:spacing w:line="600" w:lineRule="exact"/>
        <w:ind w:firstLineChars="200" w:firstLine="640"/>
        <w:rPr>
          <w:rFonts w:ascii="仿宋_GB2312" w:eastAsia="仿宋_GB2312" w:hint="eastAsia"/>
          <w:sz w:val="32"/>
          <w:szCs w:val="32"/>
        </w:rPr>
      </w:pPr>
      <w:r>
        <w:rPr>
          <w:rFonts w:ascii="仿宋_GB2312" w:eastAsia="仿宋_GB2312" w:hAnsi="黑体" w:hint="eastAsia"/>
          <w:b w:val="0"/>
          <w:bCs w:val="0"/>
          <w:sz w:val="32"/>
          <w:szCs w:val="32"/>
          <w:highlight w:val="auto"/>
        </w:rPr>
        <w:t>此外，规章名称删除“试行”，并对条文序号作相应调整。</w:t>
      </w:r>
      <w:bookmarkStart w:id="1" w:name="_GoBack"/>
      <w:bookmarkEnd w:id="1"/>
    </w:p>
    <w:sectPr>
      <w:footerReference w:type="default" r:id="rId2"/>
      <w:pgSz w:w="11907" w:h="16840"/>
      <w:pgMar w:top="1418" w:right="1474" w:bottom="1418" w:left="1474" w:header="851" w:footer="992" w:gutter="0"/>
      <w:pgNumType/>
      <w:docGrid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panose1 w:val="03000509000000000000"/>
    <w:charset w:val="86"/>
    <w:family w:val="script"/>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523764647"/>
      <w:docPartObj>
        <w:docPartGallery w:val="Page Numbers (Bottom of Page)"/>
        <w:docPartUnique/>
      </w:docPartObj>
    </w:sdtPr>
    <w:sdtContent>
      <w:p>
        <w:pPr>
          <w:pStyle w:val="17"/>
          <w:tabs>
            <w:tab w:val="center" w:pos="4153"/>
            <w:tab w:val="right" w:pos="8306"/>
          </w:tabs>
          <w:jc w:val="center"/>
        </w:pPr>
        <w:r>
          <w:fldChar w:fldCharType="begin"/>
        </w:r>
        <w:r>
          <w:instrText>PAGE   \* MERGEFORMAT</w:instrText>
        </w:r>
        <w:r>
          <w:fldChar w:fldCharType="separate"/>
        </w:r>
        <w:r>
          <w:rPr>
            <w:lang w:val="zh-CN"/>
          </w:rPr>
          <w:t>20</w:t>
        </w:r>
        <w:r>
          <w:fldChar w:fldCharType="end"/>
        </w:r>
      </w:p>
    </w:sdtContent>
  </w:sdt>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spacing w:before="200" w:line="276" w:lineRule="auto"/>
      <w:jc w:val="left"/>
      <w:outlineLvl w:val="2"/>
    </w:pPr>
    <w:rPr>
      <w:rFonts w:ascii="Cambria" w:cs="Times New Roman" w:hAnsi="Cambria"/>
      <w:b/>
      <w:bCs/>
      <w:color w:val="4F81BD"/>
      <w:kern w:val="0"/>
      <w:sz w:val="22"/>
    </w:rPr>
  </w:style>
  <w:style w:type="character" w:default="1" w:styleId="10">
    <w:name w:val="Default Paragraph Font"/>
  </w:style>
  <w:style w:type="paragraph" w:styleId="15">
    <w:name w:val="Body Text"/>
    <w:basedOn w:val="0"/>
    <w:rPr>
      <w:rFonts w:cs="Times New Roman"/>
    </w:rPr>
  </w:style>
  <w:style w:type="paragraph" w:styleId="16">
    <w:name w:val="Body Text First Indent"/>
    <w:basedOn w:val="15"/>
    <w:next w:val="0"/>
    <w:pPr>
      <w:spacing w:line="360" w:lineRule="auto"/>
      <w:ind w:firstLineChars="200" w:firstLine="200"/>
    </w:pPr>
    <w:rPr>
      <w:rFonts w:ascii="Times New Roman" w:hAnsi="Times New Roman"/>
      <w:sz w:val="28"/>
      <w:szCs w:val="24"/>
    </w:rPr>
  </w:style>
  <w:style w:type="paragraph" w:styleId="17">
    <w:name w:val="footer"/>
    <w:basedOn w:val="0"/>
    <w:pPr>
      <w:tabs>
        <w:tab w:val="center" w:pos="4153"/>
        <w:tab w:val="right" w:pos="8306"/>
      </w:tabs>
      <w:snapToGrid w:val="0"/>
      <w:ind w:firstLineChars="200" w:firstLine="200"/>
    </w:pPr>
    <w:rPr>
      <w:rFonts w:ascii="Times New Roman" w:cs="Times New Roman" w:hAnsi="Times New Roman"/>
      <w:sz w:val="18"/>
      <w:szCs w:val="18"/>
    </w:rPr>
  </w:style>
  <w:style w:type="paragraph" w:styleId="18">
    <w:name w:val="header"/>
    <w:basedOn w:val="0"/>
    <w:pPr>
      <w:pBdr>
        <w:bottom w:val="single" w:sz="6" w:space="1" w:color="auto"/>
      </w:pBdr>
      <w:tabs>
        <w:tab w:val="center" w:pos="4153"/>
        <w:tab w:val="right" w:pos="8306"/>
      </w:tabs>
      <w:snapToGrid w:val="0"/>
      <w:ind w:firstLineChars="200" w:firstLine="200"/>
      <w:jc w:val="center"/>
    </w:pPr>
    <w:rPr>
      <w:rFonts w:ascii="Times New Roman" w:cs="Times New Roman" w:hAnsi="Times New Roman"/>
      <w:sz w:val="18"/>
      <w:szCs w:val="18"/>
    </w:rPr>
  </w:style>
  <w:style w:type="paragraph" w:styleId="19">
    <w:name w:val="List Paragraph"/>
    <w:basedOn w:val="0"/>
    <w:pPr>
      <w:spacing w:line="360" w:lineRule="auto"/>
      <w:ind w:firstLineChars="200" w:firstLine="200"/>
    </w:pPr>
    <w:rPr>
      <w:rFonts w:ascii="Times New Roman" w:cs="Times New Roman" w:hAnsi="Times New Roman"/>
      <w:sz w:val="28"/>
      <w:szCs w:val="24"/>
    </w:rPr>
  </w:style>
  <w:style w:type="paragraph" w:styleId="20">
    <w:name w:val="annotation text"/>
    <w:basedOn w:val="0"/>
    <w:pPr>
      <w:jc w:val="left"/>
    </w:pPr>
    <w:rPr>
      <w:rFonts w:ascii="Times New Roman" w:cs="Times New Roman" w:hAnsi="Times New Roman"/>
      <w:szCs w:val="24"/>
    </w:rPr>
  </w:style>
  <w:style w:type="paragraph" w:styleId="21">
    <w:name w:val="Balloon Text"/>
    <w:basedOn w:val="0"/>
    <w:rPr>
      <w:sz w:val="18"/>
      <w:szCs w:val="18"/>
    </w:rPr>
  </w:style>
  <w:style w:type="character" w:styleId="22">
    <w:name w:val="annotation reference"/>
    <w:basedOn w:val="10"/>
    <w:rPr>
      <w:sz w:val="21"/>
      <w:szCs w:val="21"/>
    </w:rPr>
  </w:style>
  <w:style w:type="paragraph" w:styleId="23">
    <w:name w:val="Normal (Web)"/>
    <w:basedOn w:val="0"/>
    <w:pPr>
      <w:widowControl w:val="0"/>
      <w:jc w:val="left"/>
    </w:pPr>
    <w:rPr>
      <w:rFonts w:ascii="Calibri" w:eastAsia="宋体" w:cs="宋体"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FA604AE-7C69-4B04-91BE-B8E408D694F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1808</TotalTime>
  <Application>Yozo_Office27021597764231179</Application>
  <Pages>5</Pages>
  <Words>0</Words>
  <Characters>1717</Characters>
  <Lines>0</Lines>
  <Paragraphs>44</Paragraphs>
  <CharactersWithSpaces>2290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greatwall</cp:lastModifiedBy>
  <cp:revision>724</cp:revision>
  <cp:lastPrinted>2023-01-17T08:05:27Z</cp:lastPrinted>
  <dcterms:created xsi:type="dcterms:W3CDTF">2021-05-25T02:21:00Z</dcterms:created>
  <dcterms:modified xsi:type="dcterms:W3CDTF">2024-07-18T07:25:32Z</dcterms:modified>
</cp:coreProperties>
</file>