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起草说明</w:t>
      </w:r>
    </w:p>
    <w:p>
      <w:pPr>
        <w:pStyle w:val="3"/>
        <w:keepNext w:val="0"/>
        <w:keepLines w:val="0"/>
        <w:pageBreakBefore w:val="0"/>
        <w:numPr>
          <w:ilvl w:val="0"/>
          <w:numId w:val="0"/>
        </w:numPr>
        <w:kinsoku/>
        <w:wordWrap/>
        <w:overflowPunct/>
        <w:topLinePunct w:val="0"/>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根据《浙江省人民政府办公厅关于加快推进农家传统特色小吃产业发展的指导意见》、《嵊州小吃产业三年行动方案(2023-2025)》精神,力争到2025年底,培育100家小吃企业,实现年产值市外100亿元、市内100亿元“双百亿”目标,促进嵊州小吃产业形成全产业链体系发展,成为我市县域共富标志性成果。根据2024年度嵊州小吃行业发展实际和企业需求,为进一步加快嵊州小吃产业发展,推动</w:t>
      </w:r>
      <w:bookmarkStart w:id="0" w:name="_GoBack"/>
      <w:bookmarkEnd w:id="0"/>
      <w:r>
        <w:rPr>
          <w:rFonts w:hint="eastAsia" w:ascii="仿宋_GB2312" w:hAnsi="仿宋_GB2312" w:eastAsia="仿宋_GB2312" w:cs="仿宋_GB2312"/>
          <w:color w:val="auto"/>
          <w:sz w:val="32"/>
          <w:szCs w:val="32"/>
          <w:highlight w:val="none"/>
          <w:lang w:val="en-US" w:eastAsia="zh-CN"/>
        </w:rPr>
        <w:t>富乐嵊州建设,现对《扶持小吃产业发展、助推富乐嵊州若干政策意见》(嵊政办〔2024〕34号)进行部分修订。</w:t>
      </w:r>
    </w:p>
    <w:p>
      <w:pPr>
        <w:pStyle w:val="3"/>
        <w:keepNext w:val="0"/>
        <w:keepLines w:val="0"/>
        <w:pageBreakBefore w:val="0"/>
        <w:numPr>
          <w:ilvl w:val="0"/>
          <w:numId w:val="0"/>
        </w:numPr>
        <w:kinsoku/>
        <w:wordWrap/>
        <w:overflowPunct/>
        <w:topLinePunct w:val="0"/>
        <w:bidi w:val="0"/>
        <w:adjustRightInd/>
        <w:snapToGrid/>
        <w:spacing w:line="560"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一、起草依据</w:t>
      </w:r>
    </w:p>
    <w:p>
      <w:pPr>
        <w:keepNext w:val="0"/>
        <w:keepLines w:val="0"/>
        <w:pageBreakBefore w:val="0"/>
        <w:kinsoku/>
        <w:wordWrap/>
        <w:overflowPunct/>
        <w:topLinePunct w:val="0"/>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《浙江省人民政府办公厅关于加快推进农家传统特色小吃产业发展的指导意见》（浙政办发〔2018〕116号）。</w:t>
      </w:r>
    </w:p>
    <w:p>
      <w:pPr>
        <w:pStyle w:val="5"/>
        <w:keepNext w:val="0"/>
        <w:keepLines w:val="0"/>
        <w:pageBreakBefore w:val="0"/>
        <w:kinsoku/>
        <w:wordWrap/>
        <w:overflowPunct/>
        <w:topLinePunct w:val="0"/>
        <w:bidi w:val="0"/>
        <w:adjustRightInd/>
        <w:snapToGrid/>
        <w:spacing w:line="560" w:lineRule="exact"/>
        <w:ind w:left="0" w:leftChars="0"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二、起草过程</w:t>
      </w:r>
    </w:p>
    <w:p>
      <w:pPr>
        <w:keepNext w:val="0"/>
        <w:keepLines w:val="0"/>
        <w:pageBreakBefore w:val="0"/>
        <w:widowControl w:val="0"/>
        <w:kinsoku/>
        <w:wordWrap/>
        <w:topLinePunct w:val="0"/>
        <w:autoSpaceDE/>
        <w:autoSpaceDN/>
        <w:bidi w:val="0"/>
        <w:spacing w:line="540" w:lineRule="exact"/>
        <w:ind w:firstLine="640"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snapToGrid w:val="0"/>
          <w:color w:val="auto"/>
          <w:kern w:val="0"/>
          <w:sz w:val="32"/>
          <w:szCs w:val="32"/>
        </w:rPr>
        <w:t>根据市委市政府要求，</w:t>
      </w:r>
      <w:r>
        <w:rPr>
          <w:rFonts w:hint="eastAsia" w:ascii="仿宋_GB2312" w:hAnsi="仿宋_GB2312" w:eastAsia="仿宋_GB2312" w:cs="仿宋_GB2312"/>
          <w:color w:val="auto"/>
          <w:kern w:val="0"/>
          <w:sz w:val="32"/>
          <w:szCs w:val="32"/>
          <w:lang w:val="en"/>
        </w:rPr>
        <w:t>结合以往嵊州小吃发展专项政策，</w:t>
      </w:r>
      <w:r>
        <w:rPr>
          <w:rFonts w:hint="eastAsia" w:ascii="仿宋_GB2312" w:hAnsi="仿宋_GB2312" w:eastAsia="仿宋_GB2312" w:cs="仿宋_GB2312"/>
          <w:color w:val="auto"/>
          <w:kern w:val="0"/>
          <w:sz w:val="32"/>
          <w:szCs w:val="32"/>
        </w:rPr>
        <w:t>我</w:t>
      </w:r>
      <w:r>
        <w:rPr>
          <w:rFonts w:hint="eastAsia" w:ascii="仿宋_GB2312" w:hAnsi="仿宋_GB2312" w:eastAsia="仿宋_GB2312" w:cs="仿宋_GB2312"/>
          <w:color w:val="auto"/>
          <w:kern w:val="0"/>
          <w:sz w:val="32"/>
          <w:szCs w:val="32"/>
          <w:highlight w:val="none"/>
          <w:lang w:val="en"/>
        </w:rPr>
        <w:t>局</w:t>
      </w:r>
      <w:r>
        <w:rPr>
          <w:rFonts w:hint="eastAsia" w:ascii="仿宋_GB2312" w:hAnsi="仿宋_GB2312" w:eastAsia="仿宋_GB2312" w:cs="仿宋_GB2312"/>
          <w:color w:val="auto"/>
          <w:kern w:val="0"/>
          <w:sz w:val="32"/>
          <w:szCs w:val="32"/>
          <w:highlight w:val="none"/>
        </w:rPr>
        <w:t>会同市级相关部门于1月</w:t>
      </w:r>
      <w:r>
        <w:rPr>
          <w:rFonts w:hint="eastAsia" w:ascii="仿宋_GB2312" w:hAnsi="仿宋_GB2312" w:eastAsia="仿宋_GB2312" w:cs="仿宋_GB2312"/>
          <w:color w:val="auto"/>
          <w:kern w:val="0"/>
          <w:sz w:val="32"/>
          <w:szCs w:val="32"/>
          <w:highlight w:val="none"/>
          <w:lang w:val="en"/>
        </w:rPr>
        <w:t>上</w:t>
      </w:r>
      <w:r>
        <w:rPr>
          <w:rFonts w:hint="eastAsia" w:ascii="仿宋_GB2312" w:hAnsi="仿宋_GB2312" w:eastAsia="仿宋_GB2312" w:cs="仿宋_GB2312"/>
          <w:color w:val="auto"/>
          <w:kern w:val="0"/>
          <w:sz w:val="32"/>
          <w:szCs w:val="32"/>
          <w:highlight w:val="none"/>
        </w:rPr>
        <w:t>旬启动</w:t>
      </w:r>
      <w:r>
        <w:rPr>
          <w:rFonts w:hint="eastAsia" w:ascii="仿宋_GB2312" w:hAnsi="仿宋_GB2312" w:eastAsia="仿宋_GB2312" w:cs="仿宋_GB2312"/>
          <w:color w:val="auto"/>
          <w:kern w:val="0"/>
          <w:sz w:val="32"/>
          <w:szCs w:val="32"/>
          <w:highlight w:val="none"/>
          <w:lang w:val="en"/>
        </w:rPr>
        <w:t>工作调研、</w:t>
      </w:r>
      <w:r>
        <w:rPr>
          <w:rFonts w:hint="eastAsia" w:ascii="仿宋_GB2312" w:hAnsi="仿宋_GB2312" w:eastAsia="仿宋_GB2312" w:cs="仿宋_GB2312"/>
          <w:color w:val="auto"/>
          <w:kern w:val="0"/>
          <w:sz w:val="32"/>
          <w:szCs w:val="32"/>
          <w:highlight w:val="none"/>
        </w:rPr>
        <w:t>政策起草</w:t>
      </w:r>
      <w:r>
        <w:rPr>
          <w:rFonts w:hint="eastAsia" w:ascii="仿宋_GB2312" w:hAnsi="仿宋_GB2312" w:eastAsia="仿宋_GB2312" w:cs="仿宋_GB2312"/>
          <w:color w:val="auto"/>
          <w:kern w:val="0"/>
          <w:sz w:val="32"/>
          <w:szCs w:val="32"/>
          <w:highlight w:val="none"/>
          <w:lang w:val="en"/>
        </w:rPr>
        <w:t>等</w:t>
      </w:r>
      <w:r>
        <w:rPr>
          <w:rFonts w:hint="eastAsia" w:ascii="仿宋_GB2312" w:hAnsi="仿宋_GB2312" w:eastAsia="仿宋_GB2312" w:cs="仿宋_GB2312"/>
          <w:color w:val="auto"/>
          <w:kern w:val="0"/>
          <w:sz w:val="32"/>
          <w:szCs w:val="32"/>
          <w:highlight w:val="none"/>
        </w:rPr>
        <w:t>工作。</w:t>
      </w:r>
    </w:p>
    <w:p>
      <w:pPr>
        <w:keepNext w:val="0"/>
        <w:keepLines w:val="0"/>
        <w:pageBreakBefore w:val="0"/>
        <w:widowControl w:val="0"/>
        <w:kinsoku/>
        <w:wordWrap/>
        <w:topLinePunct w:val="0"/>
        <w:autoSpaceDE/>
        <w:autoSpaceDN/>
        <w:bidi w:val="0"/>
        <w:spacing w:line="540" w:lineRule="exact"/>
        <w:textAlignment w:val="auto"/>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color w:val="auto"/>
          <w:sz w:val="32"/>
          <w:szCs w:val="32"/>
          <w:highlight w:val="none"/>
        </w:rPr>
        <w:t>于</w:t>
      </w:r>
      <w:r>
        <w:rPr>
          <w:rFonts w:hint="default" w:ascii="仿宋_GB2312" w:hAnsi="仿宋_GB2312" w:eastAsia="仿宋_GB2312" w:cs="仿宋_GB2312"/>
          <w:color w:val="auto"/>
          <w:sz w:val="32"/>
          <w:szCs w:val="32"/>
          <w:highlight w:val="none"/>
          <w:lang w:val="en" w:eastAsia="zh-CN"/>
        </w:rPr>
        <w:t>1</w:t>
      </w:r>
      <w:r>
        <w:rPr>
          <w:rFonts w:hint="eastAsia" w:ascii="仿宋_GB2312" w:hAnsi="仿宋_GB2312" w:eastAsia="仿宋_GB2312" w:cs="仿宋_GB2312"/>
          <w:color w:val="auto"/>
          <w:sz w:val="32"/>
          <w:szCs w:val="32"/>
          <w:highlight w:val="none"/>
        </w:rPr>
        <w:t>月</w:t>
      </w:r>
      <w:r>
        <w:rPr>
          <w:rFonts w:hint="default" w:ascii="仿宋_GB2312" w:hAnsi="仿宋_GB2312" w:eastAsia="仿宋_GB2312" w:cs="仿宋_GB2312"/>
          <w:color w:val="auto"/>
          <w:sz w:val="32"/>
          <w:szCs w:val="32"/>
          <w:highlight w:val="none"/>
          <w:lang w:val="en" w:eastAsia="zh-CN"/>
        </w:rPr>
        <w:t>15</w:t>
      </w:r>
      <w:r>
        <w:rPr>
          <w:rFonts w:hint="eastAsia" w:ascii="仿宋_GB2312" w:hAnsi="仿宋_GB2312" w:eastAsia="仿宋_GB2312" w:cs="仿宋_GB2312"/>
          <w:color w:val="auto"/>
          <w:sz w:val="32"/>
          <w:szCs w:val="32"/>
          <w:highlight w:val="none"/>
        </w:rPr>
        <w:t>日书面形式征求了市级有关部门意见建议，于</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15</w:t>
      </w:r>
      <w:r>
        <w:rPr>
          <w:rFonts w:hint="eastAsia" w:ascii="仿宋_GB2312" w:hAnsi="仿宋_GB2312" w:eastAsia="仿宋_GB2312" w:cs="仿宋_GB2312"/>
          <w:color w:val="auto"/>
          <w:sz w:val="32"/>
          <w:szCs w:val="32"/>
          <w:highlight w:val="none"/>
        </w:rPr>
        <w:t>日</w:t>
      </w:r>
      <w:r>
        <w:rPr>
          <w:rFonts w:hint="eastAsia" w:ascii="仿宋_GB2312" w:hAnsi="仿宋_GB2312" w:eastAsia="仿宋_GB2312" w:cs="仿宋_GB2312"/>
          <w:color w:val="auto"/>
          <w:sz w:val="32"/>
          <w:szCs w:val="32"/>
          <w:highlight w:val="none"/>
          <w:lang w:val="en-US" w:eastAsia="zh-CN"/>
        </w:rPr>
        <w:t>-2</w:t>
      </w:r>
      <w:r>
        <w:rPr>
          <w:rFonts w:hint="default" w:ascii="仿宋_GB2312" w:hAnsi="仿宋_GB2312" w:eastAsia="仿宋_GB2312" w:cs="仿宋_GB2312"/>
          <w:color w:val="auto"/>
          <w:sz w:val="32"/>
          <w:szCs w:val="32"/>
          <w:highlight w:val="none"/>
          <w:lang w:val="en" w:eastAsia="zh-CN"/>
        </w:rPr>
        <w:t>4</w:t>
      </w:r>
      <w:r>
        <w:rPr>
          <w:rFonts w:hint="eastAsia" w:ascii="仿宋_GB2312" w:hAnsi="仿宋_GB2312" w:eastAsia="仿宋_GB2312" w:cs="仿宋_GB2312"/>
          <w:color w:val="auto"/>
          <w:sz w:val="32"/>
          <w:szCs w:val="32"/>
          <w:highlight w:val="none"/>
          <w:lang w:val="en-US" w:eastAsia="zh-CN"/>
        </w:rPr>
        <w:t>日</w:t>
      </w:r>
      <w:r>
        <w:rPr>
          <w:rFonts w:hint="eastAsia" w:ascii="仿宋_GB2312" w:hAnsi="仿宋_GB2312" w:eastAsia="仿宋_GB2312" w:cs="仿宋_GB2312"/>
          <w:color w:val="auto"/>
          <w:sz w:val="32"/>
          <w:szCs w:val="32"/>
          <w:highlight w:val="none"/>
        </w:rPr>
        <w:t>在网上公开征求意见，</w:t>
      </w:r>
      <w:r>
        <w:rPr>
          <w:rFonts w:hint="eastAsia" w:ascii="仿宋_GB2312" w:hAnsi="仿宋_GB2312" w:eastAsia="仿宋_GB2312" w:cs="仿宋_GB2312"/>
          <w:color w:val="auto"/>
          <w:sz w:val="32"/>
          <w:szCs w:val="32"/>
          <w:highlight w:val="none"/>
          <w:lang w:eastAsia="zh-CN"/>
        </w:rPr>
        <w:t>未收到反馈意见</w:t>
      </w:r>
      <w:r>
        <w:rPr>
          <w:rFonts w:hint="eastAsia" w:ascii="仿宋_GB2312" w:hAnsi="仿宋_GB2312" w:eastAsia="仿宋_GB2312" w:cs="仿宋_GB2312"/>
          <w:color w:val="auto"/>
          <w:sz w:val="32"/>
          <w:szCs w:val="32"/>
          <w:highlight w:val="none"/>
        </w:rPr>
        <w:t>。我局</w:t>
      </w:r>
      <w:r>
        <w:rPr>
          <w:rFonts w:hint="eastAsia" w:ascii="仿宋_GB2312" w:hAnsi="仿宋_GB2312" w:eastAsia="仿宋_GB2312" w:cs="仿宋_GB2312"/>
          <w:color w:val="auto"/>
          <w:sz w:val="32"/>
          <w:szCs w:val="32"/>
          <w:highlight w:val="none"/>
          <w:lang w:eastAsia="zh-CN"/>
        </w:rPr>
        <w:t>多次召开班子会议</w:t>
      </w:r>
      <w:r>
        <w:rPr>
          <w:rFonts w:hint="eastAsia" w:ascii="仿宋_GB2312" w:hAnsi="仿宋_GB2312" w:eastAsia="仿宋_GB2312" w:cs="仿宋_GB2312"/>
          <w:color w:val="auto"/>
          <w:sz w:val="32"/>
          <w:szCs w:val="32"/>
          <w:highlight w:val="none"/>
        </w:rPr>
        <w:t>对政策进行集体讨论，</w:t>
      </w:r>
      <w:r>
        <w:rPr>
          <w:rFonts w:hint="eastAsia" w:ascii="仿宋_GB2312" w:hAnsi="仿宋_GB2312" w:eastAsia="仿宋_GB2312" w:cs="仿宋_GB2312"/>
          <w:snapToGrid w:val="0"/>
          <w:color w:val="auto"/>
          <w:kern w:val="0"/>
          <w:sz w:val="32"/>
          <w:szCs w:val="32"/>
          <w:highlight w:val="none"/>
        </w:rPr>
        <w:t>在原来的基础上进行修改完善，最终形成政策意见的</w:t>
      </w:r>
      <w:r>
        <w:rPr>
          <w:rFonts w:hint="eastAsia" w:ascii="仿宋_GB2312" w:hAnsi="仿宋_GB2312" w:eastAsia="仿宋_GB2312" w:cs="仿宋_GB2312"/>
          <w:snapToGrid w:val="0"/>
          <w:color w:val="auto"/>
          <w:kern w:val="0"/>
          <w:sz w:val="32"/>
          <w:szCs w:val="32"/>
          <w:highlight w:val="none"/>
          <w:lang w:eastAsia="zh-CN"/>
        </w:rPr>
        <w:t>征求意见</w:t>
      </w:r>
      <w:r>
        <w:rPr>
          <w:rFonts w:hint="eastAsia" w:ascii="仿宋_GB2312" w:hAnsi="仿宋_GB2312" w:eastAsia="仿宋_GB2312" w:cs="仿宋_GB2312"/>
          <w:snapToGrid w:val="0"/>
          <w:color w:val="auto"/>
          <w:kern w:val="0"/>
          <w:sz w:val="32"/>
          <w:szCs w:val="32"/>
          <w:highlight w:val="none"/>
        </w:rPr>
        <w:t>稿。</w:t>
      </w:r>
    </w:p>
    <w:p>
      <w:pPr>
        <w:pStyle w:val="3"/>
        <w:keepNext w:val="0"/>
        <w:keepLines w:val="0"/>
        <w:pageBreakBefore w:val="0"/>
        <w:numPr>
          <w:ilvl w:val="0"/>
          <w:numId w:val="1"/>
        </w:numPr>
        <w:kinsoku/>
        <w:wordWrap/>
        <w:overflowPunct/>
        <w:topLinePunct w:val="0"/>
        <w:bidi w:val="0"/>
        <w:adjustRightInd/>
        <w:snapToGrid/>
        <w:spacing w:line="560" w:lineRule="exact"/>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主要内容</w:t>
      </w:r>
    </w:p>
    <w:p>
      <w:pPr>
        <w:keepNext w:val="0"/>
        <w:keepLines w:val="0"/>
        <w:pageBreakBefore w:val="0"/>
        <w:widowControl w:val="0"/>
        <w:kinsoku/>
        <w:wordWrap/>
        <w:topLinePunct w:val="0"/>
        <w:autoSpaceDE/>
        <w:autoSpaceDN/>
        <w:bidi w:val="0"/>
        <w:spacing w:line="540" w:lineRule="exact"/>
        <w:ind w:firstLine="640" w:firstLineChars="200"/>
        <w:textAlignment w:val="auto"/>
        <w:rPr>
          <w:rFonts w:hint="eastAsia" w:ascii="仿宋_GB2312" w:hAnsi="??" w:eastAsia="仿宋_GB2312" w:cs="??"/>
          <w:color w:val="auto"/>
          <w:kern w:val="0"/>
          <w:sz w:val="32"/>
          <w:szCs w:val="32"/>
          <w:lang w:eastAsia="zh-CN"/>
        </w:rPr>
      </w:pPr>
      <w:r>
        <w:rPr>
          <w:rFonts w:hint="eastAsia" w:ascii="仿宋_GB2312" w:hAnsi="??" w:eastAsia="仿宋_GB2312" w:cs="??"/>
          <w:color w:val="auto"/>
          <w:kern w:val="0"/>
          <w:sz w:val="32"/>
          <w:szCs w:val="32"/>
        </w:rPr>
        <w:t>共计</w:t>
      </w:r>
      <w:r>
        <w:rPr>
          <w:rFonts w:hint="eastAsia" w:ascii="仿宋_GB2312" w:hAnsi="??" w:eastAsia="仿宋_GB2312" w:cs="??"/>
          <w:color w:val="auto"/>
          <w:kern w:val="0"/>
          <w:sz w:val="32"/>
          <w:szCs w:val="32"/>
          <w:lang w:val="en-US" w:eastAsia="zh-CN"/>
        </w:rPr>
        <w:t>11</w:t>
      </w:r>
      <w:r>
        <w:rPr>
          <w:rFonts w:hint="eastAsia" w:ascii="仿宋_GB2312" w:hAnsi="??" w:eastAsia="仿宋_GB2312" w:cs="??"/>
          <w:color w:val="auto"/>
          <w:kern w:val="0"/>
          <w:sz w:val="32"/>
          <w:szCs w:val="32"/>
        </w:rPr>
        <w:t>条政策奖励措施：1.支持品牌推广</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2.支持场所进驻</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3.支持设备投入</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4.支持行业培训</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5.支持规范经营</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6.支持数字化建设</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7.支持培育龙头企业</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8.支持培育小吃产业园</w:t>
      </w:r>
      <w:r>
        <w:rPr>
          <w:rFonts w:hint="eastAsia" w:ascii="仿宋_GB2312" w:hAnsi="??" w:eastAsia="仿宋_GB2312" w:cs="??"/>
          <w:color w:val="auto"/>
          <w:kern w:val="0"/>
          <w:sz w:val="32"/>
          <w:szCs w:val="32"/>
          <w:lang w:eastAsia="zh-CN"/>
        </w:rPr>
        <w:t>；</w:t>
      </w:r>
    </w:p>
    <w:p>
      <w:pPr>
        <w:keepNext w:val="0"/>
        <w:keepLines w:val="0"/>
        <w:pageBreakBefore w:val="0"/>
        <w:widowControl w:val="0"/>
        <w:kinsoku/>
        <w:wordWrap/>
        <w:topLinePunct w:val="0"/>
        <w:autoSpaceDE/>
        <w:autoSpaceDN/>
        <w:bidi w:val="0"/>
        <w:spacing w:line="540" w:lineRule="exact"/>
        <w:textAlignment w:val="auto"/>
        <w:rPr>
          <w:rFonts w:ascii="仿宋_GB2312" w:hAnsi="Times New Roman" w:eastAsia="仿宋_GB2312" w:cs="华文仿宋"/>
          <w:color w:val="auto"/>
          <w:sz w:val="32"/>
          <w:szCs w:val="32"/>
        </w:rPr>
      </w:pPr>
      <w:r>
        <w:rPr>
          <w:rFonts w:hint="eastAsia" w:ascii="仿宋_GB2312" w:hAnsi="??" w:eastAsia="仿宋_GB2312" w:cs="??"/>
          <w:color w:val="auto"/>
          <w:kern w:val="0"/>
          <w:sz w:val="32"/>
          <w:szCs w:val="32"/>
        </w:rPr>
        <w:t>9.支持培育连锁品牌</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10.支持企业参加展会</w:t>
      </w:r>
      <w:r>
        <w:rPr>
          <w:rFonts w:hint="eastAsia" w:ascii="仿宋_GB2312" w:hAnsi="??" w:eastAsia="仿宋_GB2312" w:cs="??"/>
          <w:color w:val="auto"/>
          <w:kern w:val="0"/>
          <w:sz w:val="32"/>
          <w:szCs w:val="32"/>
          <w:lang w:eastAsia="zh-CN"/>
        </w:rPr>
        <w:t>；</w:t>
      </w:r>
      <w:r>
        <w:rPr>
          <w:rFonts w:hint="eastAsia" w:ascii="仿宋_GB2312" w:hAnsi="??" w:eastAsia="仿宋_GB2312" w:cs="??"/>
          <w:color w:val="auto"/>
          <w:kern w:val="0"/>
          <w:sz w:val="32"/>
          <w:szCs w:val="32"/>
        </w:rPr>
        <w:t>11.支持嵊州小吃出海。</w:t>
      </w:r>
    </w:p>
    <w:p>
      <w:pPr>
        <w:pStyle w:val="5"/>
        <w:rPr>
          <w:rFonts w:hint="eastAsia" w:ascii="仿宋_GB2312" w:hAnsi="仿宋_GB2312" w:eastAsia="仿宋_GB2312" w:cs="仿宋_GB2312"/>
          <w:sz w:val="32"/>
          <w:szCs w:val="32"/>
          <w:lang w:val="en-US" w:eastAsia="zh-CN"/>
        </w:rPr>
      </w:pPr>
    </w:p>
    <w:p>
      <w:pPr>
        <w:pStyle w:val="4"/>
        <w:rPr>
          <w:rFonts w:hint="eastAsia"/>
          <w:lang w:val="en-US" w:eastAsia="zh-CN"/>
        </w:rPr>
      </w:pPr>
    </w:p>
    <w:p>
      <w:pPr>
        <w:keepNext w:val="0"/>
        <w:keepLines w:val="0"/>
        <w:pageBreakBefore w:val="0"/>
        <w:numPr>
          <w:ilvl w:val="0"/>
          <w:numId w:val="0"/>
        </w:numPr>
        <w:kinsoku/>
        <w:wordWrap/>
        <w:overflowPunct/>
        <w:topLinePunct w:val="0"/>
        <w:bidi w:val="0"/>
        <w:adjustRightInd/>
        <w:snapToGrid/>
        <w:spacing w:line="560" w:lineRule="exact"/>
        <w:textAlignment w:val="auto"/>
        <w:rPr>
          <w:rFonts w:hint="eastAsia" w:ascii="仿宋_GB2312" w:hAnsi="仿宋_GB2312" w:eastAsia="仿宋_GB2312" w:cs="仿宋_GB2312"/>
          <w:sz w:val="32"/>
          <w:szCs w:val="32"/>
          <w:lang w:val="en-US"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A1"/>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
    <w:altName w:val="DejaVu Math TeX Gyre"/>
    <w:panose1 w:val="02010600030101010101"/>
    <w:charset w:val="00"/>
    <w:family w:val="auto"/>
    <w:pitch w:val="default"/>
    <w:sig w:usb0="00000000"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DE26B0"/>
    <w:multiLevelType w:val="singleLevel"/>
    <w:tmpl w:val="67DE26B0"/>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A9231F4"/>
    <w:rsid w:val="2FBA7197"/>
    <w:rsid w:val="4DC35A63"/>
    <w:rsid w:val="6D6EF0EB"/>
    <w:rsid w:val="FEBE0C25"/>
    <w:rsid w:val="FED7565F"/>
    <w:rsid w:val="FFBAC083"/>
    <w:rsid w:val="FFFFA7F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figures"/>
    <w:next w:val="1"/>
    <w:qFormat/>
    <w:uiPriority w:val="0"/>
    <w:pPr>
      <w:widowControl w:val="0"/>
      <w:ind w:left="400" w:leftChars="200" w:hanging="200" w:hangingChars="200"/>
      <w:jc w:val="both"/>
    </w:pPr>
    <w:rPr>
      <w:rFonts w:ascii="仿宋_GB2312" w:hAnsi="Times New Roman" w:eastAsia="仿宋_GB2312" w:cs="Times New Roman"/>
      <w:kern w:val="2"/>
      <w:sz w:val="32"/>
      <w:szCs w:val="32"/>
      <w:lang w:val="en-US" w:eastAsia="zh-CN" w:bidi="ar-SA"/>
    </w:rPr>
  </w:style>
  <w:style w:type="paragraph" w:styleId="3">
    <w:name w:val="Normal Indent"/>
    <w:basedOn w:val="1"/>
    <w:next w:val="1"/>
    <w:qFormat/>
    <w:uiPriority w:val="99"/>
    <w:pPr>
      <w:ind w:firstLine="200" w:firstLineChars="200"/>
    </w:pPr>
    <w:rPr>
      <w:rFonts w:eastAsia="宋体"/>
      <w:szCs w:val="20"/>
    </w:rPr>
  </w:style>
  <w:style w:type="paragraph" w:styleId="4">
    <w:name w:val="Body Text Indent"/>
    <w:basedOn w:val="1"/>
    <w:next w:val="3"/>
    <w:qFormat/>
    <w:uiPriority w:val="0"/>
    <w:pPr>
      <w:spacing w:after="120"/>
      <w:ind w:left="420" w:leftChars="200"/>
    </w:pPr>
  </w:style>
  <w:style w:type="paragraph" w:styleId="5">
    <w:name w:val="Body Text First Indent 2"/>
    <w:basedOn w:val="4"/>
    <w:next w:val="4"/>
    <w:qFormat/>
    <w:uiPriority w:val="0"/>
    <w:pPr>
      <w:ind w:firstLine="420" w:firstLineChars="200"/>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7</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2024-10-25T23:43:00Z</dcterms:created>
  <dc:creator>Administrator</dc:creator>
  <cp:lastModifiedBy>szsw</cp:lastModifiedBy>
  <dcterms:modified xsi:type="dcterms:W3CDTF">2025-02-21T08:48:40Z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8CA49EE5BA8140E9A366A92ECE901B9C</vt:lpwstr>
  </property>
</Properties>
</file>