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25C3B">
      <w:pPr>
        <w:keepNext w:val="0"/>
        <w:keepLines w:val="0"/>
        <w:pageBreakBefore w:val="0"/>
        <w:widowControl/>
        <w:kinsoku/>
        <w:wordWrap/>
        <w:overflowPunct/>
        <w:topLinePunct w:val="0"/>
        <w:autoSpaceDE/>
        <w:autoSpaceDN/>
        <w:bidi w:val="0"/>
        <w:snapToGrid w:val="0"/>
        <w:spacing w:line="580" w:lineRule="exact"/>
        <w:jc w:val="center"/>
        <w:textAlignment w:val="auto"/>
        <w:rPr>
          <w:rFonts w:ascii="方正小标宋简体" w:hAnsi="Calibri" w:eastAsia="方正小标宋简体" w:cs="Calibri"/>
          <w:kern w:val="0"/>
          <w:sz w:val="36"/>
          <w:szCs w:val="36"/>
        </w:rPr>
      </w:pPr>
      <w:r>
        <w:rPr>
          <w:rFonts w:hint="eastAsia" w:ascii="方正小标宋简体" w:hAnsi="Calibri" w:eastAsia="方正小标宋简体" w:cs="Calibri"/>
          <w:kern w:val="0"/>
          <w:sz w:val="40"/>
          <w:szCs w:val="40"/>
        </w:rPr>
        <w:t>关于《</w:t>
      </w:r>
      <w:r>
        <w:rPr>
          <w:rFonts w:hint="eastAsia" w:ascii="方正小标宋简体" w:hAnsi="Calibri" w:eastAsia="方正小标宋简体" w:cs="Calibri"/>
          <w:kern w:val="0"/>
          <w:sz w:val="40"/>
          <w:szCs w:val="40"/>
          <w:lang w:val="en-US" w:eastAsia="zh-Hans"/>
        </w:rPr>
        <w:t>杭州市上城区发展学前教育第四轮行动计划（2024—2028年）</w:t>
      </w:r>
      <w:r>
        <w:rPr>
          <w:rFonts w:hint="eastAsia" w:ascii="方正小标宋简体" w:hAnsi="Calibri" w:eastAsia="方正小标宋简体" w:cs="Calibri"/>
          <w:kern w:val="0"/>
          <w:sz w:val="40"/>
          <w:szCs w:val="40"/>
        </w:rPr>
        <w:t>》的起草说明</w:t>
      </w:r>
    </w:p>
    <w:p w14:paraId="32A7F6E1">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Calibri" w:eastAsia="仿宋_GB2312" w:cs="Times New Roman"/>
          <w:sz w:val="32"/>
          <w:szCs w:val="32"/>
        </w:rPr>
      </w:pPr>
    </w:p>
    <w:p w14:paraId="0EB0D320">
      <w:pPr>
        <w:keepNext w:val="0"/>
        <w:keepLines w:val="0"/>
        <w:pageBreakBefore w:val="0"/>
        <w:widowControl/>
        <w:kinsoku/>
        <w:wordWrap/>
        <w:overflowPunct/>
        <w:topLinePunct w:val="0"/>
        <w:autoSpaceDE/>
        <w:autoSpaceDN/>
        <w:bidi w:val="0"/>
        <w:snapToGrid w:val="0"/>
        <w:spacing w:line="580" w:lineRule="exact"/>
        <w:ind w:firstLine="64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现就报送合法性审查的《</w:t>
      </w:r>
      <w:r>
        <w:rPr>
          <w:rFonts w:hint="eastAsia" w:ascii="仿宋_GB2312" w:hAnsi="仿宋_GB2312" w:eastAsia="仿宋_GB2312" w:cs="仿宋_GB2312"/>
          <w:sz w:val="32"/>
          <w:szCs w:val="32"/>
          <w:lang w:val="en-US" w:eastAsia="zh-Hans"/>
        </w:rPr>
        <w:t>杭州市上城区发展学前教育第四轮行动计划（2024—2028年）</w:t>
      </w:r>
      <w:r>
        <w:rPr>
          <w:rFonts w:hint="eastAsia" w:ascii="仿宋_GB2312" w:hAnsi="仿宋_GB2312" w:eastAsia="仿宋_GB2312" w:cs="仿宋_GB2312"/>
          <w:sz w:val="32"/>
          <w:szCs w:val="32"/>
          <w:lang w:eastAsia="zh-Hans"/>
        </w:rPr>
        <w:t>》起草情况说明如下：</w:t>
      </w:r>
    </w:p>
    <w:p w14:paraId="772F52EC">
      <w:pPr>
        <w:keepNext w:val="0"/>
        <w:keepLines w:val="0"/>
        <w:pageBreakBefore w:val="0"/>
        <w:widowControl/>
        <w:kinsoku/>
        <w:wordWrap/>
        <w:overflowPunct/>
        <w:topLinePunct w:val="0"/>
        <w:autoSpaceDE/>
        <w:autoSpaceDN/>
        <w:bidi w:val="0"/>
        <w:spacing w:line="580" w:lineRule="exact"/>
        <w:ind w:firstLine="640"/>
        <w:textAlignment w:val="auto"/>
        <w:rPr>
          <w:rFonts w:ascii="黑体" w:hAnsi="黑体" w:eastAsia="黑体" w:cs="Calibri"/>
          <w:kern w:val="0"/>
          <w:sz w:val="32"/>
          <w:szCs w:val="32"/>
        </w:rPr>
      </w:pPr>
      <w:r>
        <w:rPr>
          <w:rFonts w:hint="eastAsia" w:ascii="黑体" w:hAnsi="黑体" w:eastAsia="黑体" w:cs="Calibri"/>
          <w:kern w:val="0"/>
          <w:sz w:val="32"/>
          <w:szCs w:val="32"/>
        </w:rPr>
        <w:t>一、文件制定的必要性和可行性</w:t>
      </w:r>
    </w:p>
    <w:p w14:paraId="3F2B82A2">
      <w:pPr>
        <w:keepNext w:val="0"/>
        <w:keepLines w:val="0"/>
        <w:pageBreakBefore w:val="0"/>
        <w:kinsoku/>
        <w:wordWrap/>
        <w:overflowPunct/>
        <w:topLinePunct w:val="0"/>
        <w:autoSpaceDE/>
        <w:autoSpaceDN/>
        <w:bidi w:val="0"/>
        <w:adjustRightInd/>
        <w:spacing w:line="560" w:lineRule="exact"/>
        <w:ind w:firstLine="643"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Hans"/>
        </w:rPr>
        <w:t>（一）该文件管理事项所涉及的相关基本情况。</w:t>
      </w:r>
      <w:r>
        <w:rPr>
          <w:rFonts w:hint="eastAsia" w:ascii="仿宋_GB2312" w:hAnsi="仿宋_GB2312" w:eastAsia="仿宋_GB2312" w:cs="仿宋_GB2312"/>
          <w:sz w:val="32"/>
          <w:szCs w:val="32"/>
          <w:lang w:val="en-US" w:eastAsia="zh-CN"/>
        </w:rPr>
        <w:t>根据《中共浙江省委浙江省人民政府关于学前教育深化改革规范发展的实施意见》</w:t>
      </w:r>
      <w:r>
        <w:rPr>
          <w:rFonts w:hint="eastAsia" w:ascii="仿宋_GB2312" w:hAnsi="仿宋_GB2312" w:eastAsia="仿宋_GB2312" w:cs="仿宋_GB2312"/>
          <w:sz w:val="32"/>
          <w:szCs w:val="32"/>
          <w:lang w:eastAsia="zh-CN"/>
        </w:rPr>
        <w:t>《浙江省学前教育发展第四轮行动计划 （2021—2025年）》</w:t>
      </w:r>
      <w:r>
        <w:rPr>
          <w:rFonts w:hint="eastAsia" w:ascii="仿宋_GB2312" w:hAnsi="仿宋_GB2312" w:eastAsia="仿宋_GB2312" w:cs="仿宋_GB2312"/>
          <w:sz w:val="32"/>
          <w:szCs w:val="32"/>
          <w:lang w:val="en-US" w:eastAsia="zh-CN"/>
        </w:rPr>
        <w:t>《杭州市发展学前教育第四轮行动计划（2024—2028年）》，我区要根据省市部署，结合上城实际跟进制定区学前教育第四轮行动计划。目前，上城区是全国学前教育普及普惠区、浙江省完善普惠性学前教育保障机制实验区，学前教育呈现高质量发展态势。随着人口趋势的变化，学前教育将面临新的挑战和机遇，制定新一轮行动计划，有助于上城学前教育在新的时代背景下，更好地为人民群众提供优质普惠安全的学前教育公共服务。</w:t>
      </w:r>
    </w:p>
    <w:p w14:paraId="14A81A01">
      <w:pPr>
        <w:keepNext w:val="0"/>
        <w:keepLines w:val="0"/>
        <w:pageBreakBefore w:val="0"/>
        <w:widowControl/>
        <w:kinsoku/>
        <w:wordWrap/>
        <w:overflowPunct/>
        <w:topLinePunct w:val="0"/>
        <w:autoSpaceDE/>
        <w:autoSpaceDN/>
        <w:bidi w:val="0"/>
        <w:snapToGrid w:val="0"/>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Hans"/>
        </w:rPr>
        <w:t>（二）制定该文件的理由。</w:t>
      </w:r>
      <w:r>
        <w:rPr>
          <w:rFonts w:hint="eastAsia" w:ascii="仿宋_GB2312" w:hAnsi="仿宋_GB2312" w:eastAsia="仿宋_GB2312" w:cs="仿宋_GB2312"/>
          <w:b/>
          <w:bCs/>
          <w:sz w:val="32"/>
          <w:szCs w:val="32"/>
          <w:lang w:val="en-US" w:eastAsia="zh-CN"/>
        </w:rPr>
        <w:t>一是法定职责的要求。</w:t>
      </w:r>
      <w:r>
        <w:rPr>
          <w:rFonts w:hint="eastAsia" w:ascii="仿宋_GB2312" w:hAnsi="仿宋_GB2312" w:eastAsia="仿宋_GB2312" w:cs="仿宋_GB2312"/>
          <w:sz w:val="32"/>
          <w:szCs w:val="32"/>
          <w:lang w:val="en-US" w:eastAsia="zh-CN"/>
        </w:rPr>
        <w:t>《中华人民共和国学前教育法》第八条规定“县级人民政府对本行政区域内学前教育发展负主体责任，负责制定本地学前教育发展规划，统筹幼儿园建设、运行，加强公办幼儿园教师配备补充和工资待遇保障，对幼儿园进行监督管理”，根据法定职责，我区应当及时、科学做好学前教育阶段性发展规划。</w:t>
      </w:r>
      <w:r>
        <w:rPr>
          <w:rFonts w:hint="eastAsia" w:ascii="仿宋_GB2312" w:hAnsi="仿宋_GB2312" w:eastAsia="仿宋_GB2312" w:cs="仿宋_GB2312"/>
          <w:b/>
          <w:bCs/>
          <w:sz w:val="32"/>
          <w:szCs w:val="32"/>
          <w:lang w:val="en-US" w:eastAsia="zh-CN"/>
        </w:rPr>
        <w:t>二是符合学前教育发展上级行动要求。</w:t>
      </w:r>
      <w:r>
        <w:rPr>
          <w:rFonts w:hint="eastAsia" w:ascii="仿宋_GB2312" w:hAnsi="仿宋_GB2312" w:eastAsia="仿宋_GB2312" w:cs="仿宋_GB2312"/>
          <w:sz w:val="32"/>
          <w:szCs w:val="32"/>
          <w:lang w:val="en-US" w:eastAsia="zh-CN"/>
        </w:rPr>
        <w:t>《浙江省学前教育发展第四轮行动计划（2021-2025年）的通知》指出“县（市、区）人民政府落实主体责任，科学规划学前教育发展，建立健全学前教育可持续发展的体制机制，提高综合治理能力，健全并落实学前教育财政经费保障机制和成本分担机制”，《杭州市发展学前教育第四轮行动计划（2024—2028年）》指出“各区、县（市）要按照本计划要求，尽快制定本地区发展学前教育第四轮行动计划，科学确定本地区发展目标任务，把行动计划的实施列入各部门工作的重要议事日程和年度任务，确保各项目标任务落到实处”。我区根据上级部署，须尽快完成行动计划制定和印发。</w:t>
      </w:r>
      <w:r>
        <w:rPr>
          <w:rFonts w:hint="eastAsia" w:ascii="仿宋_GB2312" w:hAnsi="仿宋_GB2312" w:eastAsia="仿宋_GB2312" w:cs="仿宋_GB2312"/>
          <w:b/>
          <w:bCs/>
          <w:sz w:val="32"/>
          <w:szCs w:val="32"/>
          <w:lang w:val="en-US" w:eastAsia="zh-CN"/>
        </w:rPr>
        <w:t>三是学前教育高质量发展的需要。</w:t>
      </w:r>
      <w:r>
        <w:rPr>
          <w:rFonts w:hint="eastAsia" w:ascii="仿宋_GB2312" w:hAnsi="仿宋_GB2312" w:eastAsia="仿宋_GB2312" w:cs="仿宋_GB2312"/>
          <w:sz w:val="32"/>
          <w:szCs w:val="32"/>
          <w:lang w:val="en-US" w:eastAsia="zh-CN"/>
        </w:rPr>
        <w:t>近年来，我区锚定“中国式现代化学前教育区域样板”发展目标，奋力推动优质资源、公办服务、名园集群“三个100%”，全力打造“浙有福娃”学前教育发展体系和特色品牌。随着《教育强国规划纲要（2024-2035）》发布，我区学前教育面临进一步提升首位度、突出引领性的挑战和机遇，立足全省领先、</w:t>
      </w:r>
      <w:bookmarkStart w:id="0" w:name="_GoBack"/>
      <w:bookmarkEnd w:id="0"/>
      <w:r>
        <w:rPr>
          <w:rFonts w:hint="eastAsia" w:ascii="仿宋_GB2312" w:hAnsi="仿宋_GB2312" w:eastAsia="仿宋_GB2312" w:cs="仿宋_GB2312"/>
          <w:sz w:val="32"/>
          <w:szCs w:val="32"/>
          <w:lang w:val="en-US" w:eastAsia="zh-CN"/>
        </w:rPr>
        <w:t>全国辐射的目标，推出比省、市行动计划更高标、有增量的行动计划势在必行。</w:t>
      </w:r>
    </w:p>
    <w:p w14:paraId="5D8687F0">
      <w:pPr>
        <w:keepNext w:val="0"/>
        <w:keepLines w:val="0"/>
        <w:pageBreakBefore w:val="0"/>
        <w:widowControl/>
        <w:kinsoku/>
        <w:wordWrap/>
        <w:overflowPunct/>
        <w:topLinePunct w:val="0"/>
        <w:autoSpaceDE/>
        <w:autoSpaceDN/>
        <w:bidi w:val="0"/>
        <w:snapToGrid w:val="0"/>
        <w:spacing w:line="580" w:lineRule="exact"/>
        <w:ind w:firstLine="640"/>
        <w:textAlignment w:val="auto"/>
        <w:rPr>
          <w:rFonts w:ascii="黑体" w:hAnsi="黑体" w:eastAsia="黑体" w:cs="Calibri"/>
          <w:kern w:val="0"/>
          <w:sz w:val="32"/>
          <w:szCs w:val="32"/>
        </w:rPr>
      </w:pPr>
      <w:r>
        <w:rPr>
          <w:rFonts w:hint="eastAsia" w:ascii="黑体" w:hAnsi="黑体" w:eastAsia="黑体" w:cs="Calibri"/>
          <w:kern w:val="0"/>
          <w:sz w:val="32"/>
          <w:szCs w:val="32"/>
        </w:rPr>
        <w:t>二、需要解决的主要问题、拟规定的主要制度和采取的主要措施</w:t>
      </w:r>
    </w:p>
    <w:p w14:paraId="68010737">
      <w:pPr>
        <w:pStyle w:val="12"/>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杭州市上城区发展学前教育第四轮行动计划（2024—2028年）</w:t>
      </w:r>
      <w:r>
        <w:rPr>
          <w:rFonts w:hint="eastAsia" w:ascii="仿宋_GB2312" w:hAnsi="仿宋_GB2312" w:eastAsia="仿宋_GB2312" w:cs="仿宋_GB2312"/>
          <w:sz w:val="32"/>
          <w:szCs w:val="32"/>
          <w:lang w:eastAsia="zh-Hans"/>
        </w:rPr>
        <w:t>》主要内容有</w:t>
      </w:r>
      <w:r>
        <w:rPr>
          <w:rFonts w:hint="eastAsia" w:ascii="仿宋_GB2312" w:hAnsi="仿宋_GB2312" w:eastAsia="仿宋_GB2312" w:cs="仿宋_GB2312"/>
          <w:sz w:val="32"/>
          <w:szCs w:val="32"/>
          <w:lang w:val="en-US" w:eastAsia="zh-CN"/>
        </w:rPr>
        <w:t>总体要求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主要措施、工作要求。</w:t>
      </w:r>
    </w:p>
    <w:p w14:paraId="13E3A9DC">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）总体要求</w:t>
      </w:r>
    </w:p>
    <w:p w14:paraId="04245549">
      <w:pPr>
        <w:keepNext w:val="0"/>
        <w:keepLines w:val="0"/>
        <w:pageBreakBefore w:val="0"/>
        <w:widowControl/>
        <w:kinsoku/>
        <w:wordWrap/>
        <w:overflowPunct/>
        <w:topLinePunct w:val="0"/>
        <w:autoSpaceDE/>
        <w:autoSpaceDN/>
        <w:bidi w:val="0"/>
        <w:adjustRightInd/>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人民为中心，坚持公益普惠基本方向，强化政府责任，健全保障机制，到2028年，全面建成布局合理、优质普惠、群众满意、全国一流的学前教育公共服务体系，全方位满足广大人民群众对在家门口享受优质学前教育资源的需求，促进儿童健康、快乐成长。</w:t>
      </w:r>
    </w:p>
    <w:p w14:paraId="6ABCFA7C">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）主要措施</w:t>
      </w:r>
    </w:p>
    <w:p w14:paraId="60F457B4">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健全学前教育公共服务体系。</w:t>
      </w:r>
      <w:r>
        <w:rPr>
          <w:rFonts w:hint="eastAsia" w:ascii="仿宋_GB2312" w:hAnsi="仿宋_GB2312" w:eastAsia="仿宋_GB2312" w:cs="仿宋_GB2312"/>
          <w:sz w:val="32"/>
          <w:szCs w:val="32"/>
          <w:lang w:eastAsia="zh-CN"/>
        </w:rPr>
        <w:t>优化学前教育资源布局，实现优质资源全面覆盖；规范城镇住宅小区配套幼儿园建设，</w:t>
      </w:r>
      <w:r>
        <w:rPr>
          <w:rFonts w:hint="eastAsia" w:ascii="仿宋_GB2312" w:hAnsi="仿宋_GB2312" w:eastAsia="仿宋_GB2312" w:cs="仿宋_GB2312"/>
          <w:sz w:val="32"/>
          <w:szCs w:val="32"/>
          <w:lang w:val="en-US" w:eastAsia="zh-CN"/>
        </w:rPr>
        <w:t>分层分类分批推进老旧公办幼儿园维修更新，重点保障幼儿园户外活动场地和运动场地面积</w:t>
      </w:r>
      <w:r>
        <w:rPr>
          <w:rFonts w:hint="eastAsia" w:ascii="仿宋_GB2312" w:hAnsi="仿宋_GB2312" w:eastAsia="仿宋_GB2312" w:cs="仿宋_GB2312"/>
          <w:sz w:val="32"/>
          <w:szCs w:val="32"/>
          <w:lang w:eastAsia="zh-CN"/>
        </w:rPr>
        <w:t>；加快推进托幼一体化建设；完善幼儿园惠民服务体系。</w:t>
      </w:r>
    </w:p>
    <w:p w14:paraId="22F0B711">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完善学前教育经费保障机制。</w:t>
      </w:r>
      <w:r>
        <w:rPr>
          <w:rFonts w:hint="eastAsia" w:ascii="仿宋_GB2312" w:hAnsi="仿宋_GB2312" w:eastAsia="仿宋_GB2312" w:cs="仿宋_GB2312"/>
          <w:sz w:val="32"/>
          <w:szCs w:val="32"/>
          <w:lang w:eastAsia="zh-CN"/>
        </w:rPr>
        <w:t>确保财政性学前教育经费在同级财政性教育经费中占合理比例</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学前教育生均日常公用经费；切实解决家庭经济困难儿童入园问题；规范社会力量举办普惠性幼儿园。</w:t>
      </w:r>
    </w:p>
    <w:p w14:paraId="254490E5">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加强学前教育师资队伍建设。</w:t>
      </w:r>
      <w:r>
        <w:rPr>
          <w:rFonts w:hint="eastAsia" w:ascii="仿宋_GB2312" w:hAnsi="仿宋_GB2312" w:eastAsia="仿宋_GB2312" w:cs="仿宋_GB2312"/>
          <w:sz w:val="32"/>
          <w:szCs w:val="32"/>
          <w:lang w:eastAsia="zh-CN"/>
        </w:rPr>
        <w:t>严格落实每班“两教一保”；切实保障幼儿园教师工资待遇</w:t>
      </w:r>
      <w:r>
        <w:rPr>
          <w:rFonts w:hint="eastAsia" w:ascii="仿宋_GB2312" w:hAnsi="仿宋_GB2312" w:eastAsia="仿宋_GB2312" w:cs="仿宋_GB2312"/>
          <w:sz w:val="32"/>
          <w:szCs w:val="32"/>
          <w:lang w:val="en-US" w:eastAsia="zh-CN"/>
        </w:rPr>
        <w:t>和职业发展权益；</w:t>
      </w:r>
      <w:r>
        <w:rPr>
          <w:rFonts w:hint="eastAsia" w:ascii="仿宋_GB2312" w:hAnsi="仿宋_GB2312" w:eastAsia="仿宋_GB2312" w:cs="仿宋_GB2312"/>
          <w:sz w:val="32"/>
          <w:szCs w:val="32"/>
          <w:lang w:eastAsia="zh-CN"/>
        </w:rPr>
        <w:t>强化师德师风建设，完善研训体系，培养一批享有较高声誉和业务能力的学前教育</w:t>
      </w:r>
      <w:r>
        <w:rPr>
          <w:rFonts w:hint="eastAsia" w:ascii="仿宋_GB2312" w:hAnsi="仿宋_GB2312" w:eastAsia="仿宋_GB2312" w:cs="仿宋_GB2312"/>
          <w:sz w:val="32"/>
          <w:szCs w:val="32"/>
          <w:lang w:val="en-US" w:eastAsia="zh-CN"/>
        </w:rPr>
        <w:t>名优</w:t>
      </w:r>
      <w:r>
        <w:rPr>
          <w:rFonts w:hint="eastAsia" w:ascii="仿宋_GB2312" w:hAnsi="仿宋_GB2312" w:eastAsia="仿宋_GB2312" w:cs="仿宋_GB2312"/>
          <w:sz w:val="32"/>
          <w:szCs w:val="32"/>
          <w:lang w:eastAsia="zh-CN"/>
        </w:rPr>
        <w:t>专家、园长。</w:t>
      </w:r>
    </w:p>
    <w:p w14:paraId="4838A740">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提升学前教育保教质量。</w:t>
      </w:r>
      <w:r>
        <w:rPr>
          <w:rFonts w:hint="eastAsia" w:ascii="仿宋_GB2312" w:hAnsi="仿宋_GB2312" w:eastAsia="仿宋_GB2312" w:cs="仿宋_GB2312"/>
          <w:b w:val="0"/>
          <w:bCs w:val="0"/>
          <w:sz w:val="32"/>
          <w:szCs w:val="32"/>
          <w:lang w:val="en-US" w:eastAsia="zh-CN"/>
        </w:rPr>
        <w:t>探索</w:t>
      </w:r>
      <w:r>
        <w:rPr>
          <w:rFonts w:hint="eastAsia" w:ascii="仿宋_GB2312" w:hAnsi="仿宋_GB2312" w:eastAsia="仿宋_GB2312" w:cs="仿宋_GB2312"/>
          <w:sz w:val="32"/>
          <w:szCs w:val="32"/>
          <w:lang w:eastAsia="zh-CN"/>
        </w:rPr>
        <w:t>建立上城区幼儿发展评估体系，</w:t>
      </w:r>
      <w:r>
        <w:rPr>
          <w:rFonts w:hint="eastAsia" w:ascii="仿宋_GB2312" w:hAnsi="仿宋_GB2312" w:eastAsia="仿宋_GB2312" w:cs="仿宋_GB2312"/>
          <w:sz w:val="32"/>
          <w:szCs w:val="32"/>
          <w:lang w:val="en-US" w:eastAsia="zh-CN"/>
        </w:rPr>
        <w:t>创建学前教育“金名片”</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一级幼儿园数量及在园幼儿占比，加快省现代化幼儿园创建；深化幼儿园课程改革；建立幼儿园与小学科学衔接的长效机制。</w:t>
      </w:r>
    </w:p>
    <w:p w14:paraId="6A0D5D3E">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加强学前教育监督管理。</w:t>
      </w:r>
      <w:r>
        <w:rPr>
          <w:rFonts w:hint="eastAsia" w:ascii="仿宋_GB2312" w:hAnsi="仿宋_GB2312" w:eastAsia="仿宋_GB2312" w:cs="仿宋_GB2312"/>
          <w:sz w:val="32"/>
          <w:szCs w:val="32"/>
          <w:lang w:eastAsia="zh-CN"/>
        </w:rPr>
        <w:t>提升跨部门协同治理能力；健全完善全覆盖的幼儿园安全防护和监督体系，</w:t>
      </w:r>
      <w:r>
        <w:rPr>
          <w:rFonts w:hint="eastAsia" w:ascii="仿宋_GB2312" w:hAnsi="仿宋_GB2312" w:eastAsia="仿宋_GB2312" w:cs="仿宋_GB2312"/>
          <w:b w:val="0"/>
          <w:bCs w:val="0"/>
          <w:i w:val="0"/>
          <w:caps w:val="0"/>
          <w:color w:val="auto"/>
          <w:spacing w:val="0"/>
          <w:sz w:val="32"/>
          <w:szCs w:val="32"/>
          <w:highlight w:val="none"/>
          <w:shd w:val="clear" w:color="080000" w:fill="auto"/>
          <w:lang w:val="en-US" w:eastAsia="zh-CN"/>
        </w:rPr>
        <w:t>提升安全工作硬件保障水平，</w:t>
      </w:r>
      <w:r>
        <w:rPr>
          <w:rFonts w:hint="eastAsia" w:ascii="仿宋_GB2312" w:hAnsi="仿宋_GB2312" w:eastAsia="仿宋_GB2312" w:cs="仿宋_GB2312"/>
          <w:sz w:val="32"/>
          <w:szCs w:val="32"/>
          <w:lang w:eastAsia="zh-CN"/>
        </w:rPr>
        <w:t>严格落实安全工作园长负责制；严格幼儿园准入管理</w:t>
      </w:r>
      <w:r>
        <w:rPr>
          <w:rFonts w:hint="eastAsia" w:ascii="仿宋_GB2312" w:hAnsi="仿宋_GB2312" w:eastAsia="仿宋_GB2312" w:cs="仿宋_GB2312"/>
          <w:sz w:val="32"/>
          <w:szCs w:val="32"/>
          <w:lang w:val="en-US" w:eastAsia="zh-CN"/>
        </w:rPr>
        <w:t>和违规动态整改清理。</w:t>
      </w:r>
    </w:p>
    <w:p w14:paraId="7A2558F1">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）工作要求</w:t>
      </w:r>
    </w:p>
    <w:p w14:paraId="42B04BED">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加强组织领导。</w:t>
      </w:r>
      <w:r>
        <w:rPr>
          <w:rFonts w:hint="eastAsia" w:ascii="仿宋_GB2312" w:hAnsi="仿宋_GB2312" w:eastAsia="仿宋_GB2312" w:cs="仿宋_GB2312"/>
          <w:sz w:val="32"/>
          <w:szCs w:val="32"/>
          <w:lang w:eastAsia="zh-CN"/>
        </w:rPr>
        <w:t>落实责任分工，加大政策支持和条件保障力度，确保本轮行动计划的目标任务落实到位。</w:t>
      </w:r>
    </w:p>
    <w:p w14:paraId="2220C122">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完善工作机制。</w:t>
      </w:r>
      <w:r>
        <w:rPr>
          <w:rFonts w:hint="eastAsia" w:ascii="仿宋_GB2312" w:hAnsi="仿宋_GB2312" w:eastAsia="仿宋_GB2312" w:cs="仿宋_GB2312"/>
          <w:sz w:val="32"/>
          <w:szCs w:val="32"/>
          <w:lang w:eastAsia="zh-CN"/>
        </w:rPr>
        <w:t>进一步完善学前教育综合改革协调机制，及时协调解决热点和难点问题。</w:t>
      </w:r>
    </w:p>
    <w:p w14:paraId="0E959E7C">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强化督导问责。</w:t>
      </w:r>
      <w:r>
        <w:rPr>
          <w:rFonts w:hint="eastAsia" w:ascii="仿宋_GB2312" w:hAnsi="仿宋_GB2312" w:eastAsia="仿宋_GB2312" w:cs="仿宋_GB2312"/>
          <w:sz w:val="32"/>
          <w:szCs w:val="32"/>
          <w:lang w:eastAsia="zh-CN"/>
        </w:rPr>
        <w:t>加大督导考核力度，</w:t>
      </w:r>
      <w:r>
        <w:rPr>
          <w:rFonts w:hint="eastAsia" w:ascii="仿宋_GB2312" w:hAnsi="仿宋_GB2312" w:eastAsia="仿宋_GB2312" w:cs="仿宋_GB2312"/>
          <w:sz w:val="32"/>
          <w:szCs w:val="32"/>
          <w:lang w:val="en-US" w:eastAsia="zh-CN"/>
        </w:rPr>
        <w:t>开展规范管理专项督查，促进</w:t>
      </w:r>
      <w:r>
        <w:rPr>
          <w:rFonts w:hint="eastAsia" w:ascii="仿宋_GB2312" w:hAnsi="仿宋_GB2312" w:eastAsia="仿宋_GB2312" w:cs="仿宋_GB2312"/>
          <w:sz w:val="32"/>
          <w:szCs w:val="32"/>
          <w:lang w:eastAsia="zh-CN"/>
        </w:rPr>
        <w:t>学前教育普及普惠优质发展。</w:t>
      </w:r>
    </w:p>
    <w:p w14:paraId="6B8F6E53">
      <w:pPr>
        <w:keepNext w:val="0"/>
        <w:keepLines w:val="0"/>
        <w:pageBreakBefore w:val="0"/>
        <w:widowControl/>
        <w:kinsoku/>
        <w:wordWrap/>
        <w:overflowPunct/>
        <w:topLinePunct w:val="0"/>
        <w:autoSpaceDE/>
        <w:autoSpaceDN/>
        <w:bidi w:val="0"/>
        <w:snapToGrid w:val="0"/>
        <w:spacing w:line="580" w:lineRule="exact"/>
        <w:ind w:firstLine="640"/>
        <w:textAlignment w:val="auto"/>
        <w:rPr>
          <w:rFonts w:ascii="黑体" w:hAnsi="黑体" w:eastAsia="黑体" w:cs="Calibri"/>
          <w:kern w:val="0"/>
          <w:sz w:val="32"/>
          <w:szCs w:val="32"/>
        </w:rPr>
      </w:pPr>
      <w:r>
        <w:rPr>
          <w:rFonts w:hint="eastAsia" w:ascii="黑体" w:hAnsi="黑体" w:eastAsia="黑体" w:cs="Calibri"/>
          <w:kern w:val="0"/>
          <w:sz w:val="32"/>
          <w:szCs w:val="32"/>
        </w:rPr>
        <w:t>三、依据的法律、法规、规章和政策</w:t>
      </w:r>
    </w:p>
    <w:p w14:paraId="746A6288">
      <w:pPr>
        <w:keepNext w:val="0"/>
        <w:keepLines w:val="0"/>
        <w:pageBreakBefore w:val="0"/>
        <w:widowControl/>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《杭州市上城区发展学前教育第四轮行动计划（2024—2028年）》制定主要根据《中华人民共和国</w:t>
      </w:r>
      <w:r>
        <w:rPr>
          <w:rFonts w:hint="eastAsia" w:ascii="仿宋_GB2312" w:hAnsi="仿宋_GB2312" w:eastAsia="仿宋_GB2312" w:cs="仿宋_GB2312"/>
          <w:sz w:val="32"/>
          <w:szCs w:val="32"/>
          <w:lang w:val="en-US" w:eastAsia="zh-CN"/>
        </w:rPr>
        <w:t>学前教育法</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《中共中央国务院关于学前教育深化改革规范发展的若干意见》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《中共浙江省委浙江省人民政府关于学前教育深化改革规范发展的实施意见》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rPr>
        <w:t>《浙江省学前教育条例》</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sz w:val="32"/>
          <w:szCs w:val="32"/>
          <w:lang w:eastAsia="zh-Hans"/>
        </w:rPr>
        <w:t>《浙江省学前教育发展第四轮行动计划（2021-2025年）的通知》</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Hans"/>
        </w:rPr>
        <w:t>《杭州市发展学前教育第四轮行动计划（2024-2028年）》</w:t>
      </w:r>
      <w:r>
        <w:rPr>
          <w:rFonts w:hint="eastAsia" w:ascii="仿宋_GB2312" w:hAnsi="仿宋_GB2312" w:eastAsia="仿宋_GB2312" w:cs="仿宋_GB2312"/>
          <w:sz w:val="32"/>
          <w:szCs w:val="32"/>
          <w:lang w:eastAsia="zh-CN"/>
        </w:rPr>
        <w:t>。</w:t>
      </w:r>
    </w:p>
    <w:p w14:paraId="0770B107">
      <w:pPr>
        <w:keepNext w:val="0"/>
        <w:keepLines w:val="0"/>
        <w:pageBreakBefore w:val="0"/>
        <w:widowControl/>
        <w:kinsoku/>
        <w:wordWrap/>
        <w:overflowPunct/>
        <w:topLinePunct w:val="0"/>
        <w:autoSpaceDE/>
        <w:autoSpaceDN/>
        <w:bidi w:val="0"/>
        <w:snapToGrid w:val="0"/>
        <w:spacing w:line="580" w:lineRule="exact"/>
        <w:ind w:firstLine="640"/>
        <w:jc w:val="right"/>
        <w:textAlignment w:val="auto"/>
        <w:rPr>
          <w:rFonts w:hint="eastAsia" w:ascii="仿宋_GB2312" w:hAnsi="仿宋_GB2312" w:eastAsia="仿宋_GB2312" w:cs="仿宋_GB2312"/>
          <w:sz w:val="32"/>
          <w:szCs w:val="32"/>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wMGU2MjM1ZGY4MWE0ZTQ3NTU1ZDIxYWZjODg1ZTUifQ=="/>
  </w:docVars>
  <w:rsids>
    <w:rsidRoot w:val="37E4327A"/>
    <w:rsid w:val="00045221"/>
    <w:rsid w:val="00095F49"/>
    <w:rsid w:val="000A2BA1"/>
    <w:rsid w:val="00165A89"/>
    <w:rsid w:val="001811A9"/>
    <w:rsid w:val="001A4FB0"/>
    <w:rsid w:val="001F40E7"/>
    <w:rsid w:val="002E23EE"/>
    <w:rsid w:val="00315931"/>
    <w:rsid w:val="00370DE3"/>
    <w:rsid w:val="003723F3"/>
    <w:rsid w:val="00385242"/>
    <w:rsid w:val="004500F1"/>
    <w:rsid w:val="00486993"/>
    <w:rsid w:val="00535A32"/>
    <w:rsid w:val="0056787A"/>
    <w:rsid w:val="00656838"/>
    <w:rsid w:val="0066024B"/>
    <w:rsid w:val="0068323C"/>
    <w:rsid w:val="00784519"/>
    <w:rsid w:val="00794213"/>
    <w:rsid w:val="007D7D13"/>
    <w:rsid w:val="008C7120"/>
    <w:rsid w:val="00906AC3"/>
    <w:rsid w:val="00927C15"/>
    <w:rsid w:val="009A1701"/>
    <w:rsid w:val="00B122F1"/>
    <w:rsid w:val="00B13C25"/>
    <w:rsid w:val="00B24397"/>
    <w:rsid w:val="00B57729"/>
    <w:rsid w:val="00B926FA"/>
    <w:rsid w:val="00BD569B"/>
    <w:rsid w:val="00C03E35"/>
    <w:rsid w:val="00CB5386"/>
    <w:rsid w:val="00CD26C0"/>
    <w:rsid w:val="00CD3417"/>
    <w:rsid w:val="00CF1A25"/>
    <w:rsid w:val="00CF5E5B"/>
    <w:rsid w:val="00D20068"/>
    <w:rsid w:val="00D37CC6"/>
    <w:rsid w:val="00D468BE"/>
    <w:rsid w:val="00D46D4A"/>
    <w:rsid w:val="00D959CA"/>
    <w:rsid w:val="00DA0693"/>
    <w:rsid w:val="00E12346"/>
    <w:rsid w:val="00E24EEF"/>
    <w:rsid w:val="00E5240A"/>
    <w:rsid w:val="00F63697"/>
    <w:rsid w:val="00FD18C5"/>
    <w:rsid w:val="05AE6EBA"/>
    <w:rsid w:val="06D52E89"/>
    <w:rsid w:val="0A6F565E"/>
    <w:rsid w:val="0B300F76"/>
    <w:rsid w:val="0B5E0480"/>
    <w:rsid w:val="0C4B78CA"/>
    <w:rsid w:val="119D0633"/>
    <w:rsid w:val="13B642FE"/>
    <w:rsid w:val="1503730E"/>
    <w:rsid w:val="1D70376F"/>
    <w:rsid w:val="22883309"/>
    <w:rsid w:val="257A23F5"/>
    <w:rsid w:val="25E8200F"/>
    <w:rsid w:val="275814FC"/>
    <w:rsid w:val="27B923E1"/>
    <w:rsid w:val="28391856"/>
    <w:rsid w:val="294B6B4C"/>
    <w:rsid w:val="2A8E2B33"/>
    <w:rsid w:val="32004C6A"/>
    <w:rsid w:val="320E459F"/>
    <w:rsid w:val="333F17C2"/>
    <w:rsid w:val="37E4327A"/>
    <w:rsid w:val="3B08242C"/>
    <w:rsid w:val="3C096E11"/>
    <w:rsid w:val="3D432708"/>
    <w:rsid w:val="42B7731A"/>
    <w:rsid w:val="431659FF"/>
    <w:rsid w:val="44FC7513"/>
    <w:rsid w:val="45303661"/>
    <w:rsid w:val="454C282C"/>
    <w:rsid w:val="4DCF6132"/>
    <w:rsid w:val="51D0075F"/>
    <w:rsid w:val="51F6135C"/>
    <w:rsid w:val="538F59F6"/>
    <w:rsid w:val="54C33BA9"/>
    <w:rsid w:val="5B61054A"/>
    <w:rsid w:val="5C531CB7"/>
    <w:rsid w:val="5CD64696"/>
    <w:rsid w:val="60575AEE"/>
    <w:rsid w:val="640E515F"/>
    <w:rsid w:val="660C01DA"/>
    <w:rsid w:val="68AD274F"/>
    <w:rsid w:val="6C152AE5"/>
    <w:rsid w:val="6E983A15"/>
    <w:rsid w:val="72E90827"/>
    <w:rsid w:val="77132317"/>
    <w:rsid w:val="7D947ABF"/>
    <w:rsid w:val="7F5D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autoRedefine/>
    <w:qFormat/>
    <w:uiPriority w:val="0"/>
  </w:style>
  <w:style w:type="paragraph" w:styleId="3">
    <w:name w:val="Normal Indent"/>
    <w:basedOn w:val="1"/>
    <w:next w:val="4"/>
    <w:qFormat/>
    <w:uiPriority w:val="0"/>
    <w:pPr>
      <w:ind w:firstLine="200" w:firstLineChars="200"/>
    </w:pPr>
    <w:rPr>
      <w:rFonts w:ascii="Times New Roman" w:hAnsi="Times New Roman"/>
    </w:rPr>
  </w:style>
  <w:style w:type="paragraph" w:styleId="4">
    <w:name w:val="toc 1"/>
    <w:basedOn w:val="1"/>
    <w:next w:val="1"/>
    <w:unhideWhenUsed/>
    <w:qFormat/>
    <w:uiPriority w:val="39"/>
    <w:rPr>
      <w:rFonts w:hint="eastAsia" w:ascii="黑体" w:eastAsia="黑体"/>
      <w:sz w:val="32"/>
    </w:r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0"/>
    <w:rPr>
      <w:b/>
    </w:rPr>
  </w:style>
  <w:style w:type="character" w:customStyle="1" w:styleId="10">
    <w:name w:val="页眉 字符"/>
    <w:basedOn w:val="8"/>
    <w:link w:val="6"/>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5"/>
    <w:autoRedefine/>
    <w:qFormat/>
    <w:uiPriority w:val="0"/>
    <w:rPr>
      <w:rFonts w:asciiTheme="minorHAnsi" w:hAnsiTheme="minorHAnsi" w:eastAsiaTheme="minorEastAsia" w:cstheme="minorBidi"/>
      <w:kern w:val="2"/>
      <w:sz w:val="18"/>
      <w:szCs w:val="18"/>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江干区文广新局</Company>
  <Pages>4</Pages>
  <Words>2394</Words>
  <Characters>2509</Characters>
  <Lines>15</Lines>
  <Paragraphs>4</Paragraphs>
  <TotalTime>17</TotalTime>
  <ScaleCrop>false</ScaleCrop>
  <LinksUpToDate>false</LinksUpToDate>
  <CharactersWithSpaces>2510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2023-07-05T03:05:00Z</dcterms:created>
  <dc:creator>lenovo001</dc:creator>
  <cp:lastModifiedBy>王燕春</cp:lastModifiedBy>
  <dcterms:modified xsi:type="dcterms:W3CDTF">2025-02-07T08:39:45Z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F595F9E891A841CF8FB569CCCEAFB868</vt:lpwstr>
  </property>
  <property fmtid="{D5CDD505-2E9C-101B-9397-08002B2CF9AE}" pid="4" name="KSOTemplateDocerSaveRecord">
    <vt:lpwstr>eyJoZGlkIjoiNzMwMGU2MjM1ZGY4MWE0ZTQ3NTU1ZDIxYWZjODg1ZTUifQ==</vt:lpwstr>
  </property>
</Properties>
</file>