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40715">
      <w:pPr>
        <w:pStyle w:val="12"/>
        <w:ind w:firstLine="0" w:firstLineChars="0"/>
        <w:rPr>
          <w:rFonts w:hint="eastAsia" w:ascii="黑体" w:hAnsi="黑体" w:eastAsia="黑体" w:cs="黑体"/>
          <w:color w:val="auto"/>
          <w:highlight w:val="none"/>
          <w:lang w:eastAsia="zh-CN"/>
        </w:rPr>
      </w:pPr>
      <w:bookmarkStart w:id="0" w:name="_GoBack"/>
      <w:bookmarkEnd w:id="0"/>
      <w:r>
        <w:rPr>
          <w:rFonts w:hint="eastAsia" w:ascii="黑体" w:hAnsi="黑体" w:eastAsia="黑体" w:cs="黑体"/>
          <w:color w:val="auto"/>
          <w:highlight w:val="none"/>
          <w:lang w:eastAsia="zh-CN"/>
        </w:rPr>
        <w:t>附件：</w:t>
      </w:r>
    </w:p>
    <w:p w14:paraId="442E8D2A">
      <w:pPr>
        <w:pStyle w:val="8"/>
        <w:rPr>
          <w:rFonts w:hint="eastAsia"/>
          <w:lang w:eastAsia="zh-CN"/>
        </w:rPr>
      </w:pPr>
    </w:p>
    <w:p w14:paraId="454BDAA9">
      <w:pPr>
        <w:pStyle w:val="14"/>
        <w:rPr>
          <w:rFonts w:hint="eastAsia"/>
          <w:color w:val="auto"/>
          <w:highlight w:val="none"/>
        </w:rPr>
      </w:pPr>
      <w:r>
        <w:rPr>
          <w:rFonts w:hint="eastAsia"/>
          <w:color w:val="auto"/>
          <w:highlight w:val="none"/>
        </w:rPr>
        <w:t>省发展改革委 省市场监管局关于规范电动自行车充电收费行为的通知</w:t>
      </w:r>
    </w:p>
    <w:p w14:paraId="141334E4">
      <w:pPr>
        <w:pStyle w:val="12"/>
        <w:ind w:firstLine="2880" w:firstLineChars="900"/>
        <w:rPr>
          <w:rFonts w:hint="eastAsia" w:ascii="Times New Roman" w:hAnsi="Times New Roman" w:eastAsia="仿宋_GB2312" w:cstheme="minorBidi"/>
          <w:color w:val="333333"/>
          <w:kern w:val="2"/>
          <w:sz w:val="32"/>
          <w:szCs w:val="22"/>
          <w:highlight w:val="none"/>
          <w:lang w:val="en-US" w:eastAsia="zh-CN" w:bidi="ar-SA"/>
        </w:rPr>
      </w:pPr>
      <w:r>
        <w:rPr>
          <w:rFonts w:hint="eastAsia" w:ascii="Times New Roman" w:hAnsi="Times New Roman" w:eastAsia="仿宋_GB2312" w:cstheme="minorBidi"/>
          <w:color w:val="333333"/>
          <w:kern w:val="2"/>
          <w:sz w:val="32"/>
          <w:szCs w:val="22"/>
          <w:highlight w:val="none"/>
          <w:lang w:val="en-US" w:eastAsia="zh-CN" w:bidi="ar-SA"/>
        </w:rPr>
        <w:t>（征求意见稿）</w:t>
      </w:r>
    </w:p>
    <w:p w14:paraId="264E8729">
      <w:pPr>
        <w:pStyle w:val="8"/>
        <w:rPr>
          <w:rFonts w:hint="eastAsia"/>
        </w:rPr>
      </w:pPr>
    </w:p>
    <w:p w14:paraId="3EDB81D5">
      <w:pPr>
        <w:pStyle w:val="8"/>
        <w:ind w:firstLine="0" w:firstLineChars="0"/>
        <w:rPr>
          <w:color w:val="auto"/>
          <w:highlight w:val="none"/>
        </w:rPr>
      </w:pPr>
      <w:r>
        <w:rPr>
          <w:rFonts w:hint="eastAsia"/>
          <w:color w:val="auto"/>
          <w:highlight w:val="none"/>
        </w:rPr>
        <w:t>各设区市、县（市、区）发展改革委（局）、市场监管局，国网浙江省电力有限公司：</w:t>
      </w:r>
    </w:p>
    <w:p w14:paraId="10916116">
      <w:pPr>
        <w:pStyle w:val="8"/>
        <w:ind w:firstLine="640"/>
        <w:rPr>
          <w:color w:val="auto"/>
          <w:highlight w:val="none"/>
        </w:rPr>
      </w:pPr>
      <w:r>
        <w:rPr>
          <w:rFonts w:hint="eastAsia"/>
          <w:color w:val="auto"/>
          <w:highlight w:val="none"/>
        </w:rPr>
        <w:t>为进一步贯彻《国家发展改革委办公厅</w:t>
      </w:r>
      <w:r>
        <w:rPr>
          <w:color w:val="auto"/>
          <w:highlight w:val="none"/>
        </w:rPr>
        <w:t xml:space="preserve"> </w:t>
      </w:r>
      <w:r>
        <w:rPr>
          <w:rFonts w:hint="eastAsia"/>
          <w:color w:val="auto"/>
          <w:highlight w:val="none"/>
        </w:rPr>
        <w:t>市场监管总局办公厅关于规范电动自行车充电收费行为的通知》（发改办价格〔202</w:t>
      </w:r>
      <w:r>
        <w:rPr>
          <w:color w:val="auto"/>
          <w:highlight w:val="none"/>
        </w:rPr>
        <w:t>4</w:t>
      </w:r>
      <w:r>
        <w:rPr>
          <w:rFonts w:hint="eastAsia"/>
          <w:color w:val="auto"/>
          <w:highlight w:val="none"/>
        </w:rPr>
        <w:t>〕537号）精神，按照我省关于电动自行车安全隐患全链条整治的工作要求，现将有关事项通知如下：</w:t>
      </w:r>
    </w:p>
    <w:p w14:paraId="543A071B">
      <w:pPr>
        <w:pStyle w:val="8"/>
        <w:ind w:firstLine="640"/>
        <w:rPr>
          <w:rFonts w:hint="eastAsia" w:ascii="黑体" w:hAnsi="黑体" w:eastAsia="黑体" w:cs="黑体"/>
          <w:color w:val="auto"/>
          <w:highlight w:val="none"/>
        </w:rPr>
      </w:pPr>
      <w:r>
        <w:rPr>
          <w:rFonts w:hint="eastAsia" w:ascii="黑体" w:hAnsi="黑体" w:eastAsia="黑体" w:cs="黑体"/>
          <w:color w:val="auto"/>
          <w:highlight w:val="none"/>
        </w:rPr>
        <w:t>一、充电费用实行价费分离，严格明码标价</w:t>
      </w:r>
    </w:p>
    <w:p w14:paraId="3A5BBE0D">
      <w:pPr>
        <w:pStyle w:val="8"/>
        <w:ind w:firstLine="640"/>
        <w:rPr>
          <w:color w:val="auto"/>
          <w:highlight w:val="none"/>
        </w:rPr>
      </w:pPr>
      <w:r>
        <w:rPr>
          <w:rFonts w:hint="eastAsia"/>
          <w:color w:val="auto"/>
          <w:highlight w:val="none"/>
        </w:rPr>
        <w:t>充电费用主要包括充电电费和服务费。充电设施运营单位应按照明码标价有关规定，在充电场所、手机应用程序、微信公众号等醒目位置分别标示充电电价、服务费项目与收费标准，不得收取任何未予标明的费用。单次充电结束后，充电设施运营单位应向用户推送计费模式、充电时长、充电电量以及收费金额等信息。</w:t>
      </w:r>
    </w:p>
    <w:p w14:paraId="649676BA">
      <w:pPr>
        <w:pStyle w:val="8"/>
        <w:ind w:firstLine="640"/>
        <w:rPr>
          <w:color w:val="auto"/>
          <w:highlight w:val="none"/>
        </w:rPr>
      </w:pPr>
      <w:r>
        <w:rPr>
          <w:rFonts w:hint="eastAsia"/>
          <w:color w:val="auto"/>
          <w:highlight w:val="none"/>
        </w:rPr>
        <w:t>各地发展改革部门要会同住建、市场监管等相关部门明确充电设施升级改造时间节点，对已纳入当地增建改建计划的充停场所，原则上应从建设完工之日起，实现充电设施电量单独计量和价费分离，其他场所</w:t>
      </w:r>
      <w:r>
        <w:rPr>
          <w:rFonts w:hint="eastAsia"/>
          <w:color w:val="auto"/>
          <w:highlight w:val="none"/>
          <w:lang w:eastAsia="zh-CN"/>
        </w:rPr>
        <w:t>原则上</w:t>
      </w:r>
      <w:r>
        <w:rPr>
          <w:rFonts w:hint="eastAsia"/>
          <w:color w:val="auto"/>
          <w:highlight w:val="none"/>
        </w:rPr>
        <w:t>自2025年1月1日起全面实现充电电量单独计量和价费分离。</w:t>
      </w:r>
    </w:p>
    <w:p w14:paraId="58C89732">
      <w:pPr>
        <w:pStyle w:val="8"/>
        <w:ind w:firstLine="640"/>
        <w:rPr>
          <w:rFonts w:hint="eastAsia" w:ascii="黑体" w:hAnsi="黑体" w:eastAsia="黑体" w:cs="黑体"/>
          <w:color w:val="auto"/>
          <w:highlight w:val="none"/>
        </w:rPr>
      </w:pPr>
      <w:r>
        <w:rPr>
          <w:rFonts w:hint="eastAsia" w:ascii="黑体" w:hAnsi="黑体" w:eastAsia="黑体" w:cs="黑体"/>
          <w:color w:val="auto"/>
          <w:highlight w:val="none"/>
        </w:rPr>
        <w:t>二、严格落实有关电价政策，推动电网直接供电服务</w:t>
      </w:r>
    </w:p>
    <w:p w14:paraId="68B31DB6">
      <w:pPr>
        <w:pStyle w:val="8"/>
        <w:ind w:firstLine="640"/>
        <w:rPr>
          <w:rFonts w:hint="eastAsia"/>
          <w:color w:val="auto"/>
          <w:highlight w:val="none"/>
        </w:rPr>
      </w:pPr>
      <w:r>
        <w:rPr>
          <w:rFonts w:hint="eastAsia"/>
          <w:color w:val="auto"/>
          <w:highlight w:val="none"/>
        </w:rPr>
        <w:t>居民住宅小区内的电动自行车充电设施用电，电网企业、物业单位、充电设施运营单位、用户等环节主体间应按居民合表用户电价计收充电电费，</w:t>
      </w:r>
      <w:r>
        <w:rPr>
          <w:rFonts w:hint="eastAsia"/>
          <w:color w:val="auto"/>
          <w:highlight w:val="none"/>
          <w:lang w:eastAsia="zh-CN"/>
        </w:rPr>
        <w:t>报装主体可自愿申请</w:t>
      </w:r>
      <w:r>
        <w:rPr>
          <w:rFonts w:hint="eastAsia"/>
          <w:color w:val="auto"/>
          <w:highlight w:val="none"/>
        </w:rPr>
        <w:t>执行峰谷分时电价，选定后在12个月之内保持不变。峰谷分时电价在居民合表用户电价的基础上，高峰时段（8:00-22:00）上浮0.03元/千瓦时，低谷时段（22:00-次日8:00）下浮0.25元/千瓦时</w:t>
      </w:r>
      <w:r>
        <w:rPr>
          <w:rFonts w:hint="eastAsia"/>
          <w:color w:val="auto"/>
          <w:highlight w:val="none"/>
          <w:lang w:eastAsia="zh-CN"/>
        </w:rPr>
        <w:t>，</w:t>
      </w:r>
      <w:r>
        <w:rPr>
          <w:rFonts w:hint="eastAsia"/>
          <w:color w:val="auto"/>
          <w:highlight w:val="none"/>
        </w:rPr>
        <w:t>具体电价水平见</w:t>
      </w:r>
      <w:r>
        <w:rPr>
          <w:rFonts w:hint="eastAsia"/>
          <w:color w:val="auto"/>
          <w:highlight w:val="none"/>
          <w:lang w:eastAsia="zh-CN"/>
        </w:rPr>
        <w:t>下表</w:t>
      </w:r>
      <w:r>
        <w:rPr>
          <w:rFonts w:hint="eastAsia"/>
          <w:color w:val="auto"/>
          <w:highlight w:val="none"/>
        </w:rPr>
        <w:t>。</w:t>
      </w:r>
    </w:p>
    <w:p w14:paraId="06B48D8D">
      <w:pPr>
        <w:jc w:val="center"/>
        <w:rPr>
          <w:rFonts w:hint="eastAsia" w:ascii="黑体" w:hAnsi="黑体" w:eastAsia="黑体" w:cs="Times New Roman"/>
          <w:color w:val="auto"/>
          <w:sz w:val="28"/>
          <w:szCs w:val="28"/>
          <w:highlight w:val="none"/>
          <w:shd w:val="clear" w:color="auto" w:fill="FFFFFF"/>
        </w:rPr>
      </w:pPr>
      <w:r>
        <w:rPr>
          <w:rFonts w:hint="eastAsia" w:ascii="黑体" w:hAnsi="黑体" w:eastAsia="黑体" w:cs="Times New Roman"/>
          <w:color w:val="auto"/>
          <w:sz w:val="28"/>
          <w:szCs w:val="28"/>
          <w:highlight w:val="none"/>
          <w:shd w:val="clear" w:color="auto" w:fill="FFFFFF"/>
        </w:rPr>
        <w:t>居民住宅小区内电动自行车充电设施电价表</w:t>
      </w:r>
    </w:p>
    <w:p w14:paraId="74EFA980">
      <w:pPr>
        <w:spacing w:line="400" w:lineRule="exact"/>
        <w:jc w:val="right"/>
        <w:rPr>
          <w:rFonts w:ascii="Times New Roman" w:hAnsi="Times New Roman" w:eastAsia="仿宋_GB2312" w:cs="Times New Roman"/>
          <w:color w:val="auto"/>
          <w:sz w:val="28"/>
          <w:szCs w:val="28"/>
          <w:highlight w:val="none"/>
          <w:shd w:val="clear" w:color="auto" w:fill="FFFFFF"/>
        </w:rPr>
      </w:pPr>
      <w:r>
        <w:rPr>
          <w:rFonts w:hint="eastAsia" w:ascii="Times New Roman" w:hAnsi="Times New Roman" w:eastAsia="仿宋_GB2312" w:cs="Times New Roman"/>
          <w:color w:val="auto"/>
          <w:sz w:val="28"/>
          <w:szCs w:val="28"/>
          <w:highlight w:val="none"/>
          <w:shd w:val="clear" w:color="auto" w:fill="FFFFFF"/>
        </w:rPr>
        <w:t>单位：元/千瓦时</w:t>
      </w:r>
    </w:p>
    <w:tbl>
      <w:tblPr>
        <w:tblStyle w:val="4"/>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5"/>
        <w:gridCol w:w="1651"/>
        <w:gridCol w:w="2085"/>
        <w:gridCol w:w="2541"/>
      </w:tblGrid>
      <w:tr w14:paraId="60D23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blHeader/>
        </w:trPr>
        <w:tc>
          <w:tcPr>
            <w:tcW w:w="14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EFEADB">
            <w:pPr>
              <w:widowControl/>
              <w:jc w:val="center"/>
              <w:textAlignment w:val="auto"/>
              <w:rPr>
                <w:rFonts w:hint="eastAsia" w:ascii="黑体" w:hAnsi="黑体" w:eastAsia="黑体" w:cs="Times New Roman"/>
                <w:color w:val="auto"/>
                <w:sz w:val="24"/>
                <w:szCs w:val="24"/>
                <w:highlight w:val="none"/>
                <w:shd w:val="clear" w:color="auto" w:fill="FFFFFF"/>
              </w:rPr>
            </w:pPr>
            <w:r>
              <w:rPr>
                <w:rFonts w:hint="eastAsia" w:ascii="黑体" w:hAnsi="黑体" w:eastAsia="黑体" w:cs="Times New Roman"/>
                <w:b w:val="0"/>
                <w:bCs w:val="0"/>
                <w:color w:val="auto"/>
                <w:kern w:val="2"/>
                <w:sz w:val="24"/>
                <w:szCs w:val="24"/>
                <w:highlight w:val="none"/>
                <w:shd w:val="clear" w:color="auto" w:fill="FFFFFF"/>
                <w:lang w:bidi="ar"/>
              </w:rPr>
              <w:t>电压等级</w:t>
            </w:r>
          </w:p>
        </w:tc>
        <w:tc>
          <w:tcPr>
            <w:tcW w:w="9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1127B1">
            <w:pPr>
              <w:widowControl/>
              <w:jc w:val="center"/>
              <w:textAlignment w:val="auto"/>
              <w:rPr>
                <w:rFonts w:hint="eastAsia" w:ascii="黑体" w:hAnsi="黑体" w:eastAsia="黑体" w:cs="Times New Roman"/>
                <w:color w:val="auto"/>
                <w:sz w:val="24"/>
                <w:szCs w:val="24"/>
                <w:highlight w:val="none"/>
                <w:shd w:val="clear" w:color="auto" w:fill="FFFFFF"/>
              </w:rPr>
            </w:pPr>
            <w:r>
              <w:rPr>
                <w:rFonts w:hint="eastAsia" w:ascii="黑体" w:hAnsi="黑体" w:eastAsia="黑体" w:cs="Times New Roman"/>
                <w:b w:val="0"/>
                <w:bCs w:val="0"/>
                <w:color w:val="auto"/>
                <w:kern w:val="2"/>
                <w:sz w:val="24"/>
                <w:szCs w:val="24"/>
                <w:highlight w:val="none"/>
                <w:shd w:val="clear" w:color="auto" w:fill="FFFFFF"/>
                <w:lang w:bidi="ar"/>
              </w:rPr>
              <w:t>不执行峰谷分时电价</w:t>
            </w:r>
          </w:p>
        </w:tc>
        <w:tc>
          <w:tcPr>
            <w:tcW w:w="26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4D255">
            <w:pPr>
              <w:widowControl/>
              <w:jc w:val="center"/>
              <w:textAlignment w:val="auto"/>
              <w:rPr>
                <w:rFonts w:hint="eastAsia" w:ascii="黑体" w:hAnsi="黑体" w:eastAsia="黑体" w:cs="Times New Roman"/>
                <w:color w:val="auto"/>
                <w:sz w:val="24"/>
                <w:szCs w:val="24"/>
                <w:highlight w:val="none"/>
                <w:shd w:val="clear" w:color="auto" w:fill="FFFFFF"/>
              </w:rPr>
            </w:pPr>
            <w:r>
              <w:rPr>
                <w:rFonts w:hint="eastAsia" w:ascii="黑体" w:hAnsi="黑体" w:eastAsia="黑体" w:cs="Times New Roman"/>
                <w:b w:val="0"/>
                <w:bCs w:val="0"/>
                <w:color w:val="auto"/>
                <w:kern w:val="2"/>
                <w:sz w:val="24"/>
                <w:szCs w:val="24"/>
                <w:highlight w:val="none"/>
                <w:shd w:val="clear" w:color="auto" w:fill="FFFFFF"/>
                <w:lang w:bidi="ar"/>
              </w:rPr>
              <w:t>执行峰谷分时电价</w:t>
            </w:r>
          </w:p>
        </w:tc>
      </w:tr>
      <w:tr w14:paraId="1877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blHeader/>
        </w:trPr>
        <w:tc>
          <w:tcPr>
            <w:tcW w:w="14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0D04A">
            <w:pPr>
              <w:widowControl/>
              <w:jc w:val="center"/>
              <w:rPr>
                <w:rFonts w:hint="eastAsia" w:ascii="黑体" w:hAnsi="黑体" w:eastAsia="黑体" w:cs="Times New Roman"/>
                <w:color w:val="auto"/>
                <w:sz w:val="24"/>
                <w:szCs w:val="24"/>
                <w:highlight w:val="none"/>
                <w:shd w:val="clear" w:color="auto" w:fill="FFFFFF"/>
              </w:rPr>
            </w:pPr>
          </w:p>
        </w:tc>
        <w:tc>
          <w:tcPr>
            <w:tcW w:w="9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6DAB2">
            <w:pPr>
              <w:widowControl/>
              <w:jc w:val="center"/>
              <w:rPr>
                <w:rFonts w:hint="eastAsia" w:ascii="黑体" w:hAnsi="黑体" w:eastAsia="黑体" w:cs="Times New Roman"/>
                <w:color w:val="auto"/>
                <w:sz w:val="24"/>
                <w:szCs w:val="24"/>
                <w:highlight w:val="none"/>
                <w:shd w:val="clear" w:color="auto" w:fill="FFFFFF"/>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3B6EF">
            <w:pPr>
              <w:widowControl/>
              <w:jc w:val="center"/>
              <w:textAlignment w:val="auto"/>
              <w:rPr>
                <w:rFonts w:hint="eastAsia" w:ascii="黑体" w:hAnsi="黑体" w:eastAsia="黑体" w:cs="Times New Roman"/>
                <w:b w:val="0"/>
                <w:bCs w:val="0"/>
                <w:color w:val="auto"/>
                <w:kern w:val="2"/>
                <w:sz w:val="24"/>
                <w:szCs w:val="24"/>
                <w:highlight w:val="none"/>
                <w:shd w:val="clear" w:color="auto" w:fill="FFFFFF"/>
                <w:lang w:bidi="ar"/>
              </w:rPr>
            </w:pPr>
            <w:r>
              <w:rPr>
                <w:rFonts w:hint="eastAsia" w:ascii="黑体" w:hAnsi="黑体" w:eastAsia="黑体" w:cs="Times New Roman"/>
                <w:b w:val="0"/>
                <w:bCs w:val="0"/>
                <w:color w:val="auto"/>
                <w:kern w:val="2"/>
                <w:sz w:val="24"/>
                <w:szCs w:val="24"/>
                <w:highlight w:val="none"/>
                <w:shd w:val="clear" w:color="auto" w:fill="FFFFFF"/>
                <w:lang w:bidi="ar"/>
              </w:rPr>
              <w:t>高峰时段</w:t>
            </w:r>
          </w:p>
          <w:p w14:paraId="4C6F164B">
            <w:pPr>
              <w:widowControl/>
              <w:jc w:val="center"/>
              <w:textAlignment w:val="auto"/>
              <w:rPr>
                <w:rFonts w:hint="eastAsia" w:ascii="黑体" w:hAnsi="黑体" w:eastAsia="黑体" w:cs="Times New Roman"/>
                <w:color w:val="auto"/>
                <w:sz w:val="24"/>
                <w:szCs w:val="24"/>
                <w:highlight w:val="none"/>
                <w:shd w:val="clear" w:color="auto" w:fill="FFFFFF"/>
              </w:rPr>
            </w:pPr>
            <w:r>
              <w:rPr>
                <w:rFonts w:hint="eastAsia" w:ascii="黑体" w:hAnsi="黑体" w:eastAsia="黑体" w:cs="Times New Roman"/>
                <w:color w:val="auto"/>
                <w:sz w:val="24"/>
                <w:szCs w:val="24"/>
                <w:highlight w:val="none"/>
                <w:shd w:val="clear" w:color="auto" w:fill="FFFFFF"/>
              </w:rPr>
              <w:t>（8:00-22:00）</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2F54A">
            <w:pPr>
              <w:widowControl/>
              <w:jc w:val="center"/>
              <w:textAlignment w:val="auto"/>
              <w:rPr>
                <w:rFonts w:hint="eastAsia" w:ascii="黑体" w:hAnsi="黑体" w:eastAsia="黑体" w:cs="Times New Roman"/>
                <w:b w:val="0"/>
                <w:bCs w:val="0"/>
                <w:color w:val="auto"/>
                <w:kern w:val="2"/>
                <w:sz w:val="24"/>
                <w:szCs w:val="24"/>
                <w:highlight w:val="none"/>
                <w:shd w:val="clear" w:color="auto" w:fill="FFFFFF"/>
                <w:lang w:bidi="ar"/>
              </w:rPr>
            </w:pPr>
            <w:r>
              <w:rPr>
                <w:rFonts w:hint="eastAsia" w:ascii="黑体" w:hAnsi="黑体" w:eastAsia="黑体" w:cs="Times New Roman"/>
                <w:b w:val="0"/>
                <w:bCs w:val="0"/>
                <w:color w:val="auto"/>
                <w:kern w:val="2"/>
                <w:sz w:val="24"/>
                <w:szCs w:val="24"/>
                <w:highlight w:val="none"/>
                <w:shd w:val="clear" w:color="auto" w:fill="FFFFFF"/>
                <w:lang w:bidi="ar"/>
              </w:rPr>
              <w:t>低谷时段</w:t>
            </w:r>
          </w:p>
          <w:p w14:paraId="68CCD744">
            <w:pPr>
              <w:widowControl/>
              <w:jc w:val="center"/>
              <w:textAlignment w:val="auto"/>
              <w:rPr>
                <w:rFonts w:hint="eastAsia" w:ascii="黑体" w:hAnsi="黑体" w:eastAsia="黑体" w:cs="Times New Roman"/>
                <w:color w:val="auto"/>
                <w:sz w:val="24"/>
                <w:szCs w:val="24"/>
                <w:highlight w:val="none"/>
                <w:shd w:val="clear" w:color="auto" w:fill="FFFFFF"/>
              </w:rPr>
            </w:pPr>
            <w:r>
              <w:rPr>
                <w:rFonts w:hint="eastAsia" w:ascii="黑体" w:hAnsi="黑体" w:eastAsia="黑体" w:cs="Times New Roman"/>
                <w:color w:val="auto"/>
                <w:sz w:val="24"/>
                <w:szCs w:val="24"/>
                <w:highlight w:val="none"/>
                <w:shd w:val="clear" w:color="auto" w:fill="FFFFFF"/>
              </w:rPr>
              <w:t>（22:00-</w:t>
            </w:r>
            <w:r>
              <w:rPr>
                <w:rFonts w:hint="eastAsia" w:ascii="黑体" w:hAnsi="黑体" w:eastAsia="黑体" w:cs="Times New Roman"/>
                <w:color w:val="auto"/>
                <w:sz w:val="24"/>
                <w:szCs w:val="24"/>
                <w:highlight w:val="none"/>
                <w:shd w:val="clear" w:color="auto" w:fill="FFFFFF"/>
                <w:lang w:eastAsia="zh-CN"/>
              </w:rPr>
              <w:t>次日</w:t>
            </w:r>
            <w:r>
              <w:rPr>
                <w:rFonts w:hint="eastAsia" w:ascii="黑体" w:hAnsi="黑体" w:eastAsia="黑体" w:cs="Times New Roman"/>
                <w:color w:val="auto"/>
                <w:sz w:val="24"/>
                <w:szCs w:val="24"/>
                <w:highlight w:val="none"/>
                <w:shd w:val="clear" w:color="auto" w:fill="FFFFFF"/>
              </w:rPr>
              <w:t>8:00）</w:t>
            </w:r>
          </w:p>
        </w:tc>
      </w:tr>
      <w:tr w14:paraId="1DD68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blHeader/>
        </w:trPr>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DAB5F">
            <w:pPr>
              <w:widowControl/>
              <w:jc w:val="center"/>
              <w:textAlignment w:val="center"/>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pacing w:val="-20"/>
                <w:kern w:val="0"/>
                <w:sz w:val="28"/>
                <w:szCs w:val="28"/>
                <w:highlight w:val="none"/>
                <w:lang w:bidi="ar"/>
              </w:rPr>
              <w:t>不满1千伏合表</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8DF06">
            <w:pPr>
              <w:jc w:val="center"/>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shd w:val="clear" w:color="auto" w:fill="FFFFFF"/>
              </w:rPr>
              <w:t>0.558</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3F0EF">
            <w:pPr>
              <w:jc w:val="center"/>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0.588</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1DDCE">
            <w:pPr>
              <w:jc w:val="center"/>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0.308</w:t>
            </w:r>
          </w:p>
        </w:tc>
      </w:tr>
      <w:tr w14:paraId="52562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BA5DF">
            <w:pPr>
              <w:widowControl/>
              <w:jc w:val="center"/>
              <w:textAlignment w:val="center"/>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pacing w:val="-20"/>
                <w:kern w:val="0"/>
                <w:sz w:val="28"/>
                <w:szCs w:val="28"/>
                <w:highlight w:val="none"/>
                <w:lang w:bidi="ar"/>
              </w:rPr>
              <w:t>1-10千伏及以上合表</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27906">
            <w:pPr>
              <w:jc w:val="center"/>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shd w:val="clear" w:color="auto" w:fill="FFFFFF"/>
              </w:rPr>
              <w:t>0.538</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06C3E">
            <w:pPr>
              <w:jc w:val="center"/>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0.568</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9EFD0">
            <w:pPr>
              <w:jc w:val="center"/>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0.288</w:t>
            </w:r>
          </w:p>
        </w:tc>
      </w:tr>
    </w:tbl>
    <w:p w14:paraId="50C83259">
      <w:pPr>
        <w:pStyle w:val="8"/>
        <w:ind w:firstLine="640"/>
        <w:rPr>
          <w:color w:val="auto"/>
          <w:highlight w:val="none"/>
        </w:rPr>
      </w:pPr>
      <w:r>
        <w:rPr>
          <w:rFonts w:hint="eastAsia"/>
          <w:color w:val="auto"/>
          <w:highlight w:val="none"/>
        </w:rPr>
        <w:t>居民住宅小区以外的电动自行车充电设施用电，按其所在场所电价政策执行。</w:t>
      </w:r>
    </w:p>
    <w:p w14:paraId="4C0A5E2A">
      <w:pPr>
        <w:pStyle w:val="8"/>
        <w:ind w:firstLine="640"/>
        <w:rPr>
          <w:color w:val="auto"/>
          <w:highlight w:val="none"/>
        </w:rPr>
      </w:pPr>
      <w:r>
        <w:rPr>
          <w:rFonts w:hint="eastAsia"/>
          <w:color w:val="auto"/>
          <w:highlight w:val="none"/>
        </w:rPr>
        <w:t>电网企业应按照“能改尽改”的原则，对具备条件的充电设施加快改造，尽快实现向充电设施运营单位直接供电；2025年1月1日以后新建居民住宅小区的</w:t>
      </w:r>
      <w:r>
        <w:rPr>
          <w:rFonts w:hint="eastAsia"/>
          <w:color w:val="auto"/>
          <w:highlight w:val="none"/>
          <w:lang w:eastAsia="zh-CN"/>
        </w:rPr>
        <w:t>电动自行车</w:t>
      </w:r>
      <w:r>
        <w:rPr>
          <w:rFonts w:hint="eastAsia"/>
          <w:color w:val="auto"/>
          <w:highlight w:val="none"/>
        </w:rPr>
        <w:t>充电设施，原则上应当由电网企业直接供电。</w:t>
      </w:r>
    </w:p>
    <w:p w14:paraId="1A49A796">
      <w:pPr>
        <w:pStyle w:val="8"/>
        <w:ind w:firstLine="640"/>
        <w:rPr>
          <w:rFonts w:hint="eastAsia" w:ascii="黑体" w:hAnsi="黑体" w:eastAsia="黑体" w:cs="黑体"/>
          <w:color w:val="auto"/>
          <w:highlight w:val="none"/>
        </w:rPr>
      </w:pPr>
      <w:r>
        <w:rPr>
          <w:rFonts w:hint="eastAsia" w:ascii="黑体" w:hAnsi="黑体" w:eastAsia="黑体" w:cs="黑体"/>
          <w:color w:val="auto"/>
          <w:highlight w:val="none"/>
        </w:rPr>
        <w:t>三、推动降低充电服务费，减轻群众充电负担</w:t>
      </w:r>
    </w:p>
    <w:p w14:paraId="6F008B73">
      <w:pPr>
        <w:pStyle w:val="8"/>
        <w:ind w:firstLine="640"/>
        <w:rPr>
          <w:color w:val="auto"/>
          <w:highlight w:val="none"/>
        </w:rPr>
      </w:pPr>
      <w:r>
        <w:rPr>
          <w:rFonts w:hint="eastAsia"/>
          <w:color w:val="auto"/>
          <w:highlight w:val="none"/>
        </w:rPr>
        <w:t>充电设施运营单位应充分考虑户外充电设施的公共服务属性和民生属性，按照弥补成本、合理收益、诚实信用原则，结合市场供需状况，合理制定充电服务费标准。鼓励发挥国企的示范引领作用，倡导充电设施建设、物业服务、运营等环节主体单位，主动让利，降低建设运营成本，降低充电服务费用，减轻群众充电负担。</w:t>
      </w:r>
    </w:p>
    <w:p w14:paraId="57B7DEBB">
      <w:pPr>
        <w:pStyle w:val="8"/>
        <w:ind w:firstLine="640"/>
        <w:rPr>
          <w:rFonts w:hint="eastAsia" w:ascii="黑体" w:hAnsi="黑体" w:eastAsia="黑体" w:cs="黑体"/>
          <w:color w:val="auto"/>
          <w:highlight w:val="none"/>
        </w:rPr>
      </w:pPr>
      <w:r>
        <w:rPr>
          <w:rFonts w:hint="eastAsia" w:ascii="黑体" w:hAnsi="黑体" w:eastAsia="黑体" w:cs="黑体"/>
          <w:color w:val="auto"/>
          <w:highlight w:val="none"/>
        </w:rPr>
        <w:t>四、加强宣传引导和价格监</w:t>
      </w:r>
      <w:r>
        <w:rPr>
          <w:rFonts w:hint="eastAsia" w:ascii="黑体" w:hAnsi="黑体" w:eastAsia="黑体" w:cs="黑体"/>
          <w:color w:val="auto"/>
          <w:highlight w:val="none"/>
          <w:lang w:eastAsia="zh-CN"/>
        </w:rPr>
        <w:t>督</w:t>
      </w:r>
      <w:r>
        <w:rPr>
          <w:rFonts w:hint="eastAsia" w:ascii="黑体" w:hAnsi="黑体" w:eastAsia="黑体" w:cs="黑体"/>
          <w:color w:val="auto"/>
          <w:highlight w:val="none"/>
        </w:rPr>
        <w:t>检查力度</w:t>
      </w:r>
    </w:p>
    <w:p w14:paraId="572372F8">
      <w:pPr>
        <w:pStyle w:val="8"/>
        <w:ind w:firstLine="640"/>
        <w:rPr>
          <w:rFonts w:hint="eastAsia"/>
          <w:color w:val="auto"/>
          <w:highlight w:val="none"/>
        </w:rPr>
      </w:pPr>
      <w:r>
        <w:rPr>
          <w:rFonts w:hint="eastAsia"/>
          <w:color w:val="auto"/>
          <w:highlight w:val="none"/>
        </w:rPr>
        <w:t>各地要加大政策宣贯力度，通过开展联合约谈、提醒告诫等方式，进一步规范电动自行车充电收费行为。市场监管部门要结合相关投诉举报和人民群众反映，加大监督检查力度，依法查处不执行政府定价、不按规定明码标价等违法行为。</w:t>
      </w:r>
    </w:p>
    <w:p w14:paraId="4AB14E0A">
      <w:pPr>
        <w:pStyle w:val="8"/>
        <w:keepNext w:val="0"/>
        <w:keepLines w:val="0"/>
        <w:pageBreakBefore w:val="0"/>
        <w:widowControl w:val="0"/>
        <w:kinsoku/>
        <w:wordWrap/>
        <w:overflowPunct/>
        <w:topLinePunct w:val="0"/>
        <w:autoSpaceDE/>
        <w:autoSpaceDN w:val="0"/>
        <w:bidi w:val="0"/>
        <w:adjustRightInd w:val="0"/>
        <w:snapToGrid/>
        <w:spacing w:before="0" w:after="0" w:line="579" w:lineRule="exact"/>
        <w:ind w:right="0" w:rightChars="0" w:firstLine="640"/>
        <w:jc w:val="right"/>
        <w:textAlignment w:val="auto"/>
        <w:outlineLvl w:val="0"/>
        <w:rPr>
          <w:rFonts w:hint="default" w:ascii="Times New Roman" w:hAnsi="Times New Roman" w:eastAsia="仿宋_GB2312" w:cs="Times New Roman"/>
          <w:snapToGrid/>
          <w:spacing w:val="0"/>
          <w:w w:val="100"/>
          <w:kern w:val="2"/>
          <w:sz w:val="32"/>
          <w:szCs w:val="32"/>
        </w:rPr>
      </w:pPr>
      <w:r>
        <w:rPr>
          <w:rFonts w:hint="eastAsia" w:ascii="Times New Roman" w:hAnsi="Times New Roman" w:eastAsia="仿宋_GB2312" w:cstheme="minorBidi"/>
          <w:color w:val="auto"/>
          <w:kern w:val="2"/>
          <w:sz w:val="32"/>
          <w:szCs w:val="22"/>
          <w:highlight w:val="none"/>
          <w:lang w:val="en-US" w:eastAsia="zh-CN" w:bidi="ar-SA"/>
        </w:rPr>
        <w:t>《省发展改革委关于电动自行车集中充电电价政策有关事项的通知》</w:t>
      </w:r>
      <w:r>
        <w:rPr>
          <w:rFonts w:hint="eastAsia" w:cstheme="minorBidi"/>
          <w:color w:val="auto"/>
          <w:kern w:val="2"/>
          <w:sz w:val="32"/>
          <w:szCs w:val="22"/>
          <w:highlight w:val="none"/>
          <w:lang w:val="en-US" w:eastAsia="zh-CN" w:bidi="ar-SA"/>
        </w:rPr>
        <w:t>（</w:t>
      </w:r>
      <w:r>
        <w:rPr>
          <w:rFonts w:hint="default" w:ascii="Times New Roman" w:hAnsi="Times New Roman" w:cs="Times New Roman"/>
          <w:spacing w:val="0"/>
          <w:w w:val="100"/>
          <w:sz w:val="32"/>
          <w:szCs w:val="32"/>
        </w:rPr>
        <w:t>浙发改价格函〔2022〕80号</w:t>
      </w:r>
      <w:r>
        <w:rPr>
          <w:rFonts w:hint="eastAsia" w:cstheme="minorBidi"/>
          <w:color w:val="auto"/>
          <w:kern w:val="2"/>
          <w:sz w:val="32"/>
          <w:szCs w:val="22"/>
          <w:highlight w:val="none"/>
          <w:lang w:val="en-US" w:eastAsia="zh-CN" w:bidi="ar-SA"/>
        </w:rPr>
        <w:t>）停止执行。</w:t>
      </w:r>
    </w:p>
    <w:p w14:paraId="19729A7F">
      <w:pPr>
        <w:keepNext w:val="0"/>
        <w:keepLines w:val="0"/>
        <w:pageBreakBefore w:val="0"/>
        <w:widowControl w:val="0"/>
        <w:kinsoku/>
        <w:wordWrap/>
        <w:overflowPunct/>
        <w:topLinePunct w:val="0"/>
        <w:autoSpaceDE/>
        <w:autoSpaceDN w:val="0"/>
        <w:bidi w:val="0"/>
        <w:adjustRightInd w:val="0"/>
        <w:snapToGrid/>
        <w:spacing w:before="0" w:after="0" w:line="579" w:lineRule="exact"/>
        <w:ind w:right="0" w:rightChars="0"/>
        <w:jc w:val="both"/>
        <w:textAlignment w:val="auto"/>
        <w:outlineLvl w:val="0"/>
        <w:rPr>
          <w:rFonts w:hint="default" w:ascii="Times New Roman" w:hAnsi="Times New Roman" w:eastAsia="仿宋_GB2312" w:cs="Times New Roman"/>
          <w:snapToGrid/>
          <w:spacing w:val="0"/>
          <w:w w:val="100"/>
          <w:kern w:val="2"/>
          <w:sz w:val="32"/>
          <w:szCs w:val="32"/>
        </w:rPr>
      </w:pPr>
    </w:p>
    <w:p w14:paraId="4EE9DE2A">
      <w:pPr>
        <w:pStyle w:val="8"/>
        <w:ind w:firstLine="640"/>
        <w:rPr>
          <w:color w:val="auto"/>
          <w:highlight w:val="none"/>
        </w:rPr>
      </w:pPr>
    </w:p>
    <w:p w14:paraId="5170C5A6">
      <w:pPr>
        <w:pStyle w:val="8"/>
        <w:ind w:firstLine="0" w:firstLineChars="0"/>
        <w:jc w:val="right"/>
        <w:rPr>
          <w:rFonts w:hint="eastAsia"/>
          <w:color w:val="auto"/>
          <w:highlight w:val="none"/>
        </w:rPr>
      </w:pPr>
      <w:r>
        <w:rPr>
          <w:rFonts w:hint="eastAsia"/>
          <w:color w:val="auto"/>
          <w:highlight w:val="none"/>
        </w:rPr>
        <w:t>浙江省发展和改革委员会</w:t>
      </w:r>
      <w:r>
        <w:rPr>
          <w:rFonts w:ascii="仿宋_GB2312" w:hAnsi="微软雅黑"/>
          <w:color w:val="auto"/>
          <w:szCs w:val="32"/>
          <w:highlight w:val="none"/>
        </w:rPr>
        <w:t> </w:t>
      </w:r>
      <w:r>
        <w:rPr>
          <w:rFonts w:hint="eastAsia" w:ascii="仿宋_GB2312" w:hAnsi="微软雅黑"/>
          <w:color w:val="auto"/>
          <w:szCs w:val="32"/>
          <w:highlight w:val="none"/>
        </w:rPr>
        <w:t xml:space="preserve"> 浙江省市场监督管理局</w:t>
      </w:r>
    </w:p>
    <w:p w14:paraId="337E567D">
      <w:pPr>
        <w:pStyle w:val="8"/>
        <w:ind w:firstLine="4160" w:firstLineChars="1300"/>
        <w:jc w:val="both"/>
        <w:rPr>
          <w:rFonts w:hint="eastAsia"/>
          <w:color w:val="auto"/>
          <w:highlight w:val="none"/>
        </w:rPr>
      </w:pPr>
      <w:r>
        <w:rPr>
          <w:rFonts w:hint="eastAsia"/>
          <w:color w:val="auto"/>
          <w:highlight w:val="none"/>
        </w:rPr>
        <w:t>2024年9月</w:t>
      </w:r>
      <w:r>
        <w:rPr>
          <w:rFonts w:hint="eastAsia"/>
          <w:color w:val="auto"/>
          <w:highlight w:val="none"/>
          <w:lang w:val="en-US" w:eastAsia="zh-CN"/>
        </w:rPr>
        <w:t>23</w:t>
      </w:r>
      <w:r>
        <w:rPr>
          <w:rFonts w:hint="eastAsia"/>
          <w:color w:val="auto"/>
          <w:highlight w:val="none"/>
        </w:rPr>
        <w:t>日</w:t>
      </w:r>
    </w:p>
    <w:p w14:paraId="79AC0B12">
      <w:pPr>
        <w:pStyle w:val="8"/>
        <w:ind w:firstLine="4972" w:firstLineChars="1554"/>
        <w:jc w:val="both"/>
        <w:rPr>
          <w:rFonts w:hint="eastAsia"/>
          <w:color w:val="auto"/>
          <w:highlight w:val="none"/>
        </w:rPr>
      </w:pPr>
    </w:p>
    <w:p w14:paraId="2B24FF73">
      <w:pPr>
        <w:pStyle w:val="8"/>
        <w:ind w:firstLine="4972" w:firstLineChars="1554"/>
        <w:jc w:val="both"/>
        <w:rPr>
          <w:rFonts w:hint="eastAsia"/>
          <w:color w:val="auto"/>
          <w:highlight w:val="none"/>
        </w:rPr>
      </w:pPr>
    </w:p>
    <w:p w14:paraId="7AC391C9">
      <w:pPr>
        <w:pStyle w:val="8"/>
        <w:ind w:firstLine="4972" w:firstLineChars="1554"/>
        <w:jc w:val="both"/>
        <w:rPr>
          <w:rFonts w:hint="eastAsia"/>
          <w:color w:val="auto"/>
          <w:highlight w:val="none"/>
        </w:rPr>
      </w:pPr>
    </w:p>
    <w:p w14:paraId="334252D4">
      <w:pPr>
        <w:pStyle w:val="8"/>
        <w:ind w:firstLine="4972" w:firstLineChars="1554"/>
        <w:jc w:val="both"/>
        <w:rPr>
          <w:rFonts w:hint="eastAsia"/>
          <w:color w:val="auto"/>
          <w:highlight w:val="none"/>
        </w:rPr>
      </w:pPr>
    </w:p>
    <w:p w14:paraId="1BE03F4E">
      <w:pPr>
        <w:pStyle w:val="8"/>
        <w:ind w:firstLine="4972" w:firstLineChars="1554"/>
        <w:jc w:val="both"/>
        <w:rPr>
          <w:rFonts w:hint="eastAsia"/>
          <w:color w:val="auto"/>
          <w:highlight w:val="none"/>
        </w:rPr>
      </w:pPr>
    </w:p>
    <w:p w14:paraId="77AEF80A">
      <w:pPr>
        <w:spacing w:line="592" w:lineRule="exact"/>
        <w:rPr>
          <w:rFonts w:ascii="Times New Roman" w:hAnsi="Times New Roman" w:eastAsia="仿宋_GB2312" w:cs="Times New Roman"/>
          <w:color w:val="auto"/>
          <w:sz w:val="32"/>
          <w:szCs w:val="32"/>
          <w:highlight w:val="none"/>
          <w:shd w:val="clear" w:color="auto" w:fill="FFFFFF"/>
        </w:rPr>
      </w:pPr>
    </w:p>
    <w:p w14:paraId="4888CEF9">
      <w:pPr>
        <w:pStyle w:val="8"/>
        <w:ind w:firstLine="640"/>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iZTFkMjUyYWFjZTkzNDAzNDAzNmFiMTU0N2JjM2IifQ=="/>
  </w:docVars>
  <w:rsids>
    <w:rsidRoot w:val="00B62472"/>
    <w:rsid w:val="000109CE"/>
    <w:rsid w:val="00144A7A"/>
    <w:rsid w:val="00162286"/>
    <w:rsid w:val="001939BE"/>
    <w:rsid w:val="001C35A7"/>
    <w:rsid w:val="00201530"/>
    <w:rsid w:val="0022780D"/>
    <w:rsid w:val="00233115"/>
    <w:rsid w:val="002351B1"/>
    <w:rsid w:val="002937D4"/>
    <w:rsid w:val="002B385E"/>
    <w:rsid w:val="002D5425"/>
    <w:rsid w:val="00302F90"/>
    <w:rsid w:val="003058F9"/>
    <w:rsid w:val="0032658B"/>
    <w:rsid w:val="00345942"/>
    <w:rsid w:val="00393731"/>
    <w:rsid w:val="003D58E1"/>
    <w:rsid w:val="004668E2"/>
    <w:rsid w:val="004900FD"/>
    <w:rsid w:val="00497224"/>
    <w:rsid w:val="004C72A4"/>
    <w:rsid w:val="00516C85"/>
    <w:rsid w:val="00586742"/>
    <w:rsid w:val="00595A8A"/>
    <w:rsid w:val="005A0459"/>
    <w:rsid w:val="005B3AFA"/>
    <w:rsid w:val="00600628"/>
    <w:rsid w:val="00605210"/>
    <w:rsid w:val="00640992"/>
    <w:rsid w:val="00656D1E"/>
    <w:rsid w:val="006938CE"/>
    <w:rsid w:val="006B0B0A"/>
    <w:rsid w:val="006B57CE"/>
    <w:rsid w:val="0071074D"/>
    <w:rsid w:val="00713896"/>
    <w:rsid w:val="007879DB"/>
    <w:rsid w:val="007A19A6"/>
    <w:rsid w:val="007D4A85"/>
    <w:rsid w:val="00835A4F"/>
    <w:rsid w:val="00856341"/>
    <w:rsid w:val="00870150"/>
    <w:rsid w:val="00894C90"/>
    <w:rsid w:val="008B3CC1"/>
    <w:rsid w:val="008D32B3"/>
    <w:rsid w:val="009909A3"/>
    <w:rsid w:val="009A77E2"/>
    <w:rsid w:val="009C3732"/>
    <w:rsid w:val="009C48E4"/>
    <w:rsid w:val="009E586E"/>
    <w:rsid w:val="009F49C5"/>
    <w:rsid w:val="00A7614B"/>
    <w:rsid w:val="00AA26A8"/>
    <w:rsid w:val="00AB6EED"/>
    <w:rsid w:val="00B32DF1"/>
    <w:rsid w:val="00B37D50"/>
    <w:rsid w:val="00B62472"/>
    <w:rsid w:val="00B67B07"/>
    <w:rsid w:val="00B92283"/>
    <w:rsid w:val="00BF0092"/>
    <w:rsid w:val="00BF3A63"/>
    <w:rsid w:val="00C10D13"/>
    <w:rsid w:val="00C22757"/>
    <w:rsid w:val="00CA7C41"/>
    <w:rsid w:val="00CB5CBB"/>
    <w:rsid w:val="00CD1483"/>
    <w:rsid w:val="00D81412"/>
    <w:rsid w:val="00D84E65"/>
    <w:rsid w:val="00DA1C10"/>
    <w:rsid w:val="00DA75C6"/>
    <w:rsid w:val="00E00D6C"/>
    <w:rsid w:val="00E255AC"/>
    <w:rsid w:val="00F0738D"/>
    <w:rsid w:val="00F51708"/>
    <w:rsid w:val="00F57791"/>
    <w:rsid w:val="00FB4692"/>
    <w:rsid w:val="00FD5645"/>
    <w:rsid w:val="0CE7715B"/>
    <w:rsid w:val="18CB6125"/>
    <w:rsid w:val="1DD02233"/>
    <w:rsid w:val="2BEF8188"/>
    <w:rsid w:val="2F7F5E16"/>
    <w:rsid w:val="37FFC24D"/>
    <w:rsid w:val="3DBD035F"/>
    <w:rsid w:val="3DFFB7CD"/>
    <w:rsid w:val="3E6FFF7E"/>
    <w:rsid w:val="3EBF5524"/>
    <w:rsid w:val="3FF76E0F"/>
    <w:rsid w:val="3FFB557D"/>
    <w:rsid w:val="3FFF4B70"/>
    <w:rsid w:val="47A39B17"/>
    <w:rsid w:val="4CF9B955"/>
    <w:rsid w:val="4FFB4E85"/>
    <w:rsid w:val="53677BD4"/>
    <w:rsid w:val="5B6F44E7"/>
    <w:rsid w:val="5B760F68"/>
    <w:rsid w:val="5BAFCF39"/>
    <w:rsid w:val="5BFF8BB8"/>
    <w:rsid w:val="5E7FE28D"/>
    <w:rsid w:val="5FD7499F"/>
    <w:rsid w:val="64FE2239"/>
    <w:rsid w:val="6BFFBE3D"/>
    <w:rsid w:val="6DDA0AE4"/>
    <w:rsid w:val="6DFBF86B"/>
    <w:rsid w:val="6F1F0BDD"/>
    <w:rsid w:val="6F7B7140"/>
    <w:rsid w:val="6FEE1D50"/>
    <w:rsid w:val="6FFF75CE"/>
    <w:rsid w:val="732662CF"/>
    <w:rsid w:val="737F445B"/>
    <w:rsid w:val="73FD6E14"/>
    <w:rsid w:val="77BF14B2"/>
    <w:rsid w:val="7AF70DB5"/>
    <w:rsid w:val="7AFFEEB7"/>
    <w:rsid w:val="7B6FC4A7"/>
    <w:rsid w:val="7C5501CE"/>
    <w:rsid w:val="7D3DA7DF"/>
    <w:rsid w:val="7DFF2A96"/>
    <w:rsid w:val="7E8F4904"/>
    <w:rsid w:val="7F5F3373"/>
    <w:rsid w:val="7F752288"/>
    <w:rsid w:val="7FBF54F7"/>
    <w:rsid w:val="8DF31A11"/>
    <w:rsid w:val="9F3EEA99"/>
    <w:rsid w:val="ADEFDAB0"/>
    <w:rsid w:val="AFDE75AF"/>
    <w:rsid w:val="B16A72DB"/>
    <w:rsid w:val="B5FF1E6F"/>
    <w:rsid w:val="B79627B5"/>
    <w:rsid w:val="BA7B23C6"/>
    <w:rsid w:val="BDD6BA14"/>
    <w:rsid w:val="BEA2D186"/>
    <w:rsid w:val="BEF6E58F"/>
    <w:rsid w:val="BFF75140"/>
    <w:rsid w:val="D0BF05EA"/>
    <w:rsid w:val="D37FF28A"/>
    <w:rsid w:val="D7C2B73D"/>
    <w:rsid w:val="DA1CE7D2"/>
    <w:rsid w:val="DE7FBBD1"/>
    <w:rsid w:val="DEF26857"/>
    <w:rsid w:val="DFF35AD6"/>
    <w:rsid w:val="E3F9C100"/>
    <w:rsid w:val="EA4F3F1B"/>
    <w:rsid w:val="EEFD0A40"/>
    <w:rsid w:val="EEFF4865"/>
    <w:rsid w:val="EF770EEA"/>
    <w:rsid w:val="EF9FA438"/>
    <w:rsid w:val="F6E5E9FE"/>
    <w:rsid w:val="F79E1ED5"/>
    <w:rsid w:val="F7BD9EAA"/>
    <w:rsid w:val="F9FF1703"/>
    <w:rsid w:val="FABD7279"/>
    <w:rsid w:val="FB6F960F"/>
    <w:rsid w:val="FBBF055A"/>
    <w:rsid w:val="FBD55C01"/>
    <w:rsid w:val="FBFC59CA"/>
    <w:rsid w:val="FBFD6E2D"/>
    <w:rsid w:val="FCBD90F0"/>
    <w:rsid w:val="FDDFFC17"/>
    <w:rsid w:val="FDF4ED11"/>
    <w:rsid w:val="FE6A43EB"/>
    <w:rsid w:val="FEBA8F8A"/>
    <w:rsid w:val="FF3CD0AA"/>
    <w:rsid w:val="FF896AC0"/>
    <w:rsid w:val="FFF80E01"/>
    <w:rsid w:val="FFFB50A8"/>
    <w:rsid w:val="FFFD134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7"/>
    <w:unhideWhenUsed/>
    <w:qFormat/>
    <w:uiPriority w:val="99"/>
    <w:pPr>
      <w:tabs>
        <w:tab w:val="center" w:pos="4153"/>
        <w:tab w:val="right" w:pos="8306"/>
      </w:tabs>
      <w:snapToGrid w:val="0"/>
      <w:jc w:val="left"/>
    </w:pPr>
    <w:rPr>
      <w:sz w:val="18"/>
      <w:szCs w:val="18"/>
    </w:rPr>
  </w:style>
  <w:style w:type="paragraph" w:styleId="3">
    <w:name w:val="header"/>
    <w:basedOn w:val="1"/>
    <w:link w:val="16"/>
    <w:unhideWhenUsed/>
    <w:qFormat/>
    <w:uiPriority w:val="99"/>
    <w:pP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rPr>
  </w:style>
  <w:style w:type="paragraph" w:customStyle="1" w:styleId="8">
    <w:name w:val="！-正文"/>
    <w:basedOn w:val="1"/>
    <w:link w:val="9"/>
    <w:qFormat/>
    <w:uiPriority w:val="0"/>
    <w:pPr>
      <w:spacing w:line="579" w:lineRule="exact"/>
      <w:ind w:firstLine="200" w:firstLineChars="200"/>
    </w:pPr>
    <w:rPr>
      <w:rFonts w:ascii="Times New Roman" w:hAnsi="Times New Roman" w:eastAsia="仿宋_GB2312"/>
      <w:sz w:val="32"/>
    </w:rPr>
  </w:style>
  <w:style w:type="character" w:customStyle="1" w:styleId="9">
    <w:name w:val="！-正文 字符"/>
    <w:basedOn w:val="6"/>
    <w:link w:val="8"/>
    <w:qFormat/>
    <w:uiPriority w:val="0"/>
    <w:rPr>
      <w:rFonts w:ascii="Times New Roman" w:hAnsi="Times New Roman" w:eastAsia="仿宋_GB2312"/>
      <w:sz w:val="32"/>
    </w:rPr>
  </w:style>
  <w:style w:type="paragraph" w:customStyle="1" w:styleId="10">
    <w:name w:val="！标题3楷体"/>
    <w:basedOn w:val="1"/>
    <w:next w:val="8"/>
    <w:link w:val="11"/>
    <w:qFormat/>
    <w:uiPriority w:val="0"/>
    <w:pPr>
      <w:spacing w:line="579" w:lineRule="exact"/>
      <w:ind w:firstLine="200" w:firstLineChars="200"/>
    </w:pPr>
    <w:rPr>
      <w:rFonts w:ascii="Times New Roman" w:hAnsi="Times New Roman" w:eastAsia="楷体_GB2312"/>
      <w:sz w:val="32"/>
    </w:rPr>
  </w:style>
  <w:style w:type="character" w:customStyle="1" w:styleId="11">
    <w:name w:val="！标题3楷体 字符"/>
    <w:basedOn w:val="6"/>
    <w:link w:val="10"/>
    <w:qFormat/>
    <w:uiPriority w:val="0"/>
    <w:rPr>
      <w:rFonts w:ascii="Times New Roman" w:hAnsi="Times New Roman" w:eastAsia="楷体_GB2312"/>
      <w:sz w:val="32"/>
    </w:rPr>
  </w:style>
  <w:style w:type="paragraph" w:customStyle="1" w:styleId="12">
    <w:name w:val="！标题2黑体"/>
    <w:basedOn w:val="8"/>
    <w:next w:val="8"/>
    <w:link w:val="13"/>
    <w:qFormat/>
    <w:uiPriority w:val="0"/>
    <w:rPr>
      <w:rFonts w:eastAsia="黑体"/>
    </w:rPr>
  </w:style>
  <w:style w:type="character" w:customStyle="1" w:styleId="13">
    <w:name w:val="！标题2黑体 字符"/>
    <w:basedOn w:val="11"/>
    <w:link w:val="12"/>
    <w:qFormat/>
    <w:uiPriority w:val="0"/>
    <w:rPr>
      <w:rFonts w:ascii="Times New Roman" w:hAnsi="Times New Roman" w:eastAsia="黑体"/>
      <w:sz w:val="32"/>
    </w:rPr>
  </w:style>
  <w:style w:type="paragraph" w:customStyle="1" w:styleId="14">
    <w:name w:val="！标题1方正小标宋简体"/>
    <w:basedOn w:val="8"/>
    <w:next w:val="12"/>
    <w:link w:val="15"/>
    <w:qFormat/>
    <w:uiPriority w:val="0"/>
    <w:pPr>
      <w:ind w:firstLine="0" w:firstLineChars="0"/>
      <w:jc w:val="center"/>
    </w:pPr>
    <w:rPr>
      <w:rFonts w:eastAsia="方正小标宋简体"/>
      <w:sz w:val="44"/>
    </w:rPr>
  </w:style>
  <w:style w:type="character" w:customStyle="1" w:styleId="15">
    <w:name w:val="！标题1方正小标宋简体 字符"/>
    <w:basedOn w:val="13"/>
    <w:link w:val="14"/>
    <w:qFormat/>
    <w:uiPriority w:val="0"/>
    <w:rPr>
      <w:rFonts w:ascii="Times New Roman" w:hAnsi="Times New Roman" w:eastAsia="方正小标宋简体"/>
      <w:sz w:val="44"/>
    </w:rPr>
  </w:style>
  <w:style w:type="character" w:customStyle="1" w:styleId="16">
    <w:name w:val="页眉 字符"/>
    <w:basedOn w:val="6"/>
    <w:link w:val="3"/>
    <w:qFormat/>
    <w:uiPriority w:val="99"/>
    <w:rPr>
      <w:sz w:val="18"/>
      <w:szCs w:val="18"/>
    </w:rPr>
  </w:style>
  <w:style w:type="character" w:customStyle="1" w:styleId="17">
    <w:name w:val="页脚 字符"/>
    <w:basedOn w:val="6"/>
    <w:link w:val="2"/>
    <w:qFormat/>
    <w:uiPriority w:val="99"/>
    <w:rPr>
      <w:sz w:val="18"/>
      <w:szCs w:val="18"/>
    </w:rPr>
  </w:style>
  <w:style w:type="paragraph" w:customStyle="1" w:styleId="18">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9">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0">
    <w:name w:val="修订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1">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1208</Words>
  <Characters>1295</Characters>
  <Lines>12</Lines>
  <Paragraphs>3</Paragraphs>
  <TotalTime>1</TotalTime>
  <ScaleCrop>false</ScaleCrop>
  <LinksUpToDate>false</LinksUpToDate>
  <CharactersWithSpaces>1299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2024-08-06T16:53:00Z</dcterms:created>
  <dc:creator>张晓龙</dc:creator>
  <cp:lastModifiedBy>*</cp:lastModifiedBy>
  <cp:lastPrinted>2024-09-20T16:38:00Z</cp:lastPrinted>
  <dcterms:modified xsi:type="dcterms:W3CDTF">2024-09-23T06:55:40Z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B041ACF2601544C190F466E2D8BF9BDC_12</vt:lpwstr>
  </property>
</Properties>
</file>