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加力推动跨境电商高质量发展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行动计划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(2024—2027年)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为深入实施“地瓜经济”提能升级“一号开放工程”，奋力打造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新时代强市名城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，培育外贸新动能，加力推动跨境电商高质量发展，制定本方案。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以习近平新时代中国特色社会主义思想为指导，深入贯彻党的二十大和二十届三中全会精神，认真落实习近平总书记考察调研金华重要指示精神，坚持市场有效和政府有为相统一，聚焦跨境电商发展新趋势、新业态，统筹实施六大行动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推动形成跨境电商高质量发展新优势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。到2027年，全市外贸进出口规模超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400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亿元，其中跨境电商出口规模较2024年翻一番，跨境电商年交易额超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亿元，新增出口网店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320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家，年进出口额超亿元的跨境电商企业突破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家，落地跨境电商平台服务中心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个，打造跨境电商产业园区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3个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，纳入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省级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公共海外仓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1个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，培育省级跨境电商出口知名品牌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3个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。力争到2030年，全市外贸进出口规模超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476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亿元，跨境电商出口规模较2027年再翻一番。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开展主体引育扶持行动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highlight w:val="none"/>
        </w:rPr>
        <w:t>．</w:t>
      </w:r>
      <w:r>
        <w:rPr>
          <w:rFonts w:ascii="Times New Roman" w:hAnsi="Times New Roman" w:eastAsia="仿宋_GB2312"/>
          <w:bCs/>
          <w:kern w:val="0"/>
          <w:sz w:val="32"/>
          <w:szCs w:val="32"/>
          <w:highlight w:val="none"/>
        </w:rPr>
        <w:t>开展跨境电商企业梯度引育。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推动传统工贸企业、专精特新企业、商贸流通企业、国内电商卖家等开展跨境电商业务。到2027年，累计新增出口网店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320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家，引育年进出口额超亿元的跨境电商企业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不少于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家。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（责任单位：市商务局、市经信局、</w:t>
      </w:r>
      <w:r>
        <w:rPr>
          <w:rFonts w:hint="eastAsia" w:ascii="Times New Roman" w:hAnsi="Times New Roman" w:eastAsia="楷体_GB2312"/>
          <w:kern w:val="0"/>
          <w:sz w:val="32"/>
          <w:szCs w:val="32"/>
          <w:highlight w:val="none"/>
          <w:lang w:eastAsia="zh-CN"/>
        </w:rPr>
        <w:t>市投资促进中心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，各</w:t>
      </w:r>
      <w:r>
        <w:rPr>
          <w:rFonts w:hint="eastAsia" w:ascii="Times New Roman" w:hAnsi="Times New Roman" w:eastAsia="楷体_GB2312"/>
          <w:kern w:val="0"/>
          <w:sz w:val="32"/>
          <w:szCs w:val="32"/>
          <w:highlight w:val="none"/>
          <w:lang w:eastAsia="zh-CN"/>
        </w:rPr>
        <w:t>镇乡街道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。列第一位的为牵头单位，下同</w:t>
      </w:r>
      <w:r>
        <w:rPr>
          <w:rFonts w:hint="eastAsia" w:ascii="Times New Roman" w:hAnsi="Times New Roman" w:eastAsia="楷体_GB2312"/>
          <w:kern w:val="0"/>
          <w:sz w:val="32"/>
          <w:szCs w:val="32"/>
          <w:highlight w:val="none"/>
          <w:lang w:eastAsia="zh-CN"/>
        </w:rPr>
        <w:t>。以下均需各镇乡街道落实，不再列出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大力招引和培育科技型跨境电商企业。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（责任单位：市商务局、市科技局、市投资促进中心）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支持专业市场线上线下融合、内外贸一体化发展。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（责任单位：市市场监管局)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2.加大平台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引育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力度。集中优势要素资源，着力招引区域性跨境电商平台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设立区域运营中心、创新中心等功能性机构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。支持综合类、垂直类跨境电商平台提升市场竞争力，对企业打造行业性垂直领域独立站或细分市场独立站给予政策支持。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（责任单位：市商务局、市经信局、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  <w:lang w:eastAsia="zh-CN"/>
        </w:rPr>
        <w:t>市投资促进中心、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市市场监管局)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推进电商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建设发展。支持电商园区加大跨境电商企业和服务机构引育力度，鼓励园区提供业务培训、人才培育、企业孵化、政策宣讲、资源对接、报关清关、税务保险、物流支撑等一站式服务，提升园区服务能力和产业集聚程度。积极创建国家级、省级电商园区，对获评园区给予政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2027年，累计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打造省级跨境电商产业园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eastAsia="zh-CN"/>
        </w:rPr>
        <w:t>、白云街道、江北街道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开展产业能级提升行动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4.推动“产业触网”。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箱包皮具、渔具渔线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、针织服饰、缝纫配件、园林工艺等块状经济产业带深入开展跨境电商，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推动跨境电商业态为本地乃至异地产业带赋能。持续开展电商拓市场行动，每年组织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场以上资源对接活动。通过系列“组合拳”不断提升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东阳</w:t>
      </w:r>
      <w:r>
        <w:rPr>
          <w:rFonts w:hint="eastAsia" w:ascii="仿宋_GB2312" w:hAnsi="仿宋_GB2312" w:eastAsia="仿宋_GB2312" w:cs="仿宋_GB2312"/>
          <w:sz w:val="32"/>
          <w:szCs w:val="32"/>
        </w:rPr>
        <w:t>“跨境电商+产业带”影响力，带动产业链上下游“抱团出海”。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5.开辟影视文化新赛道。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扎实推进我市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数字贸易示范区建设，更好发挥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以横店影视文化产业集聚区为承载主体的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文化贸易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先锋示范、引领带动作用，以点带面推动全市数字贸易高质量发展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theme="minorBidi"/>
          <w:color w:val="auto"/>
          <w:sz w:val="32"/>
          <w:szCs w:val="32"/>
          <w:highlight w:val="none"/>
          <w:lang w:eastAsia="zh-CN"/>
        </w:rPr>
        <w:t>（责任单位：横店影视文化产业集聚区管委会、商务局）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加快品牌国际化进程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。对跨境电商企业开展境外商标注册和国际认证给予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，鼓励企业收购国外知名品牌。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（责任单位：市市场监管局）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支持企业通过平台引流、搜索引擎、社交媒体等渠道进行品牌全球推广，提升品牌知名度。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培育省级跨境电商出口知名品牌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7.打造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auto"/>
        </w:rPr>
        <w:t>跨境电商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选品交流平台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auto"/>
        </w:rPr>
        <w:t>。鼓励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我市特色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auto"/>
        </w:rPr>
        <w:t>产业带建设展示选品中心，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积极争取与国内外主流跨境电商平台合作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auto"/>
        </w:rPr>
        <w:t>设立线上专区。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鼓励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企业和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各类机构举办针对重点市场、重点产品的海内外专场产业对接活动。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eastAsia="zh-CN"/>
        </w:rPr>
        <w:t>、经信局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开展模式创新提效行动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推动经营模式创新。支持企业“直播+平台+跨境电商”三位一体发展，打造区域品牌线上展示平台、数字化供应链平台，开展共享智能制造、独立站和数字营销等创新业务。支持有条件、有需求的企业组建销售国本土化设计运营团队,加强与境外直播机构、达人主播合作，拓展销售新渠道。鼓励企业运用AI等数字新技术打造营销新场景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.推动监管模式创新。落实全国跨境电商出口退（免）税操作指引，积极推进9810便利化退税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落实跨境电商零售出口税收政策。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（责任单位：市税务局）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theme="minorBidi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10.拓展海外营销模式。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鼓励企业建设独立站、海外品牌运营中心，多渠道开展数字化营销推广。引导企业打造自主自有电商渠道，不断拓展精准流量，利用海外社媒布局触达更多受众，形成“独立站+引流”的生态闭环。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开展物流配套提能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11.加快综合物流园谋划建设。加快电商配套物流园建设，谋划集电商运营、仓储、快递快运分拨中心、物流配送、冷链及城乡物流配送体系多功能为一体的大型综合物流园区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，打造国际物流（保税、交易、仓储、流通加工）产业中心。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（责任单位：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交通局、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市商务局、市邮政管理局、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白云街道、江北街道、经济开发区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eastAsia="zh-CN"/>
        </w:rPr>
        <w:t>、交投集团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加速建设铁路专用线。优化运输方式结构，大力实施“公转铁”，推进海铁联运业态发展。尽快开通铁路货运服务，加快对铁路资源进行整合。支持陆港站开行铁路班列，货物灵活采取通关一体化、转关、口岸清关等通关模式办理通关手续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  <w:lang w:eastAsia="zh-CN"/>
        </w:rPr>
        <w:t>责任单位：市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eastAsia="zh-CN"/>
        </w:rPr>
        <w:t>交通局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、交投集团、金华海关东阳办事处）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物流枢纽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布局。整合全市核心枢纽，依托经济开发区，加快建设以铁路陆港站为核心的国际物流园主体功能区，配套多式联运重点项目，强化公铁联运，联动万亩千亿平台。完善横店机场航空物流枢纽建设，推动多种运输方式融合，联动东阳通用航空产业园区。</w:t>
      </w:r>
      <w:r>
        <w:rPr>
          <w:rFonts w:hint="eastAsia" w:ascii="Times New Roman" w:hAnsi="Times New Roman" w:eastAsia="楷体_GB2312" w:cstheme="minorBidi"/>
          <w:sz w:val="32"/>
          <w:szCs w:val="32"/>
          <w:highlight w:val="none"/>
          <w:lang w:val="en-US" w:eastAsia="zh-CN"/>
        </w:rPr>
        <w:t>（市交通局、交投集团、经济开发区）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（五）开展海外仓量质提升行动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.提升重点市场布局。着力巩固传统市场，积极拓展新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兴市场，持续培育省、市两级公共海外仓，加强与中邮、京东、中外运等龙头企业合作，充分运用海外智慧物流平台功能，到2027年，纳入服务体系公共海外仓突破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个，其中省级公共海外仓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。（责任单位：市商务局）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提升智能管理水平。支持海外仓装配智能机器人、自动化立体库堆垛机等智能设备，提升仓配效率、降低人工成本。促进海外仓与供应链深度融合，实现“营销、接单”和“仓储、配送”的良性互动，提高订单转化率和仓内商品的周转率。鼓励运用仓储大数据分析，为入仓商家“量体裁衣”，提供最优分仓方案，打通配送“最后一公里”，降低尾程派送成本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.提升综合服务能力。鼓励“仓储+展厅“仓储+营销”功能，为卖家提供B2B与B2C相结合、线上线下联动的多场景营销推广等增值服务，提升海外市场服务能力。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开展跨境生态优化行动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.优化营商环境。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支持各类社会团体、组织机构搭建跨境电商行业交流平台，优化提升跨境电商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综合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服务中心，整合代运营、品牌营销、财税合规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指导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等服务资源，为跨境电商企业提供全链条服务。每年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跨境电电商技能培训350人次以上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（责任单位：市商务局）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市跨境电商行业协会。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（责任单位：市民政局）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加强跨境电商规模企业用地用房保障。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（责任单位：市资规局）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优化外国人来华工作许可、居留许可“两证联办”，提升停居留服务便利化水平。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（责任单位：市公安局）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.完善金融服务。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优化跨境电商企业融资、信保等服务，鼓励开发便捷、便利的线上融资产品。加大汇率中性理念宣传力度，推动政府性融资担保增信服务扩量，降低跨境电商避险成本。落实小微企业出口信用保险政府统保政策，扩大跨境电商出口信用保险覆盖面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</w:t>
      </w:r>
      <w:r>
        <w:rPr>
          <w:rFonts w:hint="eastAsia" w:ascii="Times New Roman" w:hAnsi="Times New Roman" w:eastAsia="楷体_GB2312"/>
          <w:kern w:val="0"/>
          <w:sz w:val="32"/>
          <w:szCs w:val="32"/>
          <w:highlight w:val="none"/>
        </w:rPr>
        <w:t>国家金融监督管理总局</w:t>
      </w:r>
      <w:r>
        <w:rPr>
          <w:rFonts w:hint="default" w:ascii="Times New Roman" w:hAnsi="Times New Roman" w:eastAsia="楷体_GB2312" w:cstheme="minorBidi"/>
          <w:kern w:val="0"/>
          <w:sz w:val="32"/>
          <w:szCs w:val="32"/>
          <w:highlight w:val="none"/>
          <w:lang w:eastAsia="zh-CN"/>
        </w:rPr>
        <w:t>东阳</w:t>
      </w:r>
      <w:r>
        <w:rPr>
          <w:rFonts w:hint="eastAsia" w:ascii="Times New Roman" w:hAnsi="Times New Roman" w:eastAsia="楷体_GB2312"/>
          <w:kern w:val="0"/>
          <w:sz w:val="32"/>
          <w:szCs w:val="32"/>
          <w:highlight w:val="none"/>
        </w:rPr>
        <w:t>监管支局、市财政局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.推动企业合规。深化知识产权综合改革，加强知识产权法律培训和海外维权能力建设。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（责任单位：市市场监管局）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发布国别指引，深入实施企业合规改革，助力企业防风险促发展。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（责任单位：市司法局、市商务局）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.加强队伍建设。加强干部队伍跨境电商业务培训，锻造高素质干部队伍。加大跨境电商高层次人才住房、就医、子女入学等方面支持力度，引育高水平创新型人才。</w:t>
      </w:r>
      <w:r>
        <w:rPr>
          <w:rFonts w:hint="default" w:ascii="Times New Roman" w:hAnsi="Times New Roman" w:eastAsia="楷体_GB2312" w:cstheme="minorBidi"/>
          <w:sz w:val="32"/>
          <w:szCs w:val="32"/>
          <w:highlight w:val="none"/>
        </w:rPr>
        <w:t>（责任单位：市委组织部、市商务局、市人力社保局）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构建政校企等多方联动的跨境电商人才培养体系，鼓励院校与企业联合培养跨境电商相关人才，支持建设校外实践基地。支持举办相关职业技能大赛等赛事活动，激发人才创新活力，打造高素质劳动者队伍。</w:t>
      </w:r>
      <w:r>
        <w:rPr>
          <w:rFonts w:ascii="Times New Roman" w:hAnsi="Times New Roman" w:eastAsia="楷体_GB2312"/>
          <w:kern w:val="0"/>
          <w:sz w:val="32"/>
          <w:szCs w:val="32"/>
          <w:highlight w:val="none"/>
        </w:rPr>
        <w:t>（责任单位：市商务局、市人力社保局）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  <w:highlight w:val="none"/>
        </w:rPr>
        <w:t>（一）强化组织领导。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加强上下联动、部门协同，高质量落实行动方案。各部门要强化专业力量配备，承担起推进本市跨境电商发展的主体责任，着力锻长板、补短板，营造良好的发展环境。</w:t>
      </w:r>
    </w:p>
    <w:p>
      <w:pPr>
        <w:pStyle w:val="21"/>
        <w:spacing w:after="0" w:line="600" w:lineRule="exact"/>
        <w:ind w:left="0" w:leftChars="0" w:firstLine="640"/>
        <w:rPr>
          <w:rFonts w:ascii="Times New Roman" w:hAnsi="Times New Roman"/>
          <w:highlight w:val="none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  <w:highlight w:val="none"/>
        </w:rPr>
        <w:t>（二）注重改革创新。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各部门要突出问题导向，积极研究解决跨境电商发展中的重点难点问题，鼓励业态创新、模式创新、监管创新、制度创新，强化包容审慎监管，建立完善容错纠错机制，形成“干部为事业担当、组织为干部担当”的良好氛围，鼓励为跨境电商发展大胆探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Cs/>
          <w:kern w:val="0"/>
          <w:sz w:val="32"/>
          <w:szCs w:val="32"/>
          <w:highlight w:val="none"/>
        </w:rPr>
        <w:t>（三）加强政策支持。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各部门单位要加强联动，定期组织开展政策宣讲，扩大各项涉企惠企政策的覆盖面。发挥中央资金和省专项资金作用，加大对跨境电商相关领域的支持力度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将电商用地纳入优先保供清单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。各部门在制定专项政策时应考虑将跨境电商纳入支持范围。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跨境电商高质量发展重点指标分解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after="0" w:line="600" w:lineRule="exact"/>
        <w:ind w:firstLine="1520" w:firstLineChars="475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跨境电商高质量发展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工作清单</w:t>
      </w:r>
    </w:p>
    <w:p>
      <w: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跨境电商高质量发展重点指标分解表</w:t>
      </w:r>
    </w:p>
    <w:tbl>
      <w:tblPr>
        <w:tblStyle w:val="35"/>
        <w:tblW w:w="9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209"/>
        <w:gridCol w:w="690"/>
        <w:gridCol w:w="825"/>
        <w:gridCol w:w="750"/>
        <w:gridCol w:w="765"/>
        <w:gridCol w:w="76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2026年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2027年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货物贸易进出口额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货物贸易出口额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货物贸易进口额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年进出口额超 100 亿元龙头企业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年进出口额超 50亿元龙头企业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年进出口额超 10 亿元龙头企业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年进出口额超1亿元龙头企业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全业态口径跨境电商出口额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监管平台口径跨境电商出口额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年跨境电商交易额超 10亿元的龙头企业（累计）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年跨境电商交易额亿元以上企业（累计）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累计新增出口网店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跨境电商平台服务中心（累计)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省级公共海外仓（累计）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省级跨境电商出口知名品牌（累计）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省级跨境电商产业园（累计）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after="0"/>
              <w:ind w:firstLine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累计新增跨境电商应用主体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（传统工贸一体型企业转型）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年举办服务对接活动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年跨境电电商技能培训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350</w:t>
            </w:r>
          </w:p>
        </w:tc>
      </w:tr>
    </w:tbl>
    <w:p>
      <w:pPr>
        <w:ind w:firstLine="0"/>
        <w:sectPr>
          <w:footerReference r:id="rId3" w:type="default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ind w:firstLine="0"/>
        <w:sectPr>
          <w:pgSz w:w="15840" w:h="12240" w:orient="landscape"/>
          <w:pgMar w:top="1803" w:right="1440" w:bottom="1803" w:left="1440" w:header="720" w:footer="720" w:gutter="0"/>
          <w:cols w:space="0" w:num="1"/>
          <w:rtlGutter w:val="0"/>
          <w:docGrid w:linePitch="360" w:charSpace="0"/>
        </w:sectPr>
      </w:pPr>
    </w:p>
    <w:p>
      <w:pPr>
        <w:ind w:firstLine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跨境电商高质量发展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行动计划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工作清单</w:t>
      </w:r>
    </w:p>
    <w:tbl>
      <w:tblPr>
        <w:tblStyle w:val="35"/>
        <w:tblW w:w="14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83"/>
        <w:gridCol w:w="4287"/>
        <w:gridCol w:w="2558"/>
        <w:gridCol w:w="2764"/>
        <w:gridCol w:w="1418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工作事项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工作内容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2024年目标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2027年目标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牵头单位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Cs w:val="22"/>
                <w:highlight w:val="none"/>
                <w:lang w:bidi="ar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开展主体引育扶持行动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eastAsia="zh-CN"/>
              </w:rPr>
              <w:t>开展主体引育扶持行动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推动传统工贸企业、专精特新企业、商贸流通企业、国内电商卖家等开展跨境电商业务。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累计新增出口网店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家，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引育年进出口额超亿元的跨境电商企业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家。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累计新增出口网店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家，引育年进出口额超亿元的跨境电商企业突破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家。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市经信局、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/>
              </w:rPr>
              <w:t>市投资促进中心、市市场监管局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spacing w:after="0" w:line="240" w:lineRule="auto"/>
              <w:ind w:firstLine="0"/>
              <w:rPr>
                <w:rFonts w:hint="eastAsia" w:ascii="仿宋_GB2312" w:hAnsi="仿宋_GB2312" w:eastAsia="仿宋_GB2312" w:cs="仿宋_GB231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加大平台引育力度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2"/>
              </w:rPr>
              <w:t>集中优势要素资源，着力招引区域性跨境电商平台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2"/>
                <w:lang w:eastAsia="zh-CN"/>
              </w:rPr>
              <w:t>。支持综合类、垂直类跨境电商平台提升市场竞争力，对企业打造行业性垂直领域独立站或细分市场独立站给予政策支持。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  <w:t>功能性机构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  <w:t>家。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设立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功能性机构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家。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市经信局、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/>
              </w:rPr>
              <w:t>市投资促进中心、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推进电商园区建设发展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支持电商园区加大跨境电商企业和服务机构引育力度，鼓励园区提供业务培训、人才培育、企业孵化、政策宣讲、资源对接、报关清关、税务保险、物流支撑等一站式服务，提升园区服务能力和产业集聚程度。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累计打造跨境电商产业园区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个以上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2"/>
                <w:highlight w:val="none"/>
                <w:lang w:eastAsia="zh-CN"/>
              </w:rPr>
              <w:t>白云街道、江北街道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二、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开展产业能级提升行动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推动“产业触网”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持续推进箱包皮具、渔具渔线、针织服饰、缝纫配件、园林工艺等特色产业深入开展跨境电商，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推动跨境电商业态为本地乃至异地产业带赋能。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每年组织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场以上资源对接活动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每年组织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场以上资源对接活动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bookmarkStart w:id="0" w:name="OLE_LINK4" w:colFirst="5" w:colLast="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开辟影视文化新赛道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扎实推进我市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数字贸易示范区建设，更好发挥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以横店影视文化产业集聚区为承载主体的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数字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文化贸易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先锋示范、引领带动作用，以点带面推动全市数字贸易高质量发展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横店影视文化产业集聚区管委会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商务局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加快品牌国际化进程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对跨境电商企业开展境外商标注册和国际认证给予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推进指导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，鼓励企业收购国外知名品牌。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市市场监管局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支持企业通过平台引流、搜索引擎、社交媒体等渠道进行品牌全球推广，提升品牌知名度。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培育省级跨境电商出口知名品牌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个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培育省级跨境电商出口知名品牌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7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打造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跨境电商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选品交流平台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鼓励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我市特色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产业带建设展示选品中心，积极争取与国内外主流跨境电商平台合作设立线上专区。鼓励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企业和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各类机构举办针对重点市场、重点产品的海内外专场产业对接活动。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市经信局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三、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开展模式创新提效行动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推动经营模式创新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支持企业“直播+平台+跨境电商”三位一体发展，打造区域品牌线上展示平台、数字化供应链平台，开展共享智能制造、独立站和数字营销等创新业务。支持有条件、有需求的企业组建销售国本土化设计运营团队,加强与境外直播机构、达人主播合作，拓展销售新渠道。鼓励企业运用AI等数字新技术打造营销新场景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推动监管模式创新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落实全国跨境电商出口退（免）税操作指引，积极推进9810便利化退税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落实跨境电商零售出口税收政策。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税务局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10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拓展海外营销模式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鼓励企业建设独立站、海外品牌运营中心，多渠道开展数字化营销推广。引导企业打造自主自有电商渠道，不断拓展精准流量，利用海外社媒布局触达更多受众，形成“独立站+引流”的生态闭环。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四、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开展物流配套提能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"/>
              </w:rPr>
              <w:t>加快综合物流园谋划建设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加快电商配套物流园建设，谋划集电商运营、仓储、快递快运分拨中心、物流配送、冷链及城乡物流配送体系多功能为一体的大型综合物流园区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，打造国际物流（保税、交易、仓储、流通加工）产业中心。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交通局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市商务局、市邮政管理局、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白云街道、江北街道、经济开发区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、交投集团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加速建设铁路专用线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优化运输方式结构，大力实施“公转铁”，推进海铁联运业态发展。尽快开通铁路货运服务，加快对铁路资源进行整合。支持陆港站开行铁路班列，货物灵活采取通关一体化、转关、口岸清关等通关模式办理通关手续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市交通局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交投集团、金华海关东阳办事处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优化物流枢纽布局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整合全市核心枢纽，依托经济开发区，加快建设以铁路陆港站为核心的国际物流园主体功能区，配套多式联运重点项目，强化公铁联运，联动万亩千亿平台。完善横店机场航空物流枢纽建设，推动多种运输方式融合，联动东阳通用航空产业园区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市交通局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交投集团、经济开发区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五、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开展海外仓量质提升行动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4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提升重点市场布局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着力巩固传统市场，积极拓展新兴市场，持续培育省、市两级公共海外仓，加强与中邮、京东、中外运等龙头企业合作，充分运用海外智慧物流平台功能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省级公共海外仓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1个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提升智能管理水平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支持海外仓装配智能机器人、自动化立体库堆垛机等智能设备，提升仓配效率、降低人工成本。促进海外仓与供应链深度融合，实现“营销、接单”和“仓储、配送”的良性互动，提高订单转化率和仓内商品的周转率。鼓励运用仓储大数据分析，为入仓商家“量体裁衣”，提供最优分仓方案，打通配送“最后一公里”，降低尾程派送成本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6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提升综合服务能力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鼓励“仓储+展厅“仓储+营销”功能，为卖家提供B2B与B2C相结合、线上线下联动的多场景营销推广等增值服务，提升海外市场服务能力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27" w:type="dxa"/>
            <w:gridSpan w:val="7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六、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开展跨境生态优化行动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7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优化营商环境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支持各类社会团体、组织机构搭建跨境电商行业交流平台，优化提升跨境电商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服务中心，整合代运营、品牌营销、财税合规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指导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等服务资源，为跨境电商企业提供全链条服务。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每年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跨境电电商技能培训350人次以上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。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每年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跨境电电商技能培训350人次以上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支持组建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东阳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市跨境电商行业协会。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市民政局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加强跨境电商规模企业用地用房保障。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市资规局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优化外国人来华工作许可、居留许可“两证联办”，提升停居留服务便利化水平。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市公安局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8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完善金融服务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优化跨境电商企业融资、信保等服务，鼓励开发便捷、便利的线上融资产品。加大汇率中性理念宣传力度，推动政府性融资担保增信服务扩量，降低跨境电商避险成本。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国家金融监督管理总局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东阳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监管支局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落实小微企业出口信用保险政府统保政策，扩大跨境电商出口信用保险覆盖面。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市财政局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9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推动企业合规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深化知识产权综合改革，加强知识产权法律培训和海外维权能力建设。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  <w:t>市市场监管局</w:t>
            </w:r>
          </w:p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发布国别指引，深入实施企业合规改革，助力企业防风险促发展。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市司法局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val="en-US" w:eastAsia="zh-CN" w:bidi="ar"/>
              </w:rPr>
              <w:t>0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加强队伍建设</w:t>
            </w: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加强干部队伍跨境电商业务培训，锻造高素质干部队伍。加大跨境电商高层次人才住房、就医、子女入学等方面支持力度，引育高水平创新型人才。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市委组织部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市商务局、市人力社保局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</w:p>
        </w:tc>
        <w:tc>
          <w:tcPr>
            <w:tcW w:w="4287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构建政校企等多方联动的跨境电商人才培养体系，鼓励院校与企业联合培养跨境电商相关人才，支持建设校外实践基地。支持举办相关职业技能大赛等赛事活动，激发人才创新活力，打造高素质劳动者队伍。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bidi="ar"/>
              </w:rPr>
              <w:t>/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市商务局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autoSpaceDE/>
              <w:spacing w:after="0"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  <w:lang w:eastAsia="zh-CN" w:bidi="ar"/>
              </w:rPr>
              <w:t>市人力社保局</w:t>
            </w:r>
          </w:p>
        </w:tc>
      </w:tr>
    </w:tbl>
    <w:p/>
    <w:sectPr>
      <w:type w:val="continuous"/>
      <w:pgSz w:w="15840" w:h="12240" w:orient="landscape"/>
      <w:pgMar w:top="1803" w:right="1440" w:bottom="1803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2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2D46E2"/>
    <w:rsid w:val="017B5FCE"/>
    <w:rsid w:val="03652A25"/>
    <w:rsid w:val="051F6B02"/>
    <w:rsid w:val="05A72F08"/>
    <w:rsid w:val="06CC2072"/>
    <w:rsid w:val="0779075D"/>
    <w:rsid w:val="0B4960E1"/>
    <w:rsid w:val="0B5A680D"/>
    <w:rsid w:val="0C16314F"/>
    <w:rsid w:val="0C1C6D90"/>
    <w:rsid w:val="0D1C0BDF"/>
    <w:rsid w:val="0D955C24"/>
    <w:rsid w:val="0FBE1D5F"/>
    <w:rsid w:val="1048749E"/>
    <w:rsid w:val="13196CD2"/>
    <w:rsid w:val="1429472B"/>
    <w:rsid w:val="1490057A"/>
    <w:rsid w:val="15525BDC"/>
    <w:rsid w:val="156F12A2"/>
    <w:rsid w:val="160F1139"/>
    <w:rsid w:val="16962E22"/>
    <w:rsid w:val="172B1C0E"/>
    <w:rsid w:val="186A3830"/>
    <w:rsid w:val="190F588D"/>
    <w:rsid w:val="1B593D9B"/>
    <w:rsid w:val="1BAD604D"/>
    <w:rsid w:val="1C49143E"/>
    <w:rsid w:val="1E1A5BED"/>
    <w:rsid w:val="1F326CA4"/>
    <w:rsid w:val="1FEC736C"/>
    <w:rsid w:val="216865B0"/>
    <w:rsid w:val="21BA3E58"/>
    <w:rsid w:val="24751485"/>
    <w:rsid w:val="25866F7D"/>
    <w:rsid w:val="268E5A79"/>
    <w:rsid w:val="270E06C6"/>
    <w:rsid w:val="277505A9"/>
    <w:rsid w:val="28C2179E"/>
    <w:rsid w:val="29A2293C"/>
    <w:rsid w:val="2A0E1789"/>
    <w:rsid w:val="2AFB1BE3"/>
    <w:rsid w:val="2CB01F8D"/>
    <w:rsid w:val="2CCA760F"/>
    <w:rsid w:val="2CE6623E"/>
    <w:rsid w:val="2D3219F8"/>
    <w:rsid w:val="2E0408F6"/>
    <w:rsid w:val="310F2507"/>
    <w:rsid w:val="31201674"/>
    <w:rsid w:val="324F51C8"/>
    <w:rsid w:val="351B408A"/>
    <w:rsid w:val="35F30574"/>
    <w:rsid w:val="36AC0C7E"/>
    <w:rsid w:val="36BE538A"/>
    <w:rsid w:val="375F67FC"/>
    <w:rsid w:val="380948BB"/>
    <w:rsid w:val="380D7B7A"/>
    <w:rsid w:val="38986946"/>
    <w:rsid w:val="389C6F45"/>
    <w:rsid w:val="39270D01"/>
    <w:rsid w:val="39F914DC"/>
    <w:rsid w:val="3B575B3F"/>
    <w:rsid w:val="3CFB9BB2"/>
    <w:rsid w:val="3FD43B22"/>
    <w:rsid w:val="4052300B"/>
    <w:rsid w:val="427E7C50"/>
    <w:rsid w:val="431E657D"/>
    <w:rsid w:val="43BD5414"/>
    <w:rsid w:val="44BC772A"/>
    <w:rsid w:val="452117BC"/>
    <w:rsid w:val="4A73636E"/>
    <w:rsid w:val="4A9F2C97"/>
    <w:rsid w:val="4C2508C5"/>
    <w:rsid w:val="4D220F24"/>
    <w:rsid w:val="4E020BF8"/>
    <w:rsid w:val="4FC07E71"/>
    <w:rsid w:val="504261D0"/>
    <w:rsid w:val="50C63494"/>
    <w:rsid w:val="51A67900"/>
    <w:rsid w:val="5215583B"/>
    <w:rsid w:val="52786E56"/>
    <w:rsid w:val="52A92F02"/>
    <w:rsid w:val="532C19C3"/>
    <w:rsid w:val="5389244E"/>
    <w:rsid w:val="546663CA"/>
    <w:rsid w:val="54A70A9D"/>
    <w:rsid w:val="57B9640B"/>
    <w:rsid w:val="583E791A"/>
    <w:rsid w:val="58666A67"/>
    <w:rsid w:val="5927545C"/>
    <w:rsid w:val="59D7291A"/>
    <w:rsid w:val="5B34175D"/>
    <w:rsid w:val="5C357BE0"/>
    <w:rsid w:val="5C50018F"/>
    <w:rsid w:val="5D340614"/>
    <w:rsid w:val="5DA43F34"/>
    <w:rsid w:val="5DBF2A31"/>
    <w:rsid w:val="5DC01D4A"/>
    <w:rsid w:val="5DCA6B9E"/>
    <w:rsid w:val="5E1D178C"/>
    <w:rsid w:val="615B0939"/>
    <w:rsid w:val="63E17D04"/>
    <w:rsid w:val="63F77550"/>
    <w:rsid w:val="653C5103"/>
    <w:rsid w:val="655817D6"/>
    <w:rsid w:val="66BC71CB"/>
    <w:rsid w:val="67A834EC"/>
    <w:rsid w:val="685A3141"/>
    <w:rsid w:val="6AD35853"/>
    <w:rsid w:val="6BC51E08"/>
    <w:rsid w:val="6BFD534C"/>
    <w:rsid w:val="6CEE3839"/>
    <w:rsid w:val="70907766"/>
    <w:rsid w:val="72B979EF"/>
    <w:rsid w:val="731E4188"/>
    <w:rsid w:val="73B1528F"/>
    <w:rsid w:val="757C26A3"/>
    <w:rsid w:val="76C500A6"/>
    <w:rsid w:val="773C4F40"/>
    <w:rsid w:val="78B00D4D"/>
    <w:rsid w:val="79110E63"/>
    <w:rsid w:val="79BF0404"/>
    <w:rsid w:val="79E63497"/>
    <w:rsid w:val="7A3F7E4A"/>
    <w:rsid w:val="7A8A770F"/>
    <w:rsid w:val="7CAB4058"/>
    <w:rsid w:val="7CAF1E31"/>
    <w:rsid w:val="7D3022E8"/>
    <w:rsid w:val="7D5265F5"/>
    <w:rsid w:val="7D7C2A3B"/>
    <w:rsid w:val="7E724234"/>
    <w:rsid w:val="7FFA3D57"/>
    <w:rsid w:val="BFF72FD6"/>
    <w:rsid w:val="F7468F1B"/>
    <w:rsid w:val="FE9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50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8"/>
    <w:unhideWhenUsed/>
    <w:qFormat/>
    <w:uiPriority w:val="99"/>
    <w:pPr>
      <w:spacing w:after="120"/>
    </w:pPr>
  </w:style>
  <w:style w:type="paragraph" w:styleId="20">
    <w:name w:val="Body Text Indent"/>
    <w:basedOn w:val="1"/>
    <w:next w:val="21"/>
    <w:qFormat/>
    <w:uiPriority w:val="99"/>
    <w:pPr>
      <w:spacing w:after="120"/>
      <w:ind w:left="420" w:leftChars="200"/>
    </w:pPr>
  </w:style>
  <w:style w:type="paragraph" w:styleId="21">
    <w:name w:val="Body Text First Indent 2"/>
    <w:basedOn w:val="20"/>
    <w:next w:val="1"/>
    <w:qFormat/>
    <w:uiPriority w:val="99"/>
    <w:pPr>
      <w:ind w:firstLine="420" w:firstLineChars="200"/>
    </w:pPr>
  </w:style>
  <w:style w:type="paragraph" w:styleId="22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3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4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5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6">
    <w:name w:val="footer"/>
    <w:basedOn w:val="1"/>
    <w:link w:val="1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head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Subtitle"/>
    <w:basedOn w:val="1"/>
    <w:next w:val="1"/>
    <w:link w:val="1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2"/>
    <w:basedOn w:val="1"/>
    <w:link w:val="149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Normal (Web)"/>
    <w:basedOn w:val="1"/>
    <w:semiHidden/>
    <w:unhideWhenUsed/>
    <w:qFormat/>
    <w:uiPriority w:val="99"/>
    <w:rPr>
      <w:sz w:val="24"/>
    </w:r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Title"/>
    <w:basedOn w:val="1"/>
    <w:next w:val="1"/>
    <w:link w:val="1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3A3" w:themeFill="background1" w:themeFillShade="D8"/>
      </w:tcPr>
    </w:tblStylePr>
    <w:tblStylePr w:type="band1Horz">
      <w:tblPr/>
      <w:tcPr>
        <w:shd w:val="clear" w:color="auto" w:fill="9ED3A3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CCE8C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CE8C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CCE8C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CCE8CF" w:themeColor="background1" w:sz="4" w:space="0"/>
        <w:insideV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CE8C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CE8C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CE8C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CCE8C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semiHidden/>
    <w:unhideWhenUsed/>
    <w:qFormat/>
    <w:uiPriority w:val="99"/>
    <w:rPr>
      <w:color w:val="0000FF"/>
      <w:u w:val="single"/>
    </w:rPr>
  </w:style>
  <w:style w:type="character" w:customStyle="1" w:styleId="139">
    <w:name w:val="Header Char"/>
    <w:basedOn w:val="135"/>
    <w:link w:val="27"/>
    <w:qFormat/>
    <w:uiPriority w:val="99"/>
  </w:style>
  <w:style w:type="character" w:customStyle="1" w:styleId="140">
    <w:name w:val="Footer Char"/>
    <w:basedOn w:val="135"/>
    <w:link w:val="26"/>
    <w:qFormat/>
    <w:uiPriority w:val="99"/>
  </w:style>
  <w:style w:type="paragraph" w:styleId="1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Heading 1 Char"/>
    <w:basedOn w:val="135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3">
    <w:name w:val="Heading 2 Char"/>
    <w:basedOn w:val="13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Heading 3 Char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5">
    <w:name w:val="Title Char"/>
    <w:basedOn w:val="135"/>
    <w:link w:val="3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6">
    <w:name w:val="Subtitle Char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Body Text Char"/>
    <w:basedOn w:val="135"/>
    <w:link w:val="19"/>
    <w:qFormat/>
    <w:uiPriority w:val="99"/>
  </w:style>
  <w:style w:type="character" w:customStyle="1" w:styleId="149">
    <w:name w:val="Body Text 2 Char"/>
    <w:basedOn w:val="135"/>
    <w:link w:val="30"/>
    <w:qFormat/>
    <w:uiPriority w:val="99"/>
  </w:style>
  <w:style w:type="character" w:customStyle="1" w:styleId="150">
    <w:name w:val="Body Text 3 Char"/>
    <w:basedOn w:val="135"/>
    <w:link w:val="17"/>
    <w:qFormat/>
    <w:uiPriority w:val="99"/>
    <w:rPr>
      <w:sz w:val="16"/>
      <w:szCs w:val="16"/>
    </w:rPr>
  </w:style>
  <w:style w:type="character" w:customStyle="1" w:styleId="151">
    <w:name w:val="Macro Text Char"/>
    <w:basedOn w:val="135"/>
    <w:link w:val="2"/>
    <w:qFormat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Quote Char"/>
    <w:basedOn w:val="135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Heading 4 Char"/>
    <w:basedOn w:val="135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Heading 5 Char"/>
    <w:basedOn w:val="135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6">
    <w:name w:val="Heading 6 Char"/>
    <w:basedOn w:val="13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7">
    <w:name w:val="Heading 7 Char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Heading 8 Char"/>
    <w:basedOn w:val="135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Heading 9 Char"/>
    <w:basedOn w:val="135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Intense Quote Char"/>
    <w:basedOn w:val="135"/>
    <w:link w:val="1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Emphasis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Intense Emphasis"/>
    <w:basedOn w:val="13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Reference"/>
    <w:basedOn w:val="13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Intense Reference"/>
    <w:basedOn w:val="13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Book Title"/>
    <w:basedOn w:val="135"/>
    <w:qFormat/>
    <w:uiPriority w:val="33"/>
    <w:rPr>
      <w:b/>
      <w:bCs/>
      <w:smallCaps/>
      <w:spacing w:val="5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2013-12-24T15:15:00Z</dcterms:created>
  <dc:creator>python-docx</dc:creator>
  <dc:description>generated by python-docx</dc:description>
  <cp:lastModifiedBy>Administrator</cp:lastModifiedBy>
  <cp:lastPrinted>2024-12-06T18:12:00Z</cp:lastPrinted>
  <dcterms:modified xsi:type="dcterms:W3CDTF">2025-01-03T01:16:11Z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7A5E4EBB60D777E4716E5267443E165C_42</vt:lpwstr>
  </property>
</Properties>
</file>