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方正小标宋简体" w:cs="Times New Roman"/>
          <w:color w:val="000000"/>
          <w:sz w:val="36"/>
          <w:szCs w:val="36"/>
        </w:rPr>
      </w:pPr>
      <w:r>
        <w:rPr>
          <w:rFonts w:eastAsia="方正小标宋简体" w:cs="Times New Roman"/>
          <w:color w:val="000000"/>
          <w:sz w:val="36"/>
          <w:szCs w:val="36"/>
        </w:rPr>
        <w:t>东阳市关于</w:t>
      </w:r>
      <w:r>
        <w:rPr>
          <w:rFonts w:hint="eastAsia" w:eastAsia="方正小标宋简体" w:cs="Times New Roman"/>
          <w:color w:val="000000"/>
          <w:sz w:val="36"/>
          <w:szCs w:val="36"/>
        </w:rPr>
        <w:t>支持酒店高质量发展</w:t>
      </w:r>
      <w:r>
        <w:rPr>
          <w:rFonts w:eastAsia="方正小标宋简体" w:cs="Times New Roman"/>
          <w:color w:val="000000"/>
          <w:sz w:val="36"/>
          <w:szCs w:val="36"/>
        </w:rPr>
        <w:t>的</w:t>
      </w:r>
      <w:r>
        <w:rPr>
          <w:rFonts w:hint="eastAsia" w:eastAsia="方正小标宋简体" w:cs="Times New Roman"/>
          <w:color w:val="000000"/>
          <w:sz w:val="36"/>
          <w:szCs w:val="36"/>
        </w:rPr>
        <w:t>实施</w:t>
      </w:r>
      <w:r>
        <w:rPr>
          <w:rFonts w:eastAsia="方正小标宋简体" w:cs="Times New Roman"/>
          <w:color w:val="000000"/>
          <w:sz w:val="36"/>
          <w:szCs w:val="36"/>
        </w:rPr>
        <w:t>意见</w:t>
      </w:r>
    </w:p>
    <w:p>
      <w:pPr>
        <w:spacing w:line="540" w:lineRule="exact"/>
        <w:jc w:val="center"/>
        <w:rPr>
          <w:rFonts w:eastAsia="方正小标宋简体" w:cs="Times New Roman"/>
          <w:color w:val="000000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（征求意见稿）</w:t>
      </w:r>
    </w:p>
    <w:p>
      <w:pPr>
        <w:adjustRightInd w:val="0"/>
        <w:snapToGrid w:val="0"/>
        <w:spacing w:line="640" w:lineRule="exact"/>
        <w:ind w:firstLine="640" w:firstLineChars="200"/>
        <w:rPr>
          <w:rFonts w:eastAsia="仿宋_GB2312" w:cs="Times New Roman"/>
          <w:color w:val="000000"/>
          <w:sz w:val="32"/>
          <w:szCs w:val="32"/>
        </w:rPr>
      </w:pPr>
      <w:r>
        <w:rPr>
          <w:rFonts w:eastAsia="仿宋_GB2312" w:cs="Times New Roman"/>
          <w:color w:val="000000"/>
          <w:sz w:val="32"/>
          <w:szCs w:val="32"/>
        </w:rPr>
        <w:t>为</w:t>
      </w:r>
      <w:r>
        <w:rPr>
          <w:rFonts w:hint="eastAsia" w:eastAsia="仿宋_GB2312" w:cs="Times New Roman"/>
          <w:color w:val="000000"/>
          <w:sz w:val="32"/>
          <w:szCs w:val="32"/>
        </w:rPr>
        <w:t>落实省委关于打造“全球最强的影视产业基地”部署要求，助力打造现代化世界级旅游景区</w:t>
      </w:r>
      <w:r>
        <w:rPr>
          <w:rFonts w:eastAsia="仿宋_GB2312" w:cs="Times New Roman"/>
          <w:color w:val="000000"/>
          <w:sz w:val="32"/>
          <w:szCs w:val="32"/>
        </w:rPr>
        <w:t>，推动</w:t>
      </w:r>
      <w:r>
        <w:rPr>
          <w:rFonts w:hint="eastAsia" w:eastAsia="仿宋_GB2312" w:cs="Times New Roman"/>
          <w:color w:val="000000"/>
          <w:sz w:val="32"/>
          <w:szCs w:val="32"/>
        </w:rPr>
        <w:t>东阳</w:t>
      </w:r>
      <w:r>
        <w:rPr>
          <w:rFonts w:eastAsia="仿宋_GB2312" w:cs="Times New Roman"/>
          <w:color w:val="000000"/>
          <w:sz w:val="32"/>
          <w:szCs w:val="32"/>
        </w:rPr>
        <w:t>影视</w:t>
      </w:r>
      <w:r>
        <w:rPr>
          <w:rFonts w:hint="eastAsia" w:eastAsia="仿宋_GB2312" w:cs="Times New Roman"/>
          <w:color w:val="000000"/>
          <w:sz w:val="32"/>
          <w:szCs w:val="32"/>
        </w:rPr>
        <w:t>文旅</w:t>
      </w:r>
      <w:r>
        <w:rPr>
          <w:rFonts w:eastAsia="仿宋_GB2312" w:cs="Times New Roman"/>
          <w:color w:val="000000"/>
          <w:sz w:val="32"/>
          <w:szCs w:val="32"/>
        </w:rPr>
        <w:t>产业高质量发展</w:t>
      </w:r>
      <w:r>
        <w:rPr>
          <w:rFonts w:hint="eastAsia" w:eastAsia="仿宋_GB2312" w:cs="Times New Roman"/>
          <w:color w:val="000000"/>
          <w:sz w:val="32"/>
          <w:szCs w:val="32"/>
        </w:rPr>
        <w:t>，</w:t>
      </w:r>
      <w:r>
        <w:rPr>
          <w:rFonts w:hint="eastAsia" w:ascii="仿宋_GB2312" w:hAnsi="Calibri" w:eastAsia="仿宋_GB2312"/>
          <w:sz w:val="32"/>
          <w:szCs w:val="32"/>
        </w:rPr>
        <w:t>结合我市实际，制定如下意见。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一、培育发展酒店商贸主体</w:t>
      </w:r>
    </w:p>
    <w:p>
      <w:pPr>
        <w:adjustRightInd w:val="0"/>
        <w:snapToGrid w:val="0"/>
        <w:spacing w:line="6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b/>
          <w:bCs/>
          <w:color w:val="000000"/>
          <w:sz w:val="32"/>
          <w:szCs w:val="32"/>
        </w:rPr>
        <w:t>1.鼓励投资酒店项目。</w:t>
      </w:r>
      <w:r>
        <w:rPr>
          <w:rFonts w:hint="eastAsia" w:eastAsia="仿宋_GB2312" w:cs="Times New Roman"/>
          <w:color w:val="000000"/>
          <w:sz w:val="32"/>
          <w:szCs w:val="32"/>
        </w:rPr>
        <w:t>对新建高端品牌酒店项目实际投资额（不含土地出</w:t>
      </w:r>
      <w:bookmarkStart w:id="0" w:name="_GoBack"/>
      <w:bookmarkEnd w:id="0"/>
      <w:r>
        <w:rPr>
          <w:rFonts w:hint="eastAsia" w:eastAsia="仿宋_GB2312" w:cs="Times New Roman"/>
          <w:color w:val="000000"/>
          <w:sz w:val="32"/>
          <w:szCs w:val="32"/>
        </w:rPr>
        <w:t>让金和房地产开发投资，下同）达到3亿元及以上的，给予投资额15%的补助；对自主品牌酒店项目实际投资额达到3亿元及以上的，给予投资额12%的补助；对改扩建酒店项目实际投资额达到1亿元及以上的，给予投资额10%的补助。</w:t>
      </w:r>
    </w:p>
    <w:p>
      <w:pPr>
        <w:adjustRightInd w:val="0"/>
        <w:snapToGrid w:val="0"/>
        <w:spacing w:line="640" w:lineRule="exact"/>
        <w:ind w:firstLine="640"/>
        <w:rPr>
          <w:rFonts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b/>
          <w:bCs/>
          <w:color w:val="000000"/>
          <w:sz w:val="32"/>
          <w:szCs w:val="32"/>
        </w:rPr>
        <w:t>2.引进</w:t>
      </w:r>
      <w:r>
        <w:rPr>
          <w:rFonts w:hint="default" w:eastAsia="仿宋_GB2312" w:cs="Times New Roman"/>
          <w:b/>
          <w:bCs/>
          <w:color w:val="000000"/>
          <w:sz w:val="32"/>
          <w:szCs w:val="32"/>
        </w:rPr>
        <w:t>国内外高端</w:t>
      </w:r>
      <w:r>
        <w:rPr>
          <w:rFonts w:hint="eastAsia" w:eastAsia="仿宋_GB2312" w:cs="Times New Roman"/>
          <w:b/>
          <w:bCs/>
          <w:color w:val="000000"/>
          <w:sz w:val="32"/>
          <w:szCs w:val="32"/>
        </w:rPr>
        <w:t>品牌酒店。</w:t>
      </w:r>
      <w:r>
        <w:rPr>
          <w:rFonts w:hint="eastAsia" w:eastAsia="仿宋_GB2312" w:cs="Times New Roman"/>
          <w:color w:val="000000"/>
          <w:sz w:val="32"/>
          <w:szCs w:val="32"/>
        </w:rPr>
        <w:t>引进高端品牌酒店管理公司签订5年（含）以上委托管理合同且正式冠名的酒店，实际运营满一年后，分档给予相应补助，引进奢华档品牌酒店，给予1500万元一次性补助；引进超豪华档品牌酒店，给予1000万元一次性补助；引进豪华档品牌酒店，给予800万元一次性补助。引进</w:t>
      </w:r>
      <w:r>
        <w:rPr>
          <w:rFonts w:hint="default" w:eastAsia="仿宋_GB2312" w:cs="Times New Roman"/>
          <w:color w:val="000000"/>
          <w:sz w:val="32"/>
          <w:szCs w:val="32"/>
        </w:rPr>
        <w:t>高端</w:t>
      </w:r>
      <w:r>
        <w:rPr>
          <w:rFonts w:hint="eastAsia" w:eastAsia="仿宋_GB2312" w:cs="Times New Roman"/>
          <w:color w:val="000000"/>
          <w:sz w:val="32"/>
          <w:szCs w:val="32"/>
        </w:rPr>
        <w:t>品牌酒店管理公司签订5年（含）以上特许经营合同且正式冠名的酒店，实际运营满一年后，三年内每年给予特许经营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费用</w:t>
      </w:r>
      <w:r>
        <w:rPr>
          <w:rFonts w:hint="eastAsia" w:eastAsia="仿宋_GB2312" w:cs="Times New Roman"/>
          <w:color w:val="000000"/>
          <w:sz w:val="32"/>
          <w:szCs w:val="32"/>
        </w:rPr>
        <w:t>金额的</w:t>
      </w:r>
      <w:r>
        <w:rPr>
          <w:rFonts w:hint="default" w:eastAsia="仿宋_GB2312" w:cs="Times New Roman"/>
          <w:color w:val="000000"/>
          <w:sz w:val="32"/>
          <w:szCs w:val="32"/>
        </w:rPr>
        <w:t>等额</w:t>
      </w:r>
      <w:r>
        <w:rPr>
          <w:rFonts w:hint="eastAsia" w:eastAsia="仿宋_GB2312" w:cs="Times New Roman"/>
          <w:color w:val="000000"/>
          <w:sz w:val="32"/>
          <w:szCs w:val="32"/>
        </w:rPr>
        <w:t>补助，补助金额奢华档品牌酒店的合计不高于1000万元</w:t>
      </w:r>
      <w:r>
        <w:rPr>
          <w:rFonts w:hint="default" w:eastAsia="仿宋_GB2312" w:cs="Times New Roman"/>
          <w:color w:val="000000"/>
          <w:sz w:val="32"/>
          <w:szCs w:val="32"/>
        </w:rPr>
        <w:t>、</w:t>
      </w:r>
      <w:r>
        <w:rPr>
          <w:rFonts w:hint="eastAsia" w:eastAsia="仿宋_GB2312" w:cs="Times New Roman"/>
          <w:color w:val="000000"/>
          <w:sz w:val="32"/>
          <w:szCs w:val="32"/>
        </w:rPr>
        <w:t>超豪华档品牌酒店的合计不高于700万元</w:t>
      </w:r>
      <w:r>
        <w:rPr>
          <w:rFonts w:hint="default" w:eastAsia="仿宋_GB2312" w:cs="Times New Roman"/>
          <w:color w:val="000000"/>
          <w:sz w:val="32"/>
          <w:szCs w:val="32"/>
        </w:rPr>
        <w:t>、</w:t>
      </w:r>
      <w:r>
        <w:rPr>
          <w:rFonts w:hint="eastAsia" w:eastAsia="仿宋_GB2312" w:cs="Times New Roman"/>
          <w:color w:val="000000"/>
          <w:sz w:val="32"/>
          <w:szCs w:val="32"/>
        </w:rPr>
        <w:t>豪华档品牌酒店的合计不高于500万元。</w:t>
      </w:r>
    </w:p>
    <w:p>
      <w:pPr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二、附则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</w:rPr>
      </w:pPr>
      <w:r>
        <w:rPr>
          <w:rFonts w:hint="eastAsia" w:eastAsia="楷体"/>
          <w:sz w:val="32"/>
          <w:szCs w:val="32"/>
        </w:rPr>
        <w:t>3</w:t>
      </w:r>
      <w:r>
        <w:rPr>
          <w:rFonts w:hint="eastAsia" w:ascii="楷体" w:hAnsi="楷体" w:eastAsia="楷体" w:cs="楷体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意见</w:t>
      </w:r>
      <w:r>
        <w:rPr>
          <w:rFonts w:hint="eastAsia" w:ascii="仿宋_GB2312" w:hAnsi="宋体" w:eastAsia="仿宋_GB2312" w:cs="Calibri"/>
          <w:snapToGrid w:val="0"/>
          <w:sz w:val="32"/>
          <w:szCs w:val="32"/>
        </w:rPr>
        <w:t>自</w:t>
      </w:r>
      <w:r>
        <w:rPr>
          <w:rFonts w:hint="default" w:ascii="仿宋_GB2312" w:hAnsi="宋体" w:eastAsia="仿宋_GB2312" w:cs="Calibri"/>
          <w:snapToGrid w:val="0"/>
          <w:sz w:val="32"/>
          <w:szCs w:val="32"/>
        </w:rPr>
        <w:t>发文之日起两个月后</w:t>
      </w:r>
      <w:r>
        <w:rPr>
          <w:rFonts w:hint="eastAsia" w:ascii="仿宋_GB2312" w:hAnsi="宋体" w:eastAsia="仿宋_GB2312" w:cs="Calibri"/>
          <w:snapToGrid w:val="0"/>
          <w:sz w:val="32"/>
          <w:szCs w:val="32"/>
        </w:rPr>
        <w:t>施行，</w:t>
      </w:r>
      <w:r>
        <w:rPr>
          <w:rFonts w:hint="eastAsia" w:ascii="仿宋_GB2312" w:hAnsi="Calibri" w:eastAsia="仿宋_GB2312" w:cs="Calibri"/>
          <w:sz w:val="32"/>
          <w:szCs w:val="32"/>
        </w:rPr>
        <w:t>有效期至</w:t>
      </w:r>
      <w:r>
        <w:rPr>
          <w:rFonts w:eastAsia="仿宋_GB2312"/>
          <w:sz w:val="32"/>
          <w:szCs w:val="32"/>
        </w:rPr>
        <w:t>2028</w:t>
      </w:r>
      <w:r>
        <w:rPr>
          <w:rFonts w:hint="eastAsia" w:ascii="仿宋_GB2312" w:hAnsi="Calibri" w:eastAsia="仿宋_GB2312" w:cs="Calibri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12</w:t>
      </w:r>
      <w:r>
        <w:rPr>
          <w:rFonts w:hint="eastAsia" w:ascii="仿宋_GB2312" w:hAnsi="Calibri" w:eastAsia="仿宋_GB2312" w:cs="Calibri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31</w:t>
      </w:r>
      <w:r>
        <w:rPr>
          <w:rFonts w:hint="eastAsia" w:ascii="仿宋_GB2312" w:hAnsi="Calibri" w:eastAsia="仿宋_GB2312" w:cs="Calibri"/>
          <w:sz w:val="32"/>
          <w:szCs w:val="32"/>
        </w:rPr>
        <w:t>日。</w:t>
      </w:r>
    </w:p>
    <w:p>
      <w:pPr>
        <w:pStyle w:val="7"/>
        <w:widowControl/>
        <w:spacing w:before="0" w:beforeAutospacing="0" w:after="0" w:afterAutospacing="0" w:line="560" w:lineRule="exact"/>
        <w:ind w:firstLine="640" w:firstLineChars="200"/>
        <w:rPr>
          <w:rFonts w:hint="eastAsia" w:ascii="仿宋_GB2312" w:hAnsi="Calibri" w:eastAsia="仿宋_GB2312" w:cs="Calibri"/>
          <w:sz w:val="32"/>
          <w:szCs w:val="32"/>
          <w:lang w:eastAsia="zh-CN"/>
        </w:rPr>
      </w:pPr>
      <w:r>
        <w:rPr>
          <w:rFonts w:hint="default" w:ascii="仿宋_GB2312" w:hAnsi="Calibri" w:eastAsia="仿宋_GB2312" w:cs="Calibri"/>
          <w:sz w:val="32"/>
          <w:szCs w:val="32"/>
        </w:rPr>
        <w:t>4.符合标准的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在建项目</w:t>
      </w:r>
      <w:r>
        <w:rPr>
          <w:rFonts w:hint="default" w:ascii="仿宋_GB2312" w:hAnsi="Calibri" w:eastAsia="仿宋_GB2312" w:cs="Calibri"/>
          <w:sz w:val="32"/>
          <w:szCs w:val="32"/>
          <w:lang w:eastAsia="zh-CN"/>
        </w:rPr>
        <w:t>按政策施行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后</w:t>
      </w:r>
      <w:r>
        <w:rPr>
          <w:rFonts w:hint="default" w:ascii="仿宋_GB2312" w:hAnsi="Calibri" w:eastAsia="仿宋_GB2312" w:cs="Calibri"/>
          <w:sz w:val="32"/>
          <w:szCs w:val="32"/>
          <w:lang w:eastAsia="zh-CN"/>
        </w:rPr>
        <w:t>发生</w:t>
      </w:r>
      <w:r>
        <w:rPr>
          <w:rFonts w:hint="eastAsia" w:ascii="仿宋_GB2312" w:hAnsi="Calibri" w:eastAsia="仿宋_GB2312" w:cs="Calibri"/>
          <w:sz w:val="32"/>
          <w:szCs w:val="32"/>
          <w:lang w:eastAsia="zh-CN"/>
        </w:rPr>
        <w:t>的</w:t>
      </w:r>
      <w:r>
        <w:rPr>
          <w:rFonts w:hint="eastAsia" w:eastAsia="仿宋_GB2312"/>
          <w:color w:val="000000"/>
          <w:sz w:val="32"/>
          <w:szCs w:val="32"/>
        </w:rPr>
        <w:t>投资额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给予补助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  <w:r>
        <w:rPr>
          <w:rFonts w:hint="default" w:eastAsia="楷体" w:cs="Times New Roman"/>
          <w:kern w:val="0"/>
          <w:sz w:val="32"/>
          <w:szCs w:val="32"/>
        </w:rPr>
        <w:t>5</w:t>
      </w:r>
      <w:r>
        <w:rPr>
          <w:rFonts w:hint="eastAsia" w:eastAsia="楷体" w:cs="Times New Roman"/>
          <w:kern w:val="0"/>
          <w:sz w:val="32"/>
          <w:szCs w:val="32"/>
        </w:rPr>
        <w:t>.</w:t>
      </w:r>
      <w:r>
        <w:rPr>
          <w:rFonts w:hint="eastAsia" w:eastAsia="仿宋_GB2312" w:cs="Times New Roman"/>
          <w:color w:val="000000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本意见执行最高限额原则，对同一事项涉及多项财政奖补的，按最高标准执行，同一级别不重复奖励，由低级别晋升为高级别的，补足奖补差额。</w:t>
      </w:r>
    </w:p>
    <w:p>
      <w:pPr>
        <w:spacing w:line="560" w:lineRule="exact"/>
        <w:ind w:left="0" w:leftChars="0" w:firstLine="640" w:firstLineChars="200"/>
      </w:pPr>
      <w:r>
        <w:rPr>
          <w:rFonts w:hint="default" w:eastAsia="仿宋_GB2312" w:cs="Times New Roman"/>
          <w:color w:val="000000"/>
          <w:sz w:val="32"/>
          <w:szCs w:val="32"/>
        </w:rPr>
        <w:t>6</w:t>
      </w:r>
      <w:r>
        <w:rPr>
          <w:rFonts w:hint="eastAsia" w:eastAsia="仿宋_GB2312" w:cs="Times New Roman"/>
          <w:color w:val="000000"/>
          <w:sz w:val="32"/>
          <w:szCs w:val="32"/>
        </w:rPr>
        <w:t>.</w:t>
      </w:r>
      <w:r>
        <w:rPr>
          <w:rFonts w:hint="eastAsia" w:ascii="仿宋_GB2312" w:hAnsi="Calibri" w:eastAsia="仿宋_GB2312"/>
          <w:sz w:val="32"/>
          <w:szCs w:val="32"/>
        </w:rPr>
        <w:t xml:space="preserve">本意见施行前我市人民政府（人民政府办公室）及其工作部门已出台的文件与本意见规定不一致的，以本意见为准。 </w:t>
      </w:r>
    </w:p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MjA3ZTZmM2JiOTQyYjNlZTk2NWRjNmZjNmVkNjIifQ=="/>
  </w:docVars>
  <w:rsids>
    <w:rsidRoot w:val="00EE4D8B"/>
    <w:rsid w:val="00046911"/>
    <w:rsid w:val="00060A03"/>
    <w:rsid w:val="000A4E89"/>
    <w:rsid w:val="001870F1"/>
    <w:rsid w:val="00191276"/>
    <w:rsid w:val="0020562A"/>
    <w:rsid w:val="0021488E"/>
    <w:rsid w:val="00245481"/>
    <w:rsid w:val="002734D4"/>
    <w:rsid w:val="002E0123"/>
    <w:rsid w:val="003F21C5"/>
    <w:rsid w:val="00412FBC"/>
    <w:rsid w:val="0043344C"/>
    <w:rsid w:val="00463E0B"/>
    <w:rsid w:val="004E7743"/>
    <w:rsid w:val="005862C8"/>
    <w:rsid w:val="005A4C1B"/>
    <w:rsid w:val="005F4BCF"/>
    <w:rsid w:val="0067650D"/>
    <w:rsid w:val="006B2287"/>
    <w:rsid w:val="006E4469"/>
    <w:rsid w:val="007A4CE4"/>
    <w:rsid w:val="007B14B3"/>
    <w:rsid w:val="00864B35"/>
    <w:rsid w:val="00870B81"/>
    <w:rsid w:val="00871A5B"/>
    <w:rsid w:val="00893C67"/>
    <w:rsid w:val="008A2A7E"/>
    <w:rsid w:val="008B5E15"/>
    <w:rsid w:val="008E1016"/>
    <w:rsid w:val="00990503"/>
    <w:rsid w:val="009D60E3"/>
    <w:rsid w:val="00A51D14"/>
    <w:rsid w:val="00A76ED6"/>
    <w:rsid w:val="00AA2DD5"/>
    <w:rsid w:val="00AC4848"/>
    <w:rsid w:val="00AD6F6D"/>
    <w:rsid w:val="00B35B5B"/>
    <w:rsid w:val="00B6494C"/>
    <w:rsid w:val="00B7430A"/>
    <w:rsid w:val="00B85A1C"/>
    <w:rsid w:val="00C9201E"/>
    <w:rsid w:val="00CE25CE"/>
    <w:rsid w:val="00CF3A2F"/>
    <w:rsid w:val="00D02321"/>
    <w:rsid w:val="00DE681B"/>
    <w:rsid w:val="00E7711D"/>
    <w:rsid w:val="00EE4D8B"/>
    <w:rsid w:val="00FA4E1A"/>
    <w:rsid w:val="00FB79DF"/>
    <w:rsid w:val="020E11B2"/>
    <w:rsid w:val="03D171B2"/>
    <w:rsid w:val="04973E4C"/>
    <w:rsid w:val="081B45FA"/>
    <w:rsid w:val="0D98311E"/>
    <w:rsid w:val="0F0D2E21"/>
    <w:rsid w:val="10F36FE9"/>
    <w:rsid w:val="12431C30"/>
    <w:rsid w:val="13AA26B6"/>
    <w:rsid w:val="1426621F"/>
    <w:rsid w:val="18FA16F1"/>
    <w:rsid w:val="1A3C5D92"/>
    <w:rsid w:val="1ADD6FD5"/>
    <w:rsid w:val="1CAF0249"/>
    <w:rsid w:val="1CDD296A"/>
    <w:rsid w:val="23590BE9"/>
    <w:rsid w:val="269F0C21"/>
    <w:rsid w:val="2B667CCE"/>
    <w:rsid w:val="2BE940E7"/>
    <w:rsid w:val="30C90EDD"/>
    <w:rsid w:val="336E67CE"/>
    <w:rsid w:val="35E7899A"/>
    <w:rsid w:val="3642420D"/>
    <w:rsid w:val="3648318B"/>
    <w:rsid w:val="365D4A2A"/>
    <w:rsid w:val="3BB210C9"/>
    <w:rsid w:val="48151859"/>
    <w:rsid w:val="485D435F"/>
    <w:rsid w:val="488A3088"/>
    <w:rsid w:val="4A387EF7"/>
    <w:rsid w:val="4B276198"/>
    <w:rsid w:val="4BCC48F5"/>
    <w:rsid w:val="4CC35012"/>
    <w:rsid w:val="4D014D4E"/>
    <w:rsid w:val="4E27072B"/>
    <w:rsid w:val="54350468"/>
    <w:rsid w:val="67FF35A1"/>
    <w:rsid w:val="685D1B69"/>
    <w:rsid w:val="692B5F53"/>
    <w:rsid w:val="6D904215"/>
    <w:rsid w:val="6E0B1D26"/>
    <w:rsid w:val="6E9B3575"/>
    <w:rsid w:val="6FBFF55F"/>
    <w:rsid w:val="6FED377C"/>
    <w:rsid w:val="720A0C12"/>
    <w:rsid w:val="725A329A"/>
    <w:rsid w:val="75642EEF"/>
    <w:rsid w:val="78264E85"/>
    <w:rsid w:val="78B47B29"/>
    <w:rsid w:val="7ACFE5E8"/>
    <w:rsid w:val="7CD75A62"/>
    <w:rsid w:val="7EFB0DB7"/>
    <w:rsid w:val="BB6EB9AB"/>
    <w:rsid w:val="E22F4F6F"/>
    <w:rsid w:val="EECEF261"/>
    <w:rsid w:val="F79F2BBE"/>
    <w:rsid w:val="F7FD890D"/>
    <w:rsid w:val="FF8A7D44"/>
    <w:rsid w:val="FFD3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0" w:semiHidden="0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unhideWhenUsed/>
    <w:qFormat/>
    <w:uiPriority w:val="0"/>
    <w:pPr>
      <w:widowControl w:val="0"/>
      <w:adjustRightInd w:val="0"/>
      <w:snapToGrid w:val="0"/>
      <w:spacing w:line="590" w:lineRule="atLeas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Body Text"/>
    <w:basedOn w:val="1"/>
    <w:link w:val="14"/>
    <w:qFormat/>
    <w:uiPriority w:val="99"/>
    <w:pPr>
      <w:adjustRightInd w:val="0"/>
      <w:snapToGrid w:val="0"/>
      <w:spacing w:beforeAutospacing="1" w:afterAutospacing="1"/>
    </w:pPr>
    <w:rPr>
      <w:color w:val="000000"/>
    </w:rPr>
  </w:style>
  <w:style w:type="paragraph" w:styleId="4">
    <w:name w:val="Body Text Indent"/>
    <w:basedOn w:val="1"/>
    <w:link w:val="15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qFormat/>
    <w:uiPriority w:val="0"/>
    <w:pPr>
      <w:widowControl w:val="0"/>
      <w:spacing w:after="120" w:line="312" w:lineRule="auto"/>
      <w:ind w:firstLine="4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 First Indent 2"/>
    <w:basedOn w:val="4"/>
    <w:link w:val="16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正文文本 字符"/>
    <w:basedOn w:val="12"/>
    <w:semiHidden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4">
    <w:name w:val="正文文本 Char"/>
    <w:link w:val="3"/>
    <w:qFormat/>
    <w:uiPriority w:val="99"/>
    <w:rPr>
      <w:rFonts w:ascii="Times New Roman" w:hAnsi="Times New Roman" w:eastAsia="宋体" w:cs="Calibri"/>
      <w:color w:val="000000"/>
      <w:szCs w:val="21"/>
    </w:rPr>
  </w:style>
  <w:style w:type="character" w:customStyle="1" w:styleId="15">
    <w:name w:val="正文文本缩进 Char"/>
    <w:basedOn w:val="12"/>
    <w:link w:val="4"/>
    <w:semiHidden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6">
    <w:name w:val="正文首行缩进 2 Char"/>
    <w:basedOn w:val="15"/>
    <w:link w:val="9"/>
    <w:qFormat/>
    <w:uiPriority w:val="99"/>
    <w:rPr>
      <w:rFonts w:ascii="Times New Roman" w:hAnsi="Times New Roman" w:eastAsia="宋体" w:cs="Calibri"/>
      <w:szCs w:val="21"/>
    </w:rPr>
  </w:style>
  <w:style w:type="character" w:customStyle="1" w:styleId="17">
    <w:name w:val="页眉 Char"/>
    <w:basedOn w:val="12"/>
    <w:link w:val="6"/>
    <w:qFormat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8">
    <w:name w:val="页脚 Char"/>
    <w:basedOn w:val="12"/>
    <w:link w:val="5"/>
    <w:qFormat/>
    <w:uiPriority w:val="99"/>
    <w:rPr>
      <w:rFonts w:ascii="Times New Roman" w:hAnsi="Times New Roman" w:eastAsia="宋体" w:cs="Calibri"/>
      <w:sz w:val="18"/>
      <w:szCs w:val="18"/>
    </w:rPr>
  </w:style>
  <w:style w:type="paragraph" w:customStyle="1" w:styleId="19">
    <w:name w:val="fontsize16"/>
    <w:basedOn w:val="1"/>
    <w:qFormat/>
    <w:uiPriority w:val="0"/>
    <w:pPr>
      <w:jc w:val="left"/>
    </w:pPr>
    <w:rPr>
      <w:kern w:val="0"/>
      <w:sz w:val="24"/>
    </w:rPr>
  </w:style>
  <w:style w:type="character" w:customStyle="1" w:styleId="20">
    <w:name w:val="fontsize161"/>
    <w:basedOn w:val="12"/>
    <w:qFormat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757</Words>
  <Characters>798</Characters>
  <Lines>5</Lines>
  <Paragraphs>1</Paragraphs>
  <TotalTime>10</TotalTime>
  <ScaleCrop>false</ScaleCrop>
  <LinksUpToDate>false</LinksUpToDate>
  <CharactersWithSpaces>804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2024-04-20T08:14:00Z</dcterms:created>
  <dc:creator>孙超</dc:creator>
  <cp:lastModifiedBy>lgf</cp:lastModifiedBy>
  <dcterms:modified xsi:type="dcterms:W3CDTF">2024-09-04T00:42:01Z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144E7CB45EA04CBB9DA4941DA82A7A1A_12</vt:lpwstr>
  </property>
</Properties>
</file>