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楷体" w:hAnsi="华文楷体" w:eastAsia="华文楷体" w:cs="华文楷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浙江省运动员技术等级管理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办法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44"/>
          <w:szCs w:val="44"/>
        </w:rPr>
      </w:pPr>
      <w:r>
        <w:rPr>
          <w:rFonts w:hint="eastAsia" w:ascii="楷体_GB2312" w:hAnsi="楷体_GB2312" w:eastAsia="楷体_GB2312" w:cs="楷体_GB2312"/>
          <w:b w:val="0"/>
          <w:bCs w:val="0"/>
          <w:sz w:val="44"/>
          <w:szCs w:val="44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44"/>
          <w:szCs w:val="44"/>
          <w:lang w:val="en-US" w:eastAsia="zh-CN"/>
        </w:rPr>
        <w:t>征求意见</w:t>
      </w:r>
      <w:r>
        <w:rPr>
          <w:rFonts w:hint="eastAsia" w:ascii="楷体_GB2312" w:hAnsi="楷体_GB2312" w:eastAsia="楷体_GB2312" w:cs="楷体_GB2312"/>
          <w:b w:val="0"/>
          <w:bCs w:val="0"/>
          <w:sz w:val="44"/>
          <w:szCs w:val="44"/>
        </w:rPr>
        <w:t>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第一章  总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第一条  为鼓励运动员不断提高运动技术水平，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运动员技术等级管理工作，根据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《体育法》、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《运动员技术等级管理办法》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国家体育总局令第32号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（以下简称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《办法》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），结合浙江省实际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，制定本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细则。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第二条  运动员取得符合《运动员技术等级标准》（以下简称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等级标准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）规定的成绩，授予相应运动员技术等级称号（以下简称等级称号）。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"/>
        </w:rPr>
        <w:t>浙江省体育局（以下简称省体育局）负责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本行政区域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"/>
        </w:rPr>
        <w:t>内运动员技术等级工作的管理。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省体育局制定全省年度可授予运动员技术等级称号的赛事名录，报国家体育总局审核备案，并按国家体育总局公布的可授予运动员技术等级称号赛事名录执行。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"/>
        </w:rPr>
        <w:t>本实施细则所称运动员是指参加《等级标准》中规定比赛的正式参赛人员。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以测试、推荐、邀请或其他非正式身份参加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</w:rPr>
        <w:t>规定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比赛的，不得授予等级称号。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  等级称号的授予，应当遵循公开、公正、高效原则。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按照规定的权限、期限、标准、范围、条件、程序实施。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sectPr>
          <w:pgSz w:w="11906" w:h="16838"/>
          <w:pgMar w:top="1440" w:right="1406" w:bottom="1440" w:left="1406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第二章  等级标准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第七条 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等级标准由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国家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体育总局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以下简称体育总局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负责制定和修订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公布建立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等级标准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第八条 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列入本省等级标准的比赛应当为具有较高竞技水平，并符合体育总局规定可授予相应等级称号的省级体育赛事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授予奥运会比赛项目一级运动员应当为浙江省运动会，省体育局主办的的单项比赛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授予奥运会比赛项目及武术项目二级运动员应当为浙江省运动会，省体育局主办的的单项比赛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" w:bidi="ar-SA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（三）授予三级运动员应当为省体育局主办的单项比赛。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第三章  授予主体和方式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第九条  省体育局授予本行政区域省级比赛等级称号，授予相应的等级称号分为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：一级运动员、二级运动员、三级运动员。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第十条  省体育局可以指定单位负责一定范围内运动员技术等级工作的管理，授予相应等级称号。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第十一条 省体育局授权浙江省体育竞赛中心、浙江省水上运动管理中心、浙江省射击射箭自行车运动管理中心、浙江省社会体育指导中心、浙江省篮球协会根据不同的运动项目负责运动员等级的审核工作。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第十二条  等级称号授予方式为：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（一）公示：比赛结束后30日内，省体育局应在“浙江省体育局官网”上公布比赛秩序册、成绩册，并对拟授予等级称号人员进行公示，公示信息应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包括运动员的姓名、性别、体育项目、等级称号、比赛成绩、比赛名称、比赛时间和地点等，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公示期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5个工作日；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比赛结束时间以取得成绩时间为准，联赛、积分赛成绩以最后一场比赛结束时间为准，排名以公布时间为准；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授予：公示期满无异议的，省体育局以文件形式授予等级称号；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公布：在总局指定的“运动员技术等级系统”和“浙江省体育局官网”发布授予等级称号的信息，包括运动员的姓名、性别、体育项目、等级称号、比赛信息、比赛名称、比赛时间和地点等，主动接受社会监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第十三条  授予集体球类项目等级称号的，参赛单位应当在比赛结束10天内，根据不同项目向浙江省体育竞赛中心、浙江省水上运动管理中心、浙江省射击射箭自行车运动管理中心、浙江省社会体育指导中心、浙江省篮球协会提供拟授予等级称号的运动员名单，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</w:rPr>
        <w:t>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" w:bidi="ar-SA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浙江省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拟授予等级称号运动员名单申请表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，申请人数不足规定人数的，参赛单位应同时在申请表中注明放弃申请名额的理由，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</w:rPr>
        <w:t>申请表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加盖参赛单位及所属市体育部门公章。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第十四条  浙江省体育竞赛中心、浙江省水上运动管理中心、浙江省射击射箭自行车运动管理中心、浙江省社会体育指导中心、浙江省篮球协会应当在比赛结束后12天内，完成对拟授予等级称号运动员的审核，并提交比赛秩序册、成绩册和拟授予等级称号运动员的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第十五条 香港、澳门特区和台湾地区运动员完成省青少年运动员注册，并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</w:rPr>
        <w:t>参加省级比赛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可授予等级称号。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</w:rPr>
        <w:t>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香港、澳门特区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</w:rPr>
        <w:t>体育总会注册运动员授予等级称号应提前征得相关总会同意。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第十六条  等级证书为电子证书，由国家体育总局统一设计、编号，在“运动员技术等级系统”公布，自行下载打印。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第十七条  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</w:rPr>
        <w:t>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省级比赛等级称号授予过程中，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</w:rPr>
        <w:t>省体育局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不得收取任何费用。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监督检查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本实施细则报国家体育总局备案后实施。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省体育局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"/>
        </w:rPr>
        <w:t>负责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对本行政区域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"/>
        </w:rPr>
        <w:t>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运动员技术等级工作进行监督检查。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任何单位和个人发现有关活动违反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实施细则的，有权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举报。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right="0" w:rightChars="0" w:hanging="320" w:hanging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省体育局应在浙江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</w:rPr>
        <w:t>省体育局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官网公布接受举报的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电话号码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通信地址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</w:rPr>
        <w:t>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电子邮箱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等信息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。接到举报后，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"/>
        </w:rPr>
        <w:t>应当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及时核实、处理。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第二十一条</w:t>
      </w:r>
      <w:r>
        <w:rPr>
          <w:rFonts w:hint="default" w:ascii="仿宋_GB2312" w:hAnsi="仿宋_GB2312" w:eastAsia="仿宋_GB2312" w:cs="仿宋_GB2312"/>
          <w:b w:val="0"/>
          <w:bCs w:val="0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授予等级称号的省级赛事应当竞赛规程完备、组织管理规范。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第五章  责任追究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第二十二条  运动员出现下列情形之一的，不得授予等级称号，已授予的等级称号予以撤销；情节严重的，列入限制、禁止参加省级竞技体育活动名单：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（一）违反兴奋剂管理规定在处理处罚期内的；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（二）违反赛风赛纪管理规定在处理处罚期内的；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（三）采用虚构事实、隐瞒真相等方式取得等级称号的；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（四）违反本办法规定的其他情形。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第二十三条  工作人员违反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" w:bidi="ar-SA"/>
        </w:rPr>
        <w:t>《办法》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规定，有下列情形之一的，责令改正；情节严重的，对负有责任的领导人员和直接责任人员依法依规依纪给予处分：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（一）对符合条件不予授予等级称号的；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（二）未按规定期限或方式完成等级称号授予工作的；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（三）在等级称号授予过程中收费的；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（四）在等级称号授予过程中参与弄虚作假的；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（五）违反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" w:bidi="ar-SA"/>
        </w:rPr>
        <w:t>《办法》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规定的其他情形。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二十四条  等级称号授予过程中，工作人员涉嫌滥用职权、玩忽职守、利益输送、徇私舞弊等构成职务违法和职务犯罪的，依照有关规定及时移送纪检监察机关、司法机关追究相应责任。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第六章  附    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第二十五条  本实施细则不适用于外国运动员，也不适用于参赛代表单位注册在外国的运动员。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第二十六条  本实施细则自2025年1月1日起施行。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2014年5月23日浙江省体育局颁发的《浙江省运动员技术等级实施细则》（浙体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</w:rPr>
        <w:t>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竞〔2014〕126号）同时废止。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"/>
        </w:rPr>
        <w:t>：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浙江省拟授予等级称号运动员名单申请表</w:t>
      </w:r>
    </w:p>
    <w:tbl>
      <w:tblPr>
        <w:tblStyle w:val="7"/>
        <w:tblW w:w="9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720"/>
        <w:gridCol w:w="1409"/>
        <w:gridCol w:w="845"/>
        <w:gridCol w:w="1225"/>
        <w:gridCol w:w="3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比赛名称</w:t>
            </w:r>
          </w:p>
        </w:tc>
        <w:tc>
          <w:tcPr>
            <w:tcW w:w="7320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获得名次</w:t>
            </w:r>
          </w:p>
        </w:tc>
        <w:tc>
          <w:tcPr>
            <w:tcW w:w="38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队伍名称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申报时间</w:t>
            </w:r>
          </w:p>
        </w:tc>
        <w:tc>
          <w:tcPr>
            <w:tcW w:w="38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等级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排序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50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身份证号码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/电话号码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0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0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0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0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因申报人数不足规定人数，放弃等级运动员申报的情况说明</w:t>
            </w:r>
          </w:p>
        </w:tc>
        <w:tc>
          <w:tcPr>
            <w:tcW w:w="804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参赛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单位盖章：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所属市体育部门盖章：</w:t>
      </w:r>
    </w:p>
    <w:p>
      <w:pPr>
        <w:rPr>
          <w:rFonts w:hint="eastAsia" w:ascii="方正小标宋简体" w:hAnsi="方正小标宋简体" w:eastAsia="方正小标宋简体" w:cs="方正小标宋简体"/>
          <w:sz w:val="28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eastAsia="zh-CN"/>
        </w:rPr>
        <w:t>注：</w:t>
      </w:r>
    </w:p>
    <w:p>
      <w:pPr>
        <w:numPr>
          <w:ilvl w:val="0"/>
          <w:numId w:val="6"/>
        </w:numPr>
        <w:ind w:left="0" w:leftChars="0" w:firstLine="0" w:firstLineChars="0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集体项目等级运动员申报必须以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参赛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队为单位，一个赛事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仅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申报一次。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2.不在此推荐名单内的运动员视作自动放弃等级名额。</w:t>
      </w:r>
    </w:p>
    <w:sectPr>
      <w:footerReference r:id="rId3" w:type="default"/>
      <w:pgSz w:w="11906" w:h="16838"/>
      <w:pgMar w:top="1440" w:right="1406" w:bottom="1440" w:left="140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4DF6C4"/>
    <w:multiLevelType w:val="singleLevel"/>
    <w:tmpl w:val="AA4DF6C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18F4A07"/>
    <w:multiLevelType w:val="singleLevel"/>
    <w:tmpl w:val="B18F4A07"/>
    <w:lvl w:ilvl="0" w:tentative="0">
      <w:start w:val="3"/>
      <w:numFmt w:val="chineseCounting"/>
      <w:suff w:val="space"/>
      <w:lvlText w:val="第%1条"/>
      <w:lvlJc w:val="left"/>
      <w:rPr>
        <w:rFonts w:hint="eastAsia"/>
      </w:rPr>
    </w:lvl>
  </w:abstractNum>
  <w:abstractNum w:abstractNumId="2">
    <w:nsid w:val="CA4803E0"/>
    <w:multiLevelType w:val="singleLevel"/>
    <w:tmpl w:val="CA4803E0"/>
    <w:lvl w:ilvl="0" w:tentative="0">
      <w:start w:val="18"/>
      <w:numFmt w:val="chineseCounting"/>
      <w:suff w:val="space"/>
      <w:lvlText w:val="第%1条"/>
      <w:lvlJc w:val="left"/>
      <w:rPr>
        <w:rFonts w:hint="eastAsia"/>
      </w:rPr>
    </w:lvl>
  </w:abstractNum>
  <w:abstractNum w:abstractNumId="3">
    <w:nsid w:val="FFEEE8A7"/>
    <w:multiLevelType w:val="singleLevel"/>
    <w:tmpl w:val="FFEEE8A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00000003"/>
    <w:multiLevelType w:val="singleLevel"/>
    <w:tmpl w:val="00000003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5">
    <w:nsid w:val="1C779AF9"/>
    <w:multiLevelType w:val="singleLevel"/>
    <w:tmpl w:val="1C779A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ZDJjNzY0NWJiNDgyOTY1ZjkxNDlhZjE3OTE2ZWYifQ=="/>
  </w:docVars>
  <w:rsids>
    <w:rsidRoot w:val="00000000"/>
    <w:rsid w:val="00630A45"/>
    <w:rsid w:val="0226153E"/>
    <w:rsid w:val="03407ABB"/>
    <w:rsid w:val="0D5F3369"/>
    <w:rsid w:val="12A04EE7"/>
    <w:rsid w:val="15724190"/>
    <w:rsid w:val="17ADA399"/>
    <w:rsid w:val="197E28AF"/>
    <w:rsid w:val="1A9867F5"/>
    <w:rsid w:val="1EAF584D"/>
    <w:rsid w:val="23160915"/>
    <w:rsid w:val="256B2C35"/>
    <w:rsid w:val="27FD5E9A"/>
    <w:rsid w:val="292518B2"/>
    <w:rsid w:val="2A5730A1"/>
    <w:rsid w:val="2AC2064F"/>
    <w:rsid w:val="2D144119"/>
    <w:rsid w:val="31EC78E9"/>
    <w:rsid w:val="32E339F3"/>
    <w:rsid w:val="345A2735"/>
    <w:rsid w:val="35EF3C68"/>
    <w:rsid w:val="37EBA45D"/>
    <w:rsid w:val="3C9D0EDD"/>
    <w:rsid w:val="3D125235"/>
    <w:rsid w:val="3DFAE613"/>
    <w:rsid w:val="3F081602"/>
    <w:rsid w:val="3F5F6A82"/>
    <w:rsid w:val="43A409FD"/>
    <w:rsid w:val="47BB1F8E"/>
    <w:rsid w:val="51091C2C"/>
    <w:rsid w:val="52AA065D"/>
    <w:rsid w:val="59C22C01"/>
    <w:rsid w:val="5BEF160E"/>
    <w:rsid w:val="5DEF04DC"/>
    <w:rsid w:val="5EF04273"/>
    <w:rsid w:val="5FADC373"/>
    <w:rsid w:val="5FFB39A9"/>
    <w:rsid w:val="5FFFB3D4"/>
    <w:rsid w:val="61460729"/>
    <w:rsid w:val="63E41D3B"/>
    <w:rsid w:val="63E79EB2"/>
    <w:rsid w:val="67EA41F4"/>
    <w:rsid w:val="6AFF36DC"/>
    <w:rsid w:val="6DC7F552"/>
    <w:rsid w:val="6EFF6017"/>
    <w:rsid w:val="714329E1"/>
    <w:rsid w:val="73A20C52"/>
    <w:rsid w:val="74FF6349"/>
    <w:rsid w:val="75156332"/>
    <w:rsid w:val="77BC6721"/>
    <w:rsid w:val="7AEF27DA"/>
    <w:rsid w:val="7D9358F1"/>
    <w:rsid w:val="7DA21835"/>
    <w:rsid w:val="7F1C1347"/>
    <w:rsid w:val="7F3D6BC2"/>
    <w:rsid w:val="7F7F78B7"/>
    <w:rsid w:val="7FFD1DD8"/>
    <w:rsid w:val="B96F879D"/>
    <w:rsid w:val="B9FF052A"/>
    <w:rsid w:val="BEA3024E"/>
    <w:rsid w:val="BEDF0832"/>
    <w:rsid w:val="DB3E799C"/>
    <w:rsid w:val="DB5FC7D2"/>
    <w:rsid w:val="DFFB25ED"/>
    <w:rsid w:val="E5FFF36B"/>
    <w:rsid w:val="EB6D25A9"/>
    <w:rsid w:val="EE7F7FBE"/>
    <w:rsid w:val="F7F347E5"/>
    <w:rsid w:val="F7FE0205"/>
    <w:rsid w:val="FCDBB143"/>
    <w:rsid w:val="FDF94C38"/>
    <w:rsid w:val="FEED2DE0"/>
    <w:rsid w:val="FEF71033"/>
    <w:rsid w:val="FEFFC210"/>
    <w:rsid w:val="FFDB8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浙江省体育局</Company>
  <Pages>6</Pages>
  <Words>2110</Words>
  <Characters>2130</Characters>
  <Paragraphs>48</Paragraphs>
  <TotalTime>0</TotalTime>
  <ScaleCrop>false</ScaleCrop>
  <LinksUpToDate>false</LinksUpToDate>
  <CharactersWithSpaces>2228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2024-09-01T02:23:00Z</dcterms:created>
  <dc:creator>随笔</dc:creator>
  <cp:lastModifiedBy>张妍</cp:lastModifiedBy>
  <cp:lastPrinted>2024-11-08T07:47:25Z</cp:lastPrinted>
  <dcterms:modified xsi:type="dcterms:W3CDTF">2024-11-08T07:51:38Z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7389FF42976F152124860E678C90E02F_43</vt:lpwstr>
  </property>
</Properties>
</file>