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imes New Roman" w:hAnsi="Times New Roman" w:eastAsia="宋体" w:cs="Times New Roman"/>
          <w:b/>
          <w:sz w:val="40"/>
          <w:szCs w:val="24"/>
        </w:rPr>
      </w:pPr>
      <w:r>
        <w:rPr>
          <w:rFonts w:hint="eastAsia" w:ascii="Times New Roman" w:hAnsi="Times New Roman" w:eastAsia="宋体" w:cs="Times New Roman"/>
          <w:b/>
          <w:sz w:val="40"/>
          <w:szCs w:val="24"/>
          <w:lang w:val="en-US" w:eastAsia="zh-CN"/>
        </w:rPr>
        <w:t>关于拟进一步明确杭州市天杭实验学校教育服务区方案（草案）的起草说明</w:t>
      </w:r>
    </w:p>
    <w:p>
      <w:pPr>
        <w:spacing w:line="560" w:lineRule="exact"/>
        <w:ind w:firstLine="640" w:firstLineChars="200"/>
        <w:rPr>
          <w:rFonts w:ascii="仿宋_GB2312" w:hAnsi="仿宋_GB2312" w:eastAsia="仿宋_GB2312" w:cs="仿宋_GB2312"/>
          <w:sz w:val="32"/>
          <w:szCs w:val="32"/>
        </w:rPr>
      </w:pPr>
    </w:p>
    <w:p>
      <w:pPr>
        <w:ind w:firstLine="640" w:firstLineChars="200"/>
        <w:jc w:val="left"/>
        <w:rPr>
          <w:rFonts w:hint="eastAsia" w:ascii="仿宋_GB2312" w:hAnsi="仿宋_GB2312" w:eastAsia="仿宋_GB2312" w:cs="仿宋_GB2312"/>
          <w:sz w:val="32"/>
          <w:szCs w:val="32"/>
          <w:highlight w:val="yellow"/>
          <w:lang w:val="en-US" w:eastAsia="zh-CN"/>
        </w:rPr>
      </w:pPr>
      <w:r>
        <w:rPr>
          <w:rFonts w:hint="eastAsia" w:ascii="仿宋_GB2312" w:hAnsi="仿宋_GB2312" w:eastAsia="仿宋_GB2312" w:cs="仿宋_GB2312"/>
          <w:sz w:val="32"/>
          <w:szCs w:val="32"/>
        </w:rPr>
        <w:t>为适应教育发展需求，合理配置教育资源，促进教育优质均衡发展，充分保障义务教育阶段学生相对就近入学，更好地</w:t>
      </w:r>
      <w:r>
        <w:rPr>
          <w:rFonts w:hint="eastAsia" w:ascii="仿宋_GB2312" w:hAnsi="仿宋_GB2312" w:eastAsia="仿宋_GB2312" w:cs="仿宋_GB2312"/>
          <w:sz w:val="32"/>
          <w:szCs w:val="32"/>
          <w:lang w:val="en-US" w:eastAsia="zh-CN"/>
        </w:rPr>
        <w:t>满足周边百姓对优质教育的需求，实现“名校就在家门口”，现就进一步明确杭州市天杭实验学校教育服务区方案（草案）的起草说明如下。</w:t>
      </w:r>
    </w:p>
    <w:p>
      <w:pPr>
        <w:spacing w:line="560" w:lineRule="exact"/>
        <w:ind w:firstLine="640" w:firstLineChars="200"/>
        <w:rPr>
          <w:rFonts w:ascii="黑体" w:hAnsi="黑体" w:eastAsia="黑体" w:cs="黑体"/>
          <w:sz w:val="32"/>
          <w:szCs w:val="32"/>
        </w:rPr>
      </w:pPr>
      <w:r>
        <w:rPr>
          <w:rFonts w:hint="eastAsia" w:ascii="黑体" w:hAnsi="黑体" w:eastAsia="黑体" w:cs="黑体"/>
          <w:sz w:val="32"/>
          <w:szCs w:val="32"/>
        </w:rPr>
        <w:t>一、</w:t>
      </w:r>
      <w:r>
        <w:rPr>
          <w:rFonts w:hint="eastAsia" w:ascii="黑体" w:hAnsi="黑体" w:eastAsia="黑体" w:cs="黑体"/>
          <w:sz w:val="32"/>
          <w:szCs w:val="32"/>
          <w:lang w:eastAsia="zh-CN"/>
        </w:rPr>
        <w:t>起草</w:t>
      </w:r>
      <w:r>
        <w:rPr>
          <w:rFonts w:hint="eastAsia" w:ascii="黑体" w:hAnsi="黑体" w:eastAsia="黑体" w:cs="黑体"/>
          <w:sz w:val="32"/>
          <w:szCs w:val="32"/>
        </w:rPr>
        <w:t>依据</w:t>
      </w:r>
    </w:p>
    <w:p>
      <w:pPr>
        <w:spacing w:line="560" w:lineRule="exact"/>
        <w:ind w:firstLine="640" w:firstLineChars="200"/>
        <w:rPr>
          <w:rFonts w:hint="eastAsia" w:ascii="黑体" w:hAnsi="黑体" w:eastAsia="黑体" w:cs="黑体"/>
          <w:sz w:val="32"/>
          <w:szCs w:val="32"/>
          <w:lang w:eastAsia="zh-CN"/>
        </w:rPr>
      </w:pPr>
      <w:r>
        <w:rPr>
          <w:rFonts w:hint="eastAsia" w:ascii="仿宋_GB2312" w:hAnsi="仿宋" w:eastAsia="仿宋_GB2312"/>
          <w:sz w:val="32"/>
          <w:szCs w:val="32"/>
        </w:rPr>
        <w:t>严格遵守《中华人民共和国义务教育法》《浙江省义务教育条例》及浙江省教育厅有关义务教育阶段公办学校招生入学等有关规定，科学制定公办学校学区调整与划分方案。《浙江省教育厅关于进一步规范义务教育阶段公办学校学区划分调整和招生入学工作的意见》（浙教基〔2018〕19号）文件精神：“义务教育阶段公办学校学区由县（市、区）教育行政部门，按照确保公平和就近入学原则，根据区域内学校分布、学校规模、适龄学生人数、所在社区、交通状况等因素，依街道、社区、路段、河道、门牌号、村</w:t>
      </w:r>
      <w:r>
        <w:rPr>
          <w:rFonts w:hint="eastAsia" w:ascii="仿宋_GB2312" w:hAnsi="仿宋_GB2312" w:eastAsia="仿宋_GB2312" w:cs="仿宋_GB2312"/>
          <w:sz w:val="32"/>
          <w:szCs w:val="32"/>
          <w:lang w:val="en-US" w:eastAsia="zh-CN"/>
        </w:rPr>
        <w:t>组等合理划定。”上城区教育局依据相关教育服务区调整政策，科学拟定进一步明确杭州市天杭实验学校教育服务区方案。</w:t>
      </w:r>
      <w:r>
        <w:rPr>
          <w:rFonts w:hint="eastAsia" w:ascii="仿宋_GB2312" w:hAnsi="仿宋_GB2312" w:eastAsia="仿宋_GB2312" w:cs="仿宋_GB2312"/>
          <w:sz w:val="32"/>
          <w:szCs w:val="32"/>
          <w:lang w:val="en-US" w:eastAsia="zh-CN"/>
        </w:rPr>
        <w:cr/>
      </w:r>
      <w:r>
        <w:rPr>
          <w:rFonts w:hint="eastAsia" w:ascii="仿宋_GB2312" w:hAnsi="仿宋" w:eastAsia="仿宋_GB2312"/>
          <w:sz w:val="32"/>
          <w:szCs w:val="32"/>
        </w:rPr>
        <w:t xml:space="preserve">  </w:t>
      </w:r>
      <w:r>
        <w:rPr>
          <w:rFonts w:hint="eastAsia" w:ascii="仿宋_GB2312" w:hAnsi="仿宋" w:eastAsia="仿宋_GB2312"/>
          <w:sz w:val="32"/>
          <w:szCs w:val="32"/>
          <w:lang w:val="en-US" w:eastAsia="zh-CN"/>
        </w:rPr>
        <w:t xml:space="preserve"> </w:t>
      </w:r>
      <w:r>
        <w:rPr>
          <w:rFonts w:hint="eastAsia" w:ascii="仿宋_GB2312" w:hAnsi="仿宋" w:eastAsia="仿宋_GB2312"/>
          <w:sz w:val="32"/>
          <w:szCs w:val="32"/>
        </w:rPr>
        <w:t xml:space="preserve"> </w:t>
      </w:r>
      <w:r>
        <w:rPr>
          <w:rFonts w:hint="eastAsia" w:ascii="黑体" w:hAnsi="黑体" w:eastAsia="黑体" w:cs="黑体"/>
          <w:sz w:val="32"/>
          <w:szCs w:val="32"/>
        </w:rPr>
        <w:t>二、</w:t>
      </w:r>
      <w:r>
        <w:rPr>
          <w:rFonts w:hint="eastAsia" w:ascii="黑体" w:hAnsi="黑体" w:eastAsia="黑体" w:cs="黑体"/>
          <w:sz w:val="32"/>
          <w:szCs w:val="32"/>
          <w:lang w:eastAsia="zh-CN"/>
        </w:rPr>
        <w:t>起草过程</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（一）调研规划阶段（202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10</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做好数据摸底，了解区域范围内学校建设规划、人口规划及社区、楼盘等分布情况。协同相关街道、学校实地查看学校周边社区、道路、门牌、楼盘分布等情况，完善摸底调研基础数据。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（二）预案编制阶段（202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年1</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月前）。</w:t>
      </w:r>
      <w:r>
        <w:rPr>
          <w:rFonts w:hint="eastAsia" w:ascii="仿宋_GB2312" w:hAnsi="仿宋_GB2312" w:eastAsia="仿宋_GB2312" w:cs="仿宋_GB2312"/>
          <w:sz w:val="32"/>
          <w:szCs w:val="32"/>
        </w:rPr>
        <w:t>根据区域内学校分布、学校规模、适龄学生人数、所在社区、交通状况、历史沿革等因素，依街道、社区、路段、河道、门牌号、村组等科学合理拟定教育服务区调整与划分初步的预案，并作利弊分析。同时，启动社会风险评估。</w:t>
      </w:r>
    </w:p>
    <w:p>
      <w:pPr>
        <w:spacing w:line="560" w:lineRule="exact"/>
        <w:ind w:firstLine="643" w:firstLineChars="200"/>
      </w:pPr>
      <w:r>
        <w:rPr>
          <w:rFonts w:hint="eastAsia" w:ascii="楷体_GB2312" w:hAnsi="楷体_GB2312" w:eastAsia="楷体_GB2312" w:cs="楷体_GB2312"/>
          <w:b/>
          <w:bCs/>
          <w:sz w:val="32"/>
          <w:szCs w:val="32"/>
        </w:rPr>
        <w:t>（三）座谈研讨阶段（202</w:t>
      </w:r>
      <w:r>
        <w:rPr>
          <w:rFonts w:hint="eastAsia" w:ascii="楷体_GB2312" w:hAnsi="楷体_GB2312" w:eastAsia="楷体_GB2312" w:cs="楷体_GB2312"/>
          <w:b/>
          <w:bCs/>
          <w:sz w:val="32"/>
          <w:szCs w:val="32"/>
          <w:lang w:val="en-US" w:eastAsia="zh-CN"/>
        </w:rPr>
        <w:t>3</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12</w:t>
      </w:r>
      <w:r>
        <w:rPr>
          <w:rFonts w:hint="eastAsia" w:ascii="楷体_GB2312" w:hAnsi="楷体_GB2312" w:eastAsia="楷体_GB2312" w:cs="楷体_GB2312"/>
          <w:b/>
          <w:bCs/>
          <w:sz w:val="32"/>
          <w:szCs w:val="32"/>
        </w:rPr>
        <w:t>月前）。</w:t>
      </w:r>
      <w:r>
        <w:rPr>
          <w:rFonts w:ascii="仿宋_GB2312" w:hAnsi="仿宋_GB2312" w:eastAsia="仿宋_GB2312" w:cs="仿宋_GB2312"/>
          <w:sz w:val="32"/>
          <w:szCs w:val="32"/>
        </w:rPr>
        <w:t>教育局</w:t>
      </w:r>
      <w:r>
        <w:rPr>
          <w:rFonts w:hint="eastAsia" w:ascii="仿宋_GB2312" w:hAnsi="仿宋_GB2312" w:eastAsia="仿宋_GB2312" w:cs="仿宋_GB2312"/>
          <w:sz w:val="32"/>
          <w:szCs w:val="32"/>
          <w:lang w:eastAsia="zh-CN"/>
        </w:rPr>
        <w:t>多方</w:t>
      </w:r>
      <w:r>
        <w:rPr>
          <w:rFonts w:hint="eastAsia" w:ascii="仿宋_GB2312" w:hAnsi="仿宋_GB2312" w:eastAsia="仿宋_GB2312" w:cs="仿宋_GB2312"/>
          <w:sz w:val="32"/>
          <w:szCs w:val="32"/>
        </w:rPr>
        <w:t>听取街道、社区、相关部门的意见建议，召集相关部门多轮专题论证，进一步完善教育服务区划分预案、完善利弊分析，调整分析报告及建议。</w:t>
      </w:r>
    </w:p>
    <w:p>
      <w:pPr>
        <w:spacing w:line="560" w:lineRule="exact"/>
        <w:ind w:firstLine="643" w:firstLineChars="200"/>
        <w:rPr>
          <w:rFonts w:ascii="仿宋_GB2312" w:hAnsi="仿宋_GB2312" w:eastAsia="仿宋_GB2312" w:cs="仿宋_GB2312"/>
          <w:sz w:val="32"/>
          <w:szCs w:val="32"/>
        </w:rPr>
      </w:pPr>
      <w:r>
        <w:rPr>
          <w:rFonts w:hint="eastAsia" w:ascii="楷体_GB2312" w:hAnsi="楷体_GB2312" w:eastAsia="楷体_GB2312" w:cs="楷体_GB2312"/>
          <w:b/>
          <w:bCs/>
          <w:sz w:val="32"/>
          <w:szCs w:val="32"/>
        </w:rPr>
        <w:t>（四）意见征求阶段（202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1</w:t>
      </w:r>
      <w:r>
        <w:rPr>
          <w:rFonts w:hint="eastAsia" w:ascii="楷体_GB2312" w:hAnsi="楷体_GB2312" w:eastAsia="楷体_GB2312" w:cs="楷体_GB2312"/>
          <w:b/>
          <w:bCs/>
          <w:sz w:val="32"/>
          <w:szCs w:val="32"/>
        </w:rPr>
        <w:t>月-202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学校教育服务区（对口小学）拟划分方案通过街道、社区干部座谈会、随机走访、访谈、局党委会、专家论证会、门户网站发布公告等形式，广泛征求街道、社区、各部委办局、社会公众意见建议。</w:t>
      </w:r>
      <w:bookmarkStart w:id="0" w:name="_GoBack"/>
      <w:bookmarkEnd w:id="0"/>
    </w:p>
    <w:p>
      <w:pPr>
        <w:spacing w:line="560" w:lineRule="exact"/>
        <w:ind w:firstLine="643" w:firstLineChars="200"/>
        <w:rPr>
          <w:rFonts w:hint="eastAsia" w:ascii="仿宋_GB2312" w:hAnsi="仿宋_GB2312" w:eastAsia="仿宋_GB2312" w:cs="仿宋_GB2312"/>
          <w:sz w:val="32"/>
          <w:szCs w:val="32"/>
        </w:rPr>
      </w:pPr>
      <w:r>
        <w:rPr>
          <w:rFonts w:hint="eastAsia" w:ascii="楷体_GB2312" w:hAnsi="楷体_GB2312" w:eastAsia="楷体_GB2312" w:cs="楷体_GB2312"/>
          <w:b/>
          <w:bCs/>
          <w:sz w:val="32"/>
          <w:szCs w:val="32"/>
        </w:rPr>
        <w:t>（五）确定方案阶段（</w:t>
      </w:r>
      <w:r>
        <w:rPr>
          <w:rFonts w:hint="eastAsia" w:ascii="楷体_GB2312" w:hAnsi="楷体_GB2312" w:eastAsia="楷体_GB2312" w:cs="楷体_GB2312"/>
          <w:b/>
          <w:bCs/>
          <w:sz w:val="32"/>
          <w:szCs w:val="32"/>
          <w:lang w:eastAsia="zh-CN"/>
        </w:rPr>
        <w:t>预计</w:t>
      </w:r>
      <w:r>
        <w:rPr>
          <w:rFonts w:hint="eastAsia" w:ascii="楷体_GB2312" w:hAnsi="楷体_GB2312" w:eastAsia="楷体_GB2312" w:cs="楷体_GB2312"/>
          <w:b/>
          <w:bCs/>
          <w:sz w:val="32"/>
          <w:szCs w:val="32"/>
        </w:rPr>
        <w:t>202</w:t>
      </w:r>
      <w:r>
        <w:rPr>
          <w:rFonts w:hint="eastAsia" w:ascii="楷体_GB2312" w:hAnsi="楷体_GB2312" w:eastAsia="楷体_GB2312" w:cs="楷体_GB2312"/>
          <w:b/>
          <w:bCs/>
          <w:sz w:val="32"/>
          <w:szCs w:val="32"/>
          <w:lang w:val="en-US" w:eastAsia="zh-CN"/>
        </w:rPr>
        <w:t>4</w:t>
      </w:r>
      <w:r>
        <w:rPr>
          <w:rFonts w:hint="eastAsia" w:ascii="楷体_GB2312" w:hAnsi="楷体_GB2312" w:eastAsia="楷体_GB2312" w:cs="楷体_GB2312"/>
          <w:b/>
          <w:bCs/>
          <w:sz w:val="32"/>
          <w:szCs w:val="32"/>
        </w:rPr>
        <w:t>年</w:t>
      </w:r>
      <w:r>
        <w:rPr>
          <w:rFonts w:hint="eastAsia" w:ascii="楷体_GB2312" w:hAnsi="楷体_GB2312" w:eastAsia="楷体_GB2312" w:cs="楷体_GB2312"/>
          <w:b/>
          <w:bCs/>
          <w:sz w:val="32"/>
          <w:szCs w:val="32"/>
          <w:lang w:val="en-US" w:eastAsia="zh-CN"/>
        </w:rPr>
        <w:t>5</w:t>
      </w:r>
      <w:r>
        <w:rPr>
          <w:rFonts w:hint="eastAsia" w:ascii="楷体_GB2312" w:hAnsi="楷体_GB2312" w:eastAsia="楷体_GB2312" w:cs="楷体_GB2312"/>
          <w:b/>
          <w:bCs/>
          <w:sz w:val="32"/>
          <w:szCs w:val="32"/>
        </w:rPr>
        <w:t>月）。</w:t>
      </w:r>
      <w:r>
        <w:rPr>
          <w:rFonts w:hint="eastAsia" w:ascii="仿宋_GB2312" w:hAnsi="仿宋_GB2312" w:eastAsia="仿宋_GB2312" w:cs="仿宋_GB2312"/>
          <w:sz w:val="32"/>
          <w:szCs w:val="32"/>
        </w:rPr>
        <w:t>通过</w:t>
      </w:r>
      <w:r>
        <w:rPr>
          <w:rFonts w:hint="eastAsia" w:ascii="仿宋_GB2312" w:hAnsi="仿宋_GB2312" w:eastAsia="仿宋_GB2312" w:cs="仿宋_GB2312"/>
          <w:sz w:val="32"/>
          <w:szCs w:val="32"/>
          <w:lang w:eastAsia="zh-CN"/>
        </w:rPr>
        <w:t>前期</w:t>
      </w:r>
      <w:r>
        <w:rPr>
          <w:rFonts w:hint="eastAsia" w:ascii="仿宋_GB2312" w:hAnsi="仿宋_GB2312" w:eastAsia="仿宋_GB2312" w:cs="仿宋_GB2312"/>
          <w:sz w:val="32"/>
          <w:szCs w:val="32"/>
        </w:rPr>
        <w:t>意见征求、专窗接待、专线回复等方式，对教育服务区（对口小学）拟划分方案进行修订、完善，最终确定学区调整与划分正式方案，并在政府门户网站对社会公布。</w:t>
      </w:r>
    </w:p>
    <w:p>
      <w:pPr>
        <w:spacing w:line="560" w:lineRule="exact"/>
        <w:ind w:firstLine="640"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三、主要内容</w:t>
      </w:r>
    </w:p>
    <w:p>
      <w:pPr>
        <w:ind w:firstLine="660"/>
        <w:rPr>
          <w:rFonts w:hint="eastAsia" w:ascii="仿宋" w:hAnsi="仿宋" w:eastAsia="仿宋" w:cs="仿宋"/>
          <w:i w:val="0"/>
          <w:iCs w:val="0"/>
          <w:caps w:val="0"/>
          <w:color w:val="auto"/>
          <w:spacing w:val="0"/>
          <w:sz w:val="32"/>
          <w:szCs w:val="32"/>
          <w:shd w:val="clear" w:fill="FFFFFF"/>
          <w:lang w:val="en-US" w:eastAsia="zh-Hans"/>
        </w:rPr>
      </w:pPr>
      <w:r>
        <w:rPr>
          <w:rFonts w:hint="eastAsia" w:ascii="仿宋" w:hAnsi="仿宋" w:eastAsia="仿宋" w:cs="仿宋"/>
          <w:i w:val="0"/>
          <w:iCs w:val="0"/>
          <w:caps w:val="0"/>
          <w:color w:val="auto"/>
          <w:spacing w:val="0"/>
          <w:sz w:val="32"/>
          <w:szCs w:val="32"/>
          <w:shd w:val="clear" w:fill="FFFFFF"/>
          <w:lang w:val="en-US" w:eastAsia="zh-CN"/>
        </w:rPr>
        <w:t>综合</w:t>
      </w:r>
      <w:r>
        <w:rPr>
          <w:rFonts w:hint="eastAsia" w:ascii="仿宋" w:hAnsi="仿宋" w:eastAsia="仿宋" w:cs="仿宋"/>
          <w:i w:val="0"/>
          <w:iCs w:val="0"/>
          <w:caps w:val="0"/>
          <w:color w:val="auto"/>
          <w:spacing w:val="0"/>
          <w:sz w:val="32"/>
          <w:szCs w:val="32"/>
          <w:shd w:val="clear" w:fill="FFFFFF"/>
          <w:lang w:val="en-US" w:eastAsia="zh-Hans"/>
        </w:rPr>
        <w:t>区域教育</w:t>
      </w:r>
      <w:r>
        <w:rPr>
          <w:rFonts w:hint="eastAsia" w:ascii="仿宋" w:hAnsi="仿宋" w:eastAsia="仿宋" w:cs="仿宋"/>
          <w:i w:val="0"/>
          <w:iCs w:val="0"/>
          <w:caps w:val="0"/>
          <w:color w:val="auto"/>
          <w:spacing w:val="0"/>
          <w:sz w:val="32"/>
          <w:szCs w:val="32"/>
          <w:shd w:val="clear" w:fill="FFFFFF"/>
          <w:lang w:val="en-US" w:eastAsia="zh-CN"/>
        </w:rPr>
        <w:t>规划、</w:t>
      </w:r>
      <w:r>
        <w:rPr>
          <w:rFonts w:hint="eastAsia" w:ascii="仿宋" w:hAnsi="仿宋" w:eastAsia="仿宋" w:cs="仿宋"/>
          <w:i w:val="0"/>
          <w:iCs w:val="0"/>
          <w:caps w:val="0"/>
          <w:color w:val="auto"/>
          <w:spacing w:val="0"/>
          <w:sz w:val="32"/>
          <w:szCs w:val="32"/>
          <w:shd w:val="clear" w:fill="FFFFFF"/>
          <w:lang w:val="en-US" w:eastAsia="zh-Hans"/>
        </w:rPr>
        <w:t>学校分布</w:t>
      </w:r>
      <w:r>
        <w:rPr>
          <w:rFonts w:hint="eastAsia" w:ascii="仿宋" w:hAnsi="仿宋" w:eastAsia="仿宋" w:cs="仿宋"/>
          <w:i w:val="0"/>
          <w:iCs w:val="0"/>
          <w:caps w:val="0"/>
          <w:color w:val="auto"/>
          <w:spacing w:val="0"/>
          <w:sz w:val="32"/>
          <w:szCs w:val="32"/>
          <w:shd w:val="clear" w:fill="FFFFFF"/>
          <w:lang w:val="en-US" w:eastAsia="zh-CN"/>
        </w:rPr>
        <w:t>和</w:t>
      </w:r>
      <w:r>
        <w:rPr>
          <w:rFonts w:hint="eastAsia" w:ascii="仿宋" w:hAnsi="仿宋" w:eastAsia="仿宋" w:cs="仿宋"/>
          <w:i w:val="0"/>
          <w:iCs w:val="0"/>
          <w:caps w:val="0"/>
          <w:color w:val="auto"/>
          <w:spacing w:val="0"/>
          <w:sz w:val="32"/>
          <w:szCs w:val="32"/>
          <w:shd w:val="clear" w:fill="FFFFFF"/>
          <w:lang w:val="en-US" w:eastAsia="zh-Hans"/>
        </w:rPr>
        <w:t>规模、适龄学生人数、所在社区、交通状况等因</w:t>
      </w:r>
      <w:r>
        <w:rPr>
          <w:rFonts w:hint="eastAsia" w:ascii="仿宋" w:hAnsi="仿宋" w:eastAsia="仿宋" w:cs="仿宋"/>
          <w:i w:val="0"/>
          <w:iCs w:val="0"/>
          <w:caps w:val="0"/>
          <w:color w:val="auto"/>
          <w:spacing w:val="0"/>
          <w:sz w:val="32"/>
          <w:szCs w:val="32"/>
          <w:shd w:val="clear" w:fill="FFFFFF"/>
          <w:lang w:val="en-US" w:eastAsia="zh-CN"/>
        </w:rPr>
        <w:t>素，拟进一步明确杭州市天杭实验学校教育服务区为：春晖社区、红梅社区、三里亭社区、董家社区、闻皇庙社区、兰苑社区、麦苗社区、蓝天社区、天城社区（机场路以北）。拟将2024年秋季预计投入使用的三里亭南区JG0904-A33/S42-04地块学校（项目名称），作为杭州市天杭实验学校的新增校区进行办学。</w:t>
      </w:r>
    </w:p>
    <w:sectPr>
      <w:pgSz w:w="11906" w:h="16838"/>
      <w:pgMar w:top="1440" w:right="1701"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QxYTRmYjc1YzhmMmJlZjcyNTVmMTE0MjMwYjI1NDYifQ=="/>
  </w:docVars>
  <w:rsids>
    <w:rsidRoot w:val="0A623E50"/>
    <w:rsid w:val="061718F9"/>
    <w:rsid w:val="0A623E50"/>
    <w:rsid w:val="11A359E6"/>
    <w:rsid w:val="19337AF8"/>
    <w:rsid w:val="1BB47800"/>
    <w:rsid w:val="1EF93E39"/>
    <w:rsid w:val="1F5A0233"/>
    <w:rsid w:val="2498452F"/>
    <w:rsid w:val="2EB01C1E"/>
    <w:rsid w:val="2F1D6F37"/>
    <w:rsid w:val="310B330B"/>
    <w:rsid w:val="3C4E3B87"/>
    <w:rsid w:val="40700BE7"/>
    <w:rsid w:val="55123BBC"/>
    <w:rsid w:val="57E63F62"/>
    <w:rsid w:val="5B7E6D9C"/>
    <w:rsid w:val="64371566"/>
    <w:rsid w:val="650A103B"/>
    <w:rsid w:val="6DC34B0B"/>
    <w:rsid w:val="75E73437"/>
    <w:rsid w:val="7CA21C8A"/>
    <w:rsid w:val="7F673B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autoRedefine/>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style>
  <w:style w:type="paragraph" w:styleId="4">
    <w:name w:val="Body Text Indent"/>
    <w:basedOn w:val="1"/>
    <w:next w:val="3"/>
    <w:qFormat/>
    <w:uiPriority w:val="0"/>
    <w:pPr>
      <w:spacing w:after="120"/>
      <w:ind w:left="420" w:leftChars="200"/>
    </w:pPr>
  </w:style>
  <w:style w:type="paragraph" w:styleId="5">
    <w:name w:val="Body Text First Indent 2"/>
    <w:basedOn w:val="4"/>
    <w:next w:val="4"/>
    <w:qFormat/>
    <w:uiPriority w:val="0"/>
    <w:pPr>
      <w:ind w:firstLine="42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2023-11-13T05:47:00Z</dcterms:created>
  <dc:creator>跑步前进吧</dc:creator>
  <cp:lastModifiedBy>程多多</cp:lastModifiedBy>
  <cp:lastPrinted>2024-03-11T07:16:45Z</cp:lastPrinted>
  <dcterms:modified xsi:type="dcterms:W3CDTF">2024-03-11T07:16:54Z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B3B11BBDD73B4FB0AFF9B1884EED7A39_13</vt:lpwstr>
  </property>
</Properties>
</file>