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eastAsia="方正小标宋简体"/>
          <w:sz w:val="44"/>
          <w:szCs w:val="44"/>
          <w:lang w:eastAsia="zh-CN"/>
        </w:rPr>
      </w:pPr>
      <w:bookmarkStart w:id="0" w:name="_GoBack"/>
      <w:r>
        <w:rPr>
          <w:rFonts w:hint="eastAsia" w:eastAsia="方正小标宋简体"/>
          <w:sz w:val="44"/>
          <w:szCs w:val="44"/>
        </w:rPr>
        <w:t>临海市临时改变房屋用途管理实施办法（</w:t>
      </w:r>
      <w:r>
        <w:rPr>
          <w:rFonts w:hint="eastAsia" w:eastAsia="方正小标宋简体"/>
          <w:sz w:val="44"/>
          <w:szCs w:val="44"/>
          <w:lang w:eastAsia="zh-CN"/>
        </w:rPr>
        <w:t>试行</w:t>
      </w:r>
      <w:r>
        <w:rPr>
          <w:rFonts w:hint="eastAsia" w:eastAsia="方正小标宋简体"/>
          <w:sz w:val="44"/>
          <w:szCs w:val="44"/>
        </w:rPr>
        <w:t>）</w:t>
      </w:r>
      <w:bookmarkEnd w:id="0"/>
      <w:r>
        <w:rPr>
          <w:rFonts w:hint="eastAsia" w:eastAsia="方正小标宋简体"/>
          <w:sz w:val="44"/>
          <w:szCs w:val="44"/>
          <w:lang w:eastAsia="zh-CN"/>
        </w:rPr>
        <w:t>（修订）</w:t>
      </w:r>
    </w:p>
    <w:p>
      <w:pPr>
        <w:spacing w:line="590" w:lineRule="exact"/>
      </w:pPr>
    </w:p>
    <w:p>
      <w:pPr>
        <w:spacing w:line="590" w:lineRule="exact"/>
        <w:ind w:firstLine="640" w:firstLineChars="200"/>
        <w:rPr>
          <w:rFonts w:eastAsia="仿宋_GB2312"/>
          <w:sz w:val="32"/>
          <w:szCs w:val="32"/>
        </w:rPr>
      </w:pPr>
      <w:r>
        <w:rPr>
          <w:rFonts w:hint="eastAsia" w:eastAsia="仿宋_GB2312"/>
          <w:sz w:val="32"/>
          <w:szCs w:val="32"/>
        </w:rPr>
        <w:t>为进一步规范国有土地上既有房屋临时改变用途的管理，推进节约集约利用土地，盘活存量用地，提升土地资源的使用效率，促进经济的转型发展，加快城市有机更新，依据《中华人民共和国城乡规划法》《中华人民共和国土地管理法》《浙江省城乡规划条例》《浙江省房屋使用安全管理条例》等法律法规规定，结合我市实际，制定本实施办法。</w:t>
      </w:r>
    </w:p>
    <w:p>
      <w:pPr>
        <w:spacing w:line="590" w:lineRule="exact"/>
        <w:ind w:firstLine="640" w:firstLineChars="200"/>
        <w:rPr>
          <w:rFonts w:eastAsia="仿宋_GB2312"/>
          <w:sz w:val="32"/>
          <w:szCs w:val="32"/>
        </w:rPr>
      </w:pPr>
      <w:r>
        <w:rPr>
          <w:rFonts w:hint="eastAsia" w:eastAsia="仿宋_GB2312"/>
          <w:sz w:val="32"/>
          <w:szCs w:val="32"/>
        </w:rPr>
        <w:t>第一条 本办法适用于临海</w:t>
      </w:r>
      <w:r>
        <w:rPr>
          <w:rFonts w:eastAsia="仿宋_GB2312"/>
          <w:sz w:val="32"/>
          <w:szCs w:val="32"/>
        </w:rPr>
        <w:t>城</w:t>
      </w:r>
      <w:r>
        <w:rPr>
          <w:rFonts w:hint="eastAsia" w:eastAsia="仿宋_GB2312"/>
          <w:sz w:val="32"/>
          <w:szCs w:val="32"/>
        </w:rPr>
        <w:t>区、镇区</w:t>
      </w:r>
      <w:r>
        <w:rPr>
          <w:rFonts w:eastAsia="仿宋_GB2312"/>
          <w:sz w:val="32"/>
          <w:szCs w:val="32"/>
        </w:rPr>
        <w:t>、开发区</w:t>
      </w:r>
      <w:r>
        <w:rPr>
          <w:rFonts w:hint="eastAsia" w:eastAsia="仿宋_GB2312"/>
          <w:sz w:val="32"/>
          <w:szCs w:val="32"/>
        </w:rPr>
        <w:t>范围内利用既有房屋临时改变用途的行为。</w:t>
      </w:r>
    </w:p>
    <w:p>
      <w:pPr>
        <w:spacing w:line="590" w:lineRule="exact"/>
        <w:ind w:firstLine="640" w:firstLineChars="200"/>
        <w:rPr>
          <w:rFonts w:eastAsia="仿宋_GB2312"/>
          <w:sz w:val="32"/>
          <w:szCs w:val="32"/>
        </w:rPr>
      </w:pPr>
      <w:r>
        <w:rPr>
          <w:rFonts w:hint="eastAsia" w:eastAsia="仿宋_GB2312"/>
          <w:sz w:val="32"/>
          <w:szCs w:val="32"/>
        </w:rPr>
        <w:t>第二条 本办法所称临时改变房屋用途，</w:t>
      </w:r>
      <w:r>
        <w:rPr>
          <w:rFonts w:hint="eastAsia" w:eastAsia="仿宋_GB2312"/>
          <w:sz w:val="32"/>
          <w:szCs w:val="32"/>
          <w:lang w:eastAsia="zh-CN"/>
        </w:rPr>
        <w:t>是指</w:t>
      </w:r>
      <w:r>
        <w:rPr>
          <w:rFonts w:hint="eastAsia" w:eastAsia="仿宋_GB2312"/>
          <w:sz w:val="32"/>
          <w:szCs w:val="32"/>
        </w:rPr>
        <w:t>在不改变土地性质的前提下，临时改变不动产权证登记的房屋用途类别</w:t>
      </w:r>
      <w:r>
        <w:rPr>
          <w:rFonts w:hint="eastAsia" w:eastAsia="仿宋_GB2312"/>
          <w:sz w:val="32"/>
          <w:szCs w:val="32"/>
          <w:lang w:eastAsia="zh-CN"/>
        </w:rPr>
        <w:t>。其中住宅用房临时改变房屋用途不在本办法的适用范围</w:t>
      </w:r>
      <w:r>
        <w:rPr>
          <w:rFonts w:hint="eastAsia" w:eastAsia="仿宋_GB2312"/>
          <w:sz w:val="32"/>
          <w:szCs w:val="32"/>
        </w:rPr>
        <w:t>。</w:t>
      </w:r>
    </w:p>
    <w:p>
      <w:pPr>
        <w:spacing w:line="590" w:lineRule="exact"/>
        <w:ind w:firstLine="640" w:firstLineChars="200"/>
        <w:rPr>
          <w:rFonts w:eastAsia="仿宋_GB2312"/>
          <w:sz w:val="32"/>
          <w:szCs w:val="32"/>
        </w:rPr>
      </w:pPr>
      <w:r>
        <w:rPr>
          <w:rFonts w:hint="eastAsia" w:eastAsia="仿宋_GB2312"/>
          <w:sz w:val="32"/>
          <w:szCs w:val="32"/>
        </w:rPr>
        <w:t>第三条 房屋所有权人或者使用人应当按照不动产权证确定的房屋用途使用房屋。因产业布局提升、补足区域公共服务配套设施的需要，房屋所有权人提出临时改变用途的，应当按本规定报批。</w:t>
      </w:r>
    </w:p>
    <w:p>
      <w:pPr>
        <w:spacing w:line="590" w:lineRule="exact"/>
        <w:ind w:firstLine="640" w:firstLineChars="200"/>
        <w:rPr>
          <w:rFonts w:eastAsia="仿宋_GB2312"/>
          <w:sz w:val="32"/>
          <w:szCs w:val="32"/>
        </w:rPr>
      </w:pPr>
      <w:r>
        <w:rPr>
          <w:rFonts w:hint="eastAsia" w:eastAsia="仿宋_GB2312"/>
          <w:sz w:val="32"/>
          <w:szCs w:val="32"/>
        </w:rPr>
        <w:t>第四条 办理临时改变房屋用途需缴纳土地收益金的，由房屋所有权人一次性缴纳，具体由市自然资源规划局委托有资质的评估机构作出评估报告。</w:t>
      </w:r>
    </w:p>
    <w:p>
      <w:pPr>
        <w:spacing w:line="590" w:lineRule="exact"/>
        <w:ind w:firstLine="640" w:firstLineChars="200"/>
        <w:rPr>
          <w:rFonts w:eastAsia="仿宋_GB2312"/>
          <w:sz w:val="32"/>
          <w:szCs w:val="32"/>
        </w:rPr>
      </w:pPr>
      <w:r>
        <w:rPr>
          <w:rFonts w:hint="eastAsia" w:eastAsia="仿宋_GB2312"/>
          <w:sz w:val="32"/>
          <w:szCs w:val="32"/>
        </w:rPr>
        <w:t>第五条 临时改变房屋用途应符合以下条件：</w:t>
      </w:r>
    </w:p>
    <w:p>
      <w:pPr>
        <w:spacing w:line="590" w:lineRule="exact"/>
        <w:ind w:firstLine="640" w:firstLineChars="200"/>
        <w:rPr>
          <w:rFonts w:eastAsia="仿宋_GB2312"/>
          <w:sz w:val="32"/>
          <w:szCs w:val="32"/>
        </w:rPr>
      </w:pPr>
      <w:r>
        <w:rPr>
          <w:rFonts w:hint="eastAsia" w:eastAsia="仿宋_GB2312"/>
          <w:sz w:val="32"/>
          <w:szCs w:val="32"/>
        </w:rPr>
        <w:t>（一）符合相应行业发展的政策导向，重点考虑养老、教育、医疗、体育等民生需求，促进研发、文化创意、旅游配套、物流、商贸及服务业等业态发展，支持补足社区15分钟生活圈的配套设施；</w:t>
      </w:r>
    </w:p>
    <w:p>
      <w:pPr>
        <w:spacing w:line="590" w:lineRule="exact"/>
        <w:ind w:firstLine="640" w:firstLineChars="200"/>
        <w:rPr>
          <w:rFonts w:eastAsia="仿宋_GB2312"/>
          <w:sz w:val="32"/>
          <w:szCs w:val="32"/>
        </w:rPr>
      </w:pPr>
      <w:r>
        <w:rPr>
          <w:rFonts w:hint="eastAsia" w:eastAsia="仿宋_GB2312"/>
          <w:sz w:val="32"/>
          <w:szCs w:val="32"/>
        </w:rPr>
        <w:t>（二）未列入政府征收拆迁改造计划、收储计划、重点区块改造计划等，不对城市近期建设造成影响；</w:t>
      </w:r>
    </w:p>
    <w:p>
      <w:pPr>
        <w:spacing w:line="590" w:lineRule="exact"/>
        <w:ind w:firstLine="640" w:firstLineChars="200"/>
        <w:rPr>
          <w:rFonts w:eastAsia="仿宋_GB2312"/>
          <w:sz w:val="32"/>
          <w:szCs w:val="32"/>
        </w:rPr>
      </w:pPr>
      <w:r>
        <w:rPr>
          <w:rFonts w:hint="eastAsia" w:eastAsia="仿宋_GB2312"/>
          <w:sz w:val="32"/>
          <w:szCs w:val="32"/>
        </w:rPr>
        <w:t>（三）项目选址符合城市功能布局要求，满足基础设施的承载能力及交通、安全、市容、环境的要求；</w:t>
      </w:r>
    </w:p>
    <w:p>
      <w:pPr>
        <w:spacing w:line="590" w:lineRule="exact"/>
        <w:ind w:firstLine="640" w:firstLineChars="200"/>
        <w:rPr>
          <w:rFonts w:eastAsia="仿宋_GB2312"/>
          <w:sz w:val="32"/>
          <w:szCs w:val="32"/>
        </w:rPr>
      </w:pPr>
      <w:r>
        <w:rPr>
          <w:rFonts w:hint="eastAsia" w:eastAsia="仿宋_GB2312"/>
          <w:sz w:val="32"/>
          <w:szCs w:val="32"/>
        </w:rPr>
        <w:t>（四）具备满足相对独立的功能区块，并满足相应的配套要求；</w:t>
      </w:r>
    </w:p>
    <w:p>
      <w:pPr>
        <w:spacing w:line="590" w:lineRule="exact"/>
        <w:ind w:firstLine="640" w:firstLineChars="200"/>
        <w:rPr>
          <w:rFonts w:hint="eastAsia" w:eastAsia="仿宋_GB2312"/>
          <w:sz w:val="32"/>
          <w:szCs w:val="32"/>
        </w:rPr>
      </w:pPr>
      <w:r>
        <w:rPr>
          <w:rFonts w:hint="eastAsia" w:eastAsia="仿宋_GB2312"/>
          <w:sz w:val="32"/>
          <w:szCs w:val="32"/>
        </w:rPr>
        <w:t>（五）属于文物古迹、历史建筑、纪念性建筑等具有地方特色和传统风格的建筑，临时改变用途应符合相关保护要求，且不影响城市景观；</w:t>
      </w:r>
    </w:p>
    <w:p>
      <w:pPr>
        <w:spacing w:line="590" w:lineRule="exact"/>
        <w:ind w:firstLine="640" w:firstLineChars="200"/>
        <w:rPr>
          <w:rFonts w:eastAsia="仿宋_GB2312"/>
          <w:sz w:val="32"/>
          <w:szCs w:val="32"/>
        </w:rPr>
      </w:pPr>
      <w:r>
        <w:rPr>
          <w:rFonts w:hint="eastAsia" w:eastAsia="仿宋_GB2312"/>
          <w:sz w:val="32"/>
          <w:szCs w:val="32"/>
        </w:rPr>
        <w:t>（六）土壤污染重点监管单位生产经营用地、疑似污染地块（涉及化工、印染、制革、电镀、造纸、铅蓄电池制造、有色金属矿采选、有色金属冶炼和危险废物经营等9个重点行业中关停并转、破产或搬迁企业的原址用地）及用途变更为公共管理与公共服务用地的，须开展土壤污染状况调查，且调查结果必须通过生态环境部门审查；</w:t>
      </w:r>
    </w:p>
    <w:p>
      <w:pPr>
        <w:spacing w:line="590" w:lineRule="exact"/>
        <w:ind w:firstLine="640" w:firstLineChars="200"/>
        <w:rPr>
          <w:rFonts w:eastAsia="仿宋_GB2312"/>
          <w:sz w:val="32"/>
          <w:szCs w:val="32"/>
        </w:rPr>
      </w:pPr>
      <w:r>
        <w:rPr>
          <w:rFonts w:hint="eastAsia" w:eastAsia="仿宋_GB2312"/>
          <w:sz w:val="32"/>
          <w:szCs w:val="32"/>
        </w:rPr>
        <w:t>（七）申请临时改变用途的房屋应为合法建筑，若土地权属界线内存在违法建筑，须依法完成违法建筑整改处置后方可实施；</w:t>
      </w:r>
    </w:p>
    <w:p>
      <w:pPr>
        <w:spacing w:line="590" w:lineRule="exact"/>
        <w:ind w:firstLine="640" w:firstLineChars="200"/>
        <w:rPr>
          <w:rFonts w:hint="eastAsia" w:eastAsia="仿宋_GB2312"/>
          <w:sz w:val="32"/>
          <w:szCs w:val="32"/>
        </w:rPr>
      </w:pPr>
      <w:r>
        <w:rPr>
          <w:rFonts w:hint="eastAsia" w:eastAsia="仿宋_GB2312"/>
          <w:sz w:val="32"/>
          <w:szCs w:val="32"/>
        </w:rPr>
        <w:t>（八）改变房屋用途后，须依法保障相关利害关系人的合法权益；</w:t>
      </w:r>
    </w:p>
    <w:p>
      <w:pPr>
        <w:spacing w:line="590" w:lineRule="exact"/>
        <w:ind w:firstLine="640" w:firstLineChars="200"/>
        <w:rPr>
          <w:rFonts w:eastAsia="仿宋_GB2312"/>
          <w:sz w:val="32"/>
          <w:szCs w:val="32"/>
        </w:rPr>
      </w:pPr>
      <w:r>
        <w:rPr>
          <w:rFonts w:hint="eastAsia" w:eastAsia="仿宋_GB2312"/>
          <w:sz w:val="32"/>
          <w:szCs w:val="32"/>
        </w:rPr>
        <w:t>（九）改变房屋用途直接关系相关群体切身利益，对社会秩序、社会稳定、公共安全等方面可能造成较大影响的，应该由该项目主管单位开展社会风险评估等相关工作，评估结论为中低风险以下方可实行。</w:t>
      </w:r>
    </w:p>
    <w:p>
      <w:pPr>
        <w:spacing w:line="590" w:lineRule="exact"/>
        <w:ind w:firstLine="640" w:firstLineChars="200"/>
        <w:rPr>
          <w:rFonts w:eastAsia="仿宋_GB2312"/>
          <w:sz w:val="32"/>
          <w:szCs w:val="32"/>
        </w:rPr>
      </w:pPr>
      <w:r>
        <w:rPr>
          <w:rFonts w:hint="eastAsia" w:eastAsia="仿宋_GB2312"/>
          <w:sz w:val="32"/>
          <w:szCs w:val="32"/>
        </w:rPr>
        <w:t>第六条 房屋所有权人为临时改变房屋用途审批的申报主体。临时改变房屋用途部门联审申报材料如下：</w:t>
      </w:r>
    </w:p>
    <w:p>
      <w:pPr>
        <w:spacing w:line="590" w:lineRule="exact"/>
        <w:ind w:firstLine="640" w:firstLineChars="200"/>
        <w:rPr>
          <w:rFonts w:eastAsia="仿宋_GB2312"/>
          <w:sz w:val="32"/>
          <w:szCs w:val="32"/>
        </w:rPr>
      </w:pPr>
      <w:r>
        <w:rPr>
          <w:rFonts w:hint="eastAsia" w:eastAsia="仿宋_GB2312"/>
          <w:sz w:val="32"/>
          <w:szCs w:val="32"/>
        </w:rPr>
        <w:t>（一）临时改变房屋用途申请表，说明拟临时改变用途的房屋地点、改变用途的原因和理由、具体使用方案及申请临时改变的期限等；</w:t>
      </w:r>
    </w:p>
    <w:p>
      <w:pPr>
        <w:spacing w:line="590" w:lineRule="exact"/>
        <w:ind w:firstLine="640" w:firstLineChars="200"/>
        <w:rPr>
          <w:rFonts w:eastAsia="仿宋_GB2312"/>
          <w:sz w:val="32"/>
          <w:szCs w:val="32"/>
        </w:rPr>
      </w:pPr>
      <w:r>
        <w:rPr>
          <w:rFonts w:hint="eastAsia" w:eastAsia="仿宋_GB2312"/>
          <w:sz w:val="32"/>
          <w:szCs w:val="32"/>
        </w:rPr>
        <w:t>（二）不动产权属证书原件、复印件或国有土地使用权证和房产所有权证原件、复印件；</w:t>
      </w:r>
    </w:p>
    <w:p>
      <w:pPr>
        <w:spacing w:line="590" w:lineRule="exact"/>
        <w:ind w:firstLine="640" w:firstLineChars="200"/>
        <w:rPr>
          <w:rFonts w:eastAsia="仿宋_GB2312"/>
          <w:sz w:val="32"/>
          <w:szCs w:val="32"/>
        </w:rPr>
      </w:pPr>
      <w:r>
        <w:rPr>
          <w:rFonts w:hint="eastAsia" w:eastAsia="仿宋_GB2312"/>
          <w:sz w:val="32"/>
          <w:szCs w:val="32"/>
        </w:rPr>
        <w:t>（三）企业营业执照原件和复印件；</w:t>
      </w:r>
    </w:p>
    <w:p>
      <w:pPr>
        <w:spacing w:line="590" w:lineRule="exact"/>
        <w:ind w:firstLine="640" w:firstLineChars="200"/>
        <w:rPr>
          <w:rFonts w:eastAsia="仿宋_GB2312"/>
          <w:sz w:val="32"/>
          <w:szCs w:val="32"/>
        </w:rPr>
      </w:pPr>
      <w:r>
        <w:rPr>
          <w:rFonts w:hint="eastAsia" w:eastAsia="仿宋_GB2312"/>
          <w:sz w:val="32"/>
          <w:szCs w:val="32"/>
        </w:rPr>
        <w:t>（四）具有相应资质的设计单位提供的设计方案；</w:t>
      </w:r>
    </w:p>
    <w:p>
      <w:pPr>
        <w:spacing w:line="590" w:lineRule="exact"/>
        <w:ind w:firstLine="640" w:firstLineChars="200"/>
        <w:rPr>
          <w:rFonts w:eastAsia="仿宋_GB2312"/>
          <w:sz w:val="32"/>
          <w:szCs w:val="32"/>
        </w:rPr>
      </w:pPr>
      <w:r>
        <w:rPr>
          <w:rFonts w:hint="eastAsia" w:eastAsia="仿宋_GB2312"/>
          <w:sz w:val="32"/>
          <w:szCs w:val="32"/>
        </w:rPr>
        <w:t>（五）房屋可靠性鉴定报告或原设计单位对建筑结构安全认可的意见；</w:t>
      </w:r>
    </w:p>
    <w:p>
      <w:pPr>
        <w:spacing w:line="590" w:lineRule="exact"/>
        <w:ind w:firstLine="640" w:firstLineChars="200"/>
        <w:rPr>
          <w:rFonts w:eastAsia="仿宋_GB2312"/>
          <w:sz w:val="32"/>
          <w:szCs w:val="32"/>
        </w:rPr>
      </w:pPr>
      <w:r>
        <w:rPr>
          <w:rFonts w:hint="eastAsia" w:eastAsia="仿宋_GB2312"/>
          <w:sz w:val="32"/>
          <w:szCs w:val="32"/>
        </w:rPr>
        <w:t>（六）不动产权人企业性质为国有和集体企业时须提供集体决策书面文件和主管部门意见；</w:t>
      </w:r>
    </w:p>
    <w:p>
      <w:pPr>
        <w:spacing w:line="590" w:lineRule="exact"/>
        <w:ind w:firstLine="640" w:firstLineChars="200"/>
        <w:rPr>
          <w:rFonts w:eastAsia="仿宋_GB2312"/>
          <w:sz w:val="32"/>
          <w:szCs w:val="32"/>
        </w:rPr>
      </w:pPr>
      <w:r>
        <w:rPr>
          <w:rFonts w:hint="eastAsia" w:eastAsia="仿宋_GB2312"/>
          <w:sz w:val="32"/>
          <w:szCs w:val="32"/>
        </w:rPr>
        <w:t>（七）土壤污染状况初步调查报告评审结果表（仅前述的9个重点行业中关停并转、破产或搬迁企业的原址用地及用途变更为公共管理与公共服务用地的企业提供）;</w:t>
      </w:r>
    </w:p>
    <w:p>
      <w:pPr>
        <w:spacing w:line="590" w:lineRule="exact"/>
        <w:ind w:firstLine="640" w:firstLineChars="200"/>
        <w:rPr>
          <w:rFonts w:eastAsia="仿宋_GB2312"/>
          <w:sz w:val="32"/>
          <w:szCs w:val="32"/>
        </w:rPr>
      </w:pPr>
      <w:r>
        <w:rPr>
          <w:rFonts w:hint="eastAsia" w:eastAsia="仿宋_GB2312"/>
          <w:sz w:val="32"/>
          <w:szCs w:val="32"/>
        </w:rPr>
        <w:t>（八）属地开发区或镇（街道）出具的意见。</w:t>
      </w:r>
    </w:p>
    <w:p>
      <w:pPr>
        <w:spacing w:line="590" w:lineRule="exact"/>
        <w:ind w:firstLine="640" w:firstLineChars="200"/>
        <w:rPr>
          <w:rFonts w:eastAsia="仿宋_GB2312"/>
          <w:sz w:val="32"/>
          <w:szCs w:val="32"/>
        </w:rPr>
      </w:pPr>
      <w:r>
        <w:rPr>
          <w:rFonts w:hint="eastAsia" w:eastAsia="仿宋_GB2312"/>
          <w:sz w:val="32"/>
          <w:szCs w:val="32"/>
        </w:rPr>
        <w:t>第七条 改造方案及配套设施的要求：</w:t>
      </w:r>
    </w:p>
    <w:p>
      <w:pPr>
        <w:spacing w:line="590" w:lineRule="exact"/>
        <w:ind w:firstLine="640" w:firstLineChars="200"/>
        <w:rPr>
          <w:rFonts w:eastAsia="仿宋_GB2312"/>
          <w:sz w:val="32"/>
          <w:szCs w:val="32"/>
        </w:rPr>
      </w:pPr>
      <w:r>
        <w:rPr>
          <w:rFonts w:hint="eastAsia" w:eastAsia="仿宋_GB2312"/>
          <w:sz w:val="32"/>
          <w:szCs w:val="32"/>
        </w:rPr>
        <w:t>（一）申请临时改变房屋用途，如需对建筑内部进行改造的，改造方案需满足建筑质量安全、消防安全等相关规范要求。涉及重点路段临街建筑立面改造的，应向市自然资源规划局报送立面改造方案，方案应包括改造前后的立面效果图对比、所用材料等相关内容。</w:t>
      </w:r>
    </w:p>
    <w:p>
      <w:pPr>
        <w:spacing w:line="590" w:lineRule="exact"/>
        <w:ind w:firstLine="640" w:firstLineChars="200"/>
        <w:rPr>
          <w:rFonts w:eastAsia="仿宋_GB2312"/>
          <w:sz w:val="32"/>
          <w:szCs w:val="32"/>
        </w:rPr>
      </w:pPr>
      <w:r>
        <w:rPr>
          <w:rFonts w:hint="eastAsia" w:eastAsia="仿宋_GB2312"/>
          <w:sz w:val="32"/>
          <w:szCs w:val="32"/>
        </w:rPr>
        <w:t>（二）临时改变房屋用途时因规范要求增设消防通道、楼梯、电梯、配电房等公用设施的，允许按规范要求增设。</w:t>
      </w:r>
    </w:p>
    <w:p>
      <w:pPr>
        <w:spacing w:line="590" w:lineRule="exact"/>
        <w:ind w:firstLine="640" w:firstLineChars="200"/>
        <w:rPr>
          <w:rFonts w:hint="eastAsia" w:eastAsia="仿宋_GB2312"/>
          <w:sz w:val="32"/>
          <w:szCs w:val="32"/>
        </w:rPr>
      </w:pPr>
      <w:r>
        <w:rPr>
          <w:rFonts w:hint="eastAsia" w:eastAsia="仿宋_GB2312"/>
          <w:sz w:val="32"/>
          <w:szCs w:val="32"/>
        </w:rPr>
        <w:t>（三）涉及养老、教育、医疗的项目在为了满足整体功能的前提下，其改造方案可按照设计规范的要求适度配建，按原有土地性质申报及登记。</w:t>
      </w:r>
    </w:p>
    <w:p>
      <w:pPr>
        <w:spacing w:line="590" w:lineRule="exact"/>
        <w:ind w:firstLine="640" w:firstLineChars="200"/>
        <w:rPr>
          <w:rFonts w:hint="eastAsia" w:eastAsia="仿宋_GB2312"/>
          <w:sz w:val="32"/>
          <w:szCs w:val="32"/>
        </w:rPr>
      </w:pPr>
      <w:r>
        <w:rPr>
          <w:rFonts w:hint="eastAsia" w:eastAsia="仿宋_GB2312"/>
          <w:sz w:val="32"/>
          <w:szCs w:val="32"/>
        </w:rPr>
        <w:t>第八条 职责分工：</w:t>
      </w:r>
    </w:p>
    <w:p>
      <w:pPr>
        <w:spacing w:line="590" w:lineRule="exact"/>
        <w:ind w:firstLine="640" w:firstLineChars="200"/>
        <w:rPr>
          <w:rFonts w:hint="eastAsia" w:eastAsia="仿宋_GB2312"/>
          <w:sz w:val="32"/>
          <w:szCs w:val="32"/>
        </w:rPr>
      </w:pPr>
      <w:r>
        <w:rPr>
          <w:rFonts w:hint="eastAsia" w:eastAsia="仿宋_GB2312"/>
          <w:sz w:val="32"/>
          <w:szCs w:val="32"/>
        </w:rPr>
        <w:t>（一）成立临海市临时改变房屋用途工作领导小组，下设办公室负责牵头临时改变房屋用途部门联审会议并出具会议纪要，领导小组组成成员名单详见附件1；</w:t>
      </w:r>
    </w:p>
    <w:p>
      <w:pPr>
        <w:spacing w:line="590" w:lineRule="exact"/>
        <w:ind w:firstLine="640" w:firstLineChars="200"/>
        <w:rPr>
          <w:rFonts w:eastAsia="仿宋_GB2312"/>
          <w:sz w:val="32"/>
          <w:szCs w:val="32"/>
        </w:rPr>
      </w:pPr>
      <w:r>
        <w:rPr>
          <w:rFonts w:hint="eastAsia" w:eastAsia="仿宋_GB2312"/>
          <w:sz w:val="32"/>
          <w:szCs w:val="32"/>
        </w:rPr>
        <w:t>（二）市自然资源规划局对临时改变房屋用途是否满足城市功能布局要求，是否满足基础设施的承载能力及对交通的影响要求，是否已征求相关利害关系人的意见等方面进行审查，并核发《准予临时改变房屋用途决定书》；</w:t>
      </w:r>
    </w:p>
    <w:p>
      <w:pPr>
        <w:spacing w:line="590" w:lineRule="exact"/>
        <w:ind w:firstLine="640" w:firstLineChars="200"/>
        <w:rPr>
          <w:rFonts w:eastAsia="仿宋_GB2312"/>
          <w:sz w:val="32"/>
          <w:szCs w:val="32"/>
        </w:rPr>
      </w:pPr>
      <w:r>
        <w:rPr>
          <w:rFonts w:hint="eastAsia" w:eastAsia="仿宋_GB2312"/>
          <w:sz w:val="32"/>
          <w:szCs w:val="32"/>
        </w:rPr>
        <w:t>（三）市经信局负责对工业园区（含小微园区）内的厂房临时改变房屋用途是否符合工业园区管理与发展的需要进行审查；</w:t>
      </w:r>
    </w:p>
    <w:p>
      <w:pPr>
        <w:spacing w:line="590" w:lineRule="exact"/>
        <w:ind w:firstLine="640" w:firstLineChars="200"/>
        <w:rPr>
          <w:rFonts w:eastAsia="仿宋_GB2312"/>
          <w:sz w:val="32"/>
          <w:szCs w:val="32"/>
        </w:rPr>
      </w:pPr>
      <w:r>
        <w:rPr>
          <w:rFonts w:hint="eastAsia" w:eastAsia="仿宋_GB2312"/>
          <w:sz w:val="32"/>
          <w:szCs w:val="32"/>
        </w:rPr>
        <w:t>（四）第三产业主管部门对房屋拟临时改变的用途是否符合产业发展布局规划或政策导向进行审查。其中市民政局负责养老项目审查，市教育局负责教育项目审查，市卫生健康局负责医疗项目审查，市人力社保局负责技工院校项目审查，市交通运输局负责物流站场项目审查，市商务局负责商贸业项目审查，市文化广电旅游体育局负责文化、体育、旅游项目的审查，市科技局负责研发项目的审查，市市场监管局负责质量评定及检测项目的审查，市发改局负责其他第三产业项目审查；</w:t>
      </w:r>
    </w:p>
    <w:p>
      <w:pPr>
        <w:spacing w:line="590" w:lineRule="exact"/>
        <w:ind w:firstLine="640" w:firstLineChars="200"/>
        <w:rPr>
          <w:rFonts w:eastAsia="仿宋_GB2312"/>
          <w:sz w:val="32"/>
          <w:szCs w:val="32"/>
        </w:rPr>
      </w:pPr>
      <w:r>
        <w:rPr>
          <w:rFonts w:hint="eastAsia" w:eastAsia="仿宋_GB2312"/>
          <w:sz w:val="32"/>
          <w:szCs w:val="32"/>
        </w:rPr>
        <w:t>（五）市建设局负责对房屋是否符合质量安全和消防要求进行审查；</w:t>
      </w:r>
    </w:p>
    <w:p>
      <w:pPr>
        <w:spacing w:line="590" w:lineRule="exact"/>
        <w:ind w:firstLine="640" w:firstLineChars="200"/>
        <w:rPr>
          <w:rFonts w:eastAsia="仿宋_GB2312"/>
          <w:sz w:val="32"/>
          <w:szCs w:val="32"/>
        </w:rPr>
      </w:pPr>
      <w:r>
        <w:rPr>
          <w:rFonts w:hint="eastAsia" w:eastAsia="仿宋_GB2312"/>
          <w:sz w:val="32"/>
          <w:szCs w:val="32"/>
        </w:rPr>
        <w:t>（六）台州市生态环境局临海分局负责对地块土壤状况调查结果是否满足用途变更的要求、项目对周边环境的影响是否符合要求等进行审查；</w:t>
      </w:r>
    </w:p>
    <w:p>
      <w:pPr>
        <w:spacing w:line="590" w:lineRule="exact"/>
        <w:ind w:firstLine="640" w:firstLineChars="200"/>
        <w:rPr>
          <w:rFonts w:eastAsia="仿宋_GB2312"/>
          <w:sz w:val="32"/>
          <w:szCs w:val="32"/>
        </w:rPr>
      </w:pPr>
      <w:r>
        <w:rPr>
          <w:rFonts w:hint="eastAsia" w:eastAsia="仿宋_GB2312"/>
          <w:sz w:val="32"/>
          <w:szCs w:val="32"/>
        </w:rPr>
        <w:t>（七）市综合执法局负责对是否影响市容进行审查；</w:t>
      </w:r>
    </w:p>
    <w:p>
      <w:pPr>
        <w:spacing w:line="590" w:lineRule="exact"/>
        <w:ind w:firstLine="640" w:firstLineChars="200"/>
        <w:rPr>
          <w:rFonts w:hint="eastAsia" w:eastAsia="仿宋_GB2312"/>
          <w:sz w:val="32"/>
          <w:szCs w:val="32"/>
        </w:rPr>
      </w:pPr>
      <w:r>
        <w:rPr>
          <w:rFonts w:hint="eastAsia" w:eastAsia="仿宋_GB2312"/>
          <w:sz w:val="32"/>
          <w:szCs w:val="32"/>
        </w:rPr>
        <w:t>（八）属地镇（街道）和开发区负责对是否符合当地发展需求、是否列入政府近期征收拆迁改造计划、是否列入重点区块改造计划、是否对城市近期建设造成影响等进行审查。</w:t>
      </w:r>
    </w:p>
    <w:p>
      <w:pPr>
        <w:spacing w:line="590" w:lineRule="exact"/>
        <w:ind w:firstLine="640" w:firstLineChars="200"/>
        <w:rPr>
          <w:rFonts w:eastAsia="仿宋_GB2312"/>
          <w:sz w:val="32"/>
          <w:szCs w:val="32"/>
        </w:rPr>
      </w:pPr>
      <w:r>
        <w:rPr>
          <w:rFonts w:hint="eastAsia" w:eastAsia="仿宋_GB2312"/>
          <w:sz w:val="32"/>
          <w:szCs w:val="32"/>
        </w:rPr>
        <w:t>第九条 申请人在取得《准予临时改变房屋用途决定书》后，还需到以下部门办理审批或备案手续：</w:t>
      </w:r>
    </w:p>
    <w:p>
      <w:pPr>
        <w:spacing w:line="590" w:lineRule="exact"/>
        <w:ind w:firstLine="640" w:firstLineChars="200"/>
        <w:rPr>
          <w:rFonts w:eastAsia="仿宋_GB2312"/>
          <w:sz w:val="32"/>
          <w:szCs w:val="32"/>
        </w:rPr>
      </w:pPr>
      <w:r>
        <w:rPr>
          <w:rFonts w:hint="eastAsia" w:eastAsia="仿宋_GB2312"/>
          <w:sz w:val="32"/>
          <w:szCs w:val="32"/>
        </w:rPr>
        <w:t>（一）申请人凭《准予临时改变房屋用途决定书》、具有相应资质的设计单位设计的建筑物改造或装修施工图等资料报市建设局办理施工许可、消防设计审查（备案）。擅自改造或装修的，依法处罚后，凭房屋可靠性鉴定报告及消防相关资料，给予办理消防设计审查验收（备案）手续；</w:t>
      </w:r>
    </w:p>
    <w:p>
      <w:pPr>
        <w:spacing w:line="590" w:lineRule="exact"/>
        <w:ind w:firstLine="640" w:firstLineChars="200"/>
        <w:rPr>
          <w:rFonts w:eastAsia="仿宋_GB2312"/>
          <w:sz w:val="32"/>
          <w:szCs w:val="32"/>
        </w:rPr>
      </w:pPr>
      <w:r>
        <w:rPr>
          <w:rFonts w:hint="eastAsia" w:eastAsia="仿宋_GB2312"/>
          <w:sz w:val="32"/>
          <w:szCs w:val="32"/>
        </w:rPr>
        <w:t>（二）报台州市生态环境局临海分局办理环境保护审批、备案；</w:t>
      </w:r>
    </w:p>
    <w:p>
      <w:pPr>
        <w:spacing w:line="590" w:lineRule="exact"/>
        <w:ind w:firstLine="640" w:firstLineChars="200"/>
        <w:rPr>
          <w:rFonts w:eastAsia="仿宋_GB2312"/>
          <w:sz w:val="32"/>
          <w:szCs w:val="32"/>
        </w:rPr>
      </w:pPr>
      <w:r>
        <w:rPr>
          <w:rFonts w:hint="eastAsia" w:eastAsia="仿宋_GB2312"/>
          <w:sz w:val="32"/>
          <w:szCs w:val="32"/>
        </w:rPr>
        <w:t>（三）报市市场监管局办理工商登记审批；</w:t>
      </w:r>
    </w:p>
    <w:p>
      <w:pPr>
        <w:spacing w:line="590" w:lineRule="exact"/>
        <w:ind w:firstLine="640" w:firstLineChars="200"/>
        <w:rPr>
          <w:rFonts w:eastAsia="仿宋_GB2312"/>
          <w:sz w:val="32"/>
          <w:szCs w:val="32"/>
        </w:rPr>
      </w:pPr>
      <w:r>
        <w:rPr>
          <w:rFonts w:hint="eastAsia" w:eastAsia="仿宋_GB2312"/>
          <w:sz w:val="32"/>
          <w:szCs w:val="32"/>
        </w:rPr>
        <w:t>（四）报市公安局办理《特种行业许可证》审批（视项目具体情况确定是否办理）；</w:t>
      </w:r>
      <w:r>
        <w:rPr>
          <w:rFonts w:eastAsia="仿宋_GB2312"/>
          <w:sz w:val="32"/>
          <w:szCs w:val="32"/>
        </w:rPr>
        <w:t xml:space="preserve"> </w:t>
      </w:r>
    </w:p>
    <w:p>
      <w:pPr>
        <w:spacing w:line="590" w:lineRule="exact"/>
        <w:ind w:firstLine="640" w:firstLineChars="200"/>
        <w:rPr>
          <w:rFonts w:eastAsia="仿宋_GB2312"/>
          <w:sz w:val="32"/>
          <w:szCs w:val="32"/>
        </w:rPr>
      </w:pPr>
      <w:r>
        <w:rPr>
          <w:rFonts w:hint="eastAsia" w:eastAsia="仿宋_GB2312"/>
          <w:sz w:val="32"/>
          <w:szCs w:val="32"/>
        </w:rPr>
        <w:t>（五）报市消防救援大队办理公众聚集场所开业前消防安全检查审批（视项目具体情况确定是否办理）；</w:t>
      </w:r>
      <w:r>
        <w:rPr>
          <w:rFonts w:eastAsia="仿宋_GB2312"/>
          <w:sz w:val="32"/>
          <w:szCs w:val="32"/>
        </w:rPr>
        <w:t xml:space="preserve"> </w:t>
      </w:r>
    </w:p>
    <w:p>
      <w:pPr>
        <w:spacing w:line="590" w:lineRule="exact"/>
        <w:ind w:firstLine="640" w:firstLineChars="200"/>
        <w:rPr>
          <w:rFonts w:eastAsia="仿宋_GB2312"/>
          <w:sz w:val="32"/>
          <w:szCs w:val="32"/>
        </w:rPr>
      </w:pPr>
      <w:r>
        <w:rPr>
          <w:rFonts w:hint="eastAsia" w:eastAsia="仿宋_GB2312"/>
          <w:sz w:val="32"/>
          <w:szCs w:val="32"/>
        </w:rPr>
        <w:t>（六）其他相关报批手续按有关规定办理。</w:t>
      </w:r>
    </w:p>
    <w:p>
      <w:pPr>
        <w:spacing w:line="590" w:lineRule="exact"/>
        <w:ind w:firstLine="640" w:firstLineChars="200"/>
        <w:rPr>
          <w:rFonts w:eastAsia="仿宋_GB2312"/>
          <w:sz w:val="32"/>
          <w:szCs w:val="32"/>
        </w:rPr>
      </w:pPr>
      <w:r>
        <w:rPr>
          <w:rFonts w:hint="eastAsia" w:eastAsia="仿宋_GB2312"/>
          <w:sz w:val="32"/>
          <w:szCs w:val="32"/>
        </w:rPr>
        <w:t>第十条 临时改变房屋用途的期限不得超过5年。期限届满确需延续的，可以在期限届满前60日内申请延期，每次延期的期限不超过2年。申请人可以根据使用需求自行申报临时改变房屋用途的时间，需要缴纳土地收益金的，按使用时间一次性缴纳。未申请延续或延续申请未获批准的，应当自行恢复原房屋用途。</w:t>
      </w:r>
    </w:p>
    <w:p>
      <w:pPr>
        <w:spacing w:line="590" w:lineRule="exact"/>
        <w:ind w:firstLine="640" w:firstLineChars="200"/>
        <w:rPr>
          <w:rFonts w:eastAsia="仿宋_GB2312"/>
          <w:sz w:val="32"/>
          <w:szCs w:val="32"/>
        </w:rPr>
      </w:pPr>
      <w:r>
        <w:rPr>
          <w:rFonts w:hint="eastAsia" w:eastAsia="仿宋_GB2312"/>
          <w:sz w:val="32"/>
          <w:szCs w:val="32"/>
        </w:rPr>
        <w:t>第十一条 临时改变房屋用途期限届满，逾期未申请延期或延期申请未获同意，市教育局、市公安局、市民政局、市人力社保局、市交通运输局、市商务局、市文化广电旅游体育局、市卫生健康局等相关部门要根据各自职责和审批范畴，及时注销相关许可，并督促原申请单位及时整改。</w:t>
      </w:r>
    </w:p>
    <w:p>
      <w:pPr>
        <w:spacing w:line="590" w:lineRule="exact"/>
        <w:ind w:firstLine="640" w:firstLineChars="200"/>
        <w:rPr>
          <w:rFonts w:hint="eastAsia" w:eastAsia="仿宋_GB2312"/>
          <w:sz w:val="32"/>
          <w:szCs w:val="32"/>
        </w:rPr>
      </w:pPr>
      <w:r>
        <w:rPr>
          <w:rFonts w:hint="eastAsia" w:eastAsia="仿宋_GB2312"/>
          <w:sz w:val="32"/>
          <w:szCs w:val="32"/>
        </w:rPr>
        <w:t>第十二条 经批准临时改变房屋用途的，原批准的房屋用途不变，不作为改变房屋产权和土地登记的依据。临时改变用途的房屋在批准期限内被征收的，按照原用途确定，剩余期限的土地收益金予以退还。</w:t>
      </w:r>
    </w:p>
    <w:p>
      <w:pPr>
        <w:spacing w:line="590" w:lineRule="exact"/>
        <w:ind w:firstLine="640" w:firstLineChars="200"/>
        <w:rPr>
          <w:rFonts w:eastAsia="仿宋_GB2312"/>
          <w:sz w:val="32"/>
          <w:szCs w:val="32"/>
        </w:rPr>
      </w:pPr>
      <w:r>
        <w:rPr>
          <w:rFonts w:hint="eastAsia" w:eastAsia="仿宋_GB2312"/>
          <w:sz w:val="32"/>
          <w:szCs w:val="32"/>
        </w:rPr>
        <w:t xml:space="preserve">第十三条 未经批准擅自改变房屋用途或到期未恢复原房屋用途的，由所属镇（街道）或开发区会同综合执法部门依法处置。 </w:t>
      </w:r>
    </w:p>
    <w:p>
      <w:pPr>
        <w:spacing w:line="590" w:lineRule="exact"/>
        <w:ind w:firstLine="640" w:firstLineChars="200"/>
        <w:rPr>
          <w:rFonts w:eastAsia="仿宋_GB2312"/>
        </w:rPr>
      </w:pPr>
      <w:r>
        <w:rPr>
          <w:rFonts w:hint="eastAsia" w:eastAsia="仿宋_GB2312"/>
          <w:sz w:val="32"/>
          <w:szCs w:val="32"/>
        </w:rPr>
        <w:t>第十四条 本办法自发布之日起施行。原《临海市人民政府办公室关于印发临海市工业厂房临时改变用途兴办第三产业操作办法（试行）的通知》（临政办发〔2021〕71号）同时废止。</w:t>
      </w:r>
    </w:p>
    <w:p>
      <w:pPr>
        <w:spacing w:line="590" w:lineRule="exact"/>
        <w:ind w:left="1816" w:leftChars="301" w:hanging="1184" w:hangingChars="370"/>
        <w:rPr>
          <w:rFonts w:eastAsia="仿宋_GB2312"/>
          <w:sz w:val="32"/>
          <w:szCs w:val="32"/>
        </w:rPr>
      </w:pPr>
    </w:p>
    <w:p>
      <w:pPr>
        <w:spacing w:line="590" w:lineRule="exact"/>
        <w:ind w:left="1918" w:leftChars="304" w:hanging="1280" w:hangingChars="400"/>
        <w:rPr>
          <w:rFonts w:eastAsia="仿宋_GB2312"/>
          <w:sz w:val="32"/>
          <w:szCs w:val="32"/>
        </w:rPr>
      </w:pPr>
      <w:r>
        <w:rPr>
          <w:rFonts w:eastAsia="仿宋_GB2312"/>
          <w:sz w:val="32"/>
          <w:szCs w:val="32"/>
        </w:rPr>
        <w:t>附件：</w:t>
      </w:r>
      <w:r>
        <w:rPr>
          <w:rFonts w:hint="eastAsia" w:eastAsia="仿宋_GB2312"/>
          <w:sz w:val="32"/>
          <w:szCs w:val="32"/>
        </w:rPr>
        <w:t>1．临海市临时改变房屋用途工作领导小组成员名单</w:t>
      </w:r>
    </w:p>
    <w:p>
      <w:pPr>
        <w:spacing w:line="590" w:lineRule="exact"/>
        <w:ind w:left="1891" w:leftChars="759" w:hanging="297" w:hangingChars="93"/>
        <w:rPr>
          <w:rFonts w:hint="eastAsia" w:eastAsia="仿宋_GB2312"/>
          <w:sz w:val="32"/>
          <w:szCs w:val="32"/>
        </w:rPr>
      </w:pPr>
      <w:r>
        <w:rPr>
          <w:rFonts w:hint="eastAsia" w:eastAsia="仿宋_GB2312"/>
          <w:sz w:val="32"/>
          <w:szCs w:val="32"/>
        </w:rPr>
        <w:t>2．</w:t>
      </w:r>
      <w:r>
        <w:rPr>
          <w:rFonts w:eastAsia="仿宋_GB2312"/>
          <w:sz w:val="32"/>
          <w:szCs w:val="32"/>
        </w:rPr>
        <w:t>临海市</w:t>
      </w:r>
      <w:r>
        <w:rPr>
          <w:rFonts w:hint="eastAsia" w:eastAsia="仿宋_GB2312"/>
          <w:sz w:val="32"/>
          <w:szCs w:val="32"/>
        </w:rPr>
        <w:t>临时改变房屋用途申请表</w:t>
      </w:r>
    </w:p>
    <w:p>
      <w:pPr>
        <w:spacing w:line="600" w:lineRule="exact"/>
        <w:rPr>
          <w:rFonts w:hAnsi="黑体" w:eastAsia="黑体"/>
          <w:sz w:val="32"/>
          <w:szCs w:val="32"/>
        </w:rPr>
      </w:pPr>
      <w:r>
        <w:rPr>
          <w:rFonts w:hAnsi="黑体" w:eastAsia="黑体"/>
          <w:sz w:val="32"/>
          <w:szCs w:val="32"/>
        </w:rPr>
        <w:br w:type="page"/>
      </w:r>
      <w:r>
        <w:rPr>
          <w:rFonts w:hAnsi="黑体" w:eastAsia="黑体"/>
          <w:sz w:val="32"/>
          <w:szCs w:val="32"/>
        </w:rPr>
        <w:t>附件</w:t>
      </w:r>
      <w:r>
        <w:rPr>
          <w:rFonts w:hint="eastAsia" w:hAnsi="黑体" w:eastAsia="黑体"/>
          <w:sz w:val="32"/>
          <w:szCs w:val="32"/>
        </w:rPr>
        <w:t>1</w:t>
      </w:r>
    </w:p>
    <w:p>
      <w:pPr>
        <w:pStyle w:val="2"/>
        <w:spacing w:line="600" w:lineRule="exact"/>
      </w:pPr>
    </w:p>
    <w:p>
      <w:pPr>
        <w:spacing w:line="600" w:lineRule="exact"/>
        <w:jc w:val="center"/>
        <w:rPr>
          <w:rFonts w:eastAsia="方正小标宋简体"/>
          <w:spacing w:val="-10"/>
          <w:sz w:val="44"/>
          <w:szCs w:val="44"/>
        </w:rPr>
      </w:pPr>
      <w:r>
        <w:rPr>
          <w:rFonts w:hint="eastAsia" w:eastAsia="方正小标宋简体"/>
          <w:spacing w:val="-10"/>
          <w:sz w:val="44"/>
          <w:szCs w:val="44"/>
        </w:rPr>
        <w:t>临海市临时改变房屋用途工作领导小组成员名单</w:t>
      </w:r>
    </w:p>
    <w:p>
      <w:pPr>
        <w:spacing w:line="600" w:lineRule="exact"/>
        <w:jc w:val="center"/>
        <w:rPr>
          <w:rFonts w:eastAsia="方正小标宋简体"/>
          <w:sz w:val="36"/>
          <w:szCs w:val="36"/>
        </w:rPr>
      </w:pPr>
    </w:p>
    <w:p>
      <w:pPr>
        <w:spacing w:line="600" w:lineRule="exact"/>
        <w:ind w:firstLine="640" w:firstLineChars="200"/>
        <w:rPr>
          <w:rFonts w:eastAsia="仿宋_GB2312"/>
          <w:sz w:val="32"/>
          <w:szCs w:val="32"/>
        </w:rPr>
      </w:pPr>
      <w:r>
        <w:rPr>
          <w:rFonts w:hint="eastAsia" w:eastAsia="仿宋_GB2312"/>
          <w:sz w:val="32"/>
          <w:szCs w:val="32"/>
        </w:rPr>
        <w:t>组长：分管自然资源副市长</w:t>
      </w:r>
    </w:p>
    <w:p>
      <w:pPr>
        <w:spacing w:line="600" w:lineRule="exact"/>
        <w:ind w:firstLine="640" w:firstLineChars="200"/>
        <w:rPr>
          <w:rFonts w:eastAsia="仿宋_GB2312"/>
          <w:sz w:val="32"/>
          <w:szCs w:val="32"/>
        </w:rPr>
      </w:pPr>
      <w:r>
        <w:rPr>
          <w:rFonts w:hint="eastAsia" w:eastAsia="仿宋_GB2312"/>
          <w:sz w:val="32"/>
          <w:szCs w:val="32"/>
        </w:rPr>
        <w:t>成员：</w:t>
      </w:r>
      <w:r>
        <w:rPr>
          <w:rFonts w:eastAsia="仿宋_GB2312"/>
          <w:sz w:val="32"/>
          <w:szCs w:val="32"/>
        </w:rPr>
        <w:t>市府办、</w:t>
      </w:r>
      <w:r>
        <w:rPr>
          <w:rFonts w:hint="eastAsia" w:eastAsia="仿宋_GB2312"/>
          <w:sz w:val="32"/>
          <w:szCs w:val="32"/>
        </w:rPr>
        <w:t>市委政法委、市发改局、市经信局、市教育局、市科技局、市公安局、市民政局、市人力社保局、市自然资源规划局、市建设局、市交通运输局、市商务局、市文化广电旅游体育局、市卫生健康局、市应急管理局、市市场监管局、市综合执法局、市消防救援大队、台州市生态环境局临海分局等单位负责人。</w:t>
      </w:r>
    </w:p>
    <w:p>
      <w:pPr>
        <w:spacing w:line="600" w:lineRule="exact"/>
        <w:ind w:firstLine="640" w:firstLineChars="200"/>
        <w:rPr>
          <w:rFonts w:eastAsia="仿宋_GB2312"/>
          <w:sz w:val="32"/>
          <w:szCs w:val="32"/>
        </w:rPr>
      </w:pPr>
      <w:r>
        <w:rPr>
          <w:rFonts w:hint="eastAsia" w:eastAsia="仿宋_GB2312"/>
          <w:sz w:val="32"/>
          <w:szCs w:val="32"/>
        </w:rPr>
        <w:t>领导小组下设办公室，办公室设在市自然资源规划局，主任由市自然资源规划局负责人担任。</w:t>
      </w:r>
    </w:p>
    <w:p>
      <w:pPr>
        <w:rPr>
          <w:rFonts w:eastAsia="黑体"/>
          <w:sz w:val="32"/>
          <w:szCs w:val="32"/>
        </w:rPr>
      </w:pPr>
      <w:r>
        <w:rPr>
          <w:rFonts w:hint="eastAsia" w:eastAsia="黑体"/>
          <w:sz w:val="32"/>
          <w:szCs w:val="32"/>
        </w:rPr>
        <w:br w:type="page"/>
      </w:r>
      <w:r>
        <w:rPr>
          <w:rFonts w:hAnsi="黑体" w:eastAsia="黑体"/>
          <w:sz w:val="32"/>
          <w:szCs w:val="32"/>
        </w:rPr>
        <w:t>附件</w:t>
      </w:r>
      <w:r>
        <w:rPr>
          <w:rFonts w:hint="eastAsia" w:eastAsia="黑体"/>
          <w:sz w:val="32"/>
          <w:szCs w:val="32"/>
        </w:rPr>
        <w:t>2</w:t>
      </w:r>
    </w:p>
    <w:p>
      <w:pPr>
        <w:spacing w:before="312" w:beforeLines="100" w:after="312" w:afterLines="100" w:line="500" w:lineRule="exact"/>
        <w:jc w:val="center"/>
        <w:rPr>
          <w:rFonts w:eastAsia="方正小标宋简体"/>
          <w:sz w:val="44"/>
          <w:szCs w:val="44"/>
        </w:rPr>
      </w:pPr>
      <w:r>
        <w:rPr>
          <w:rFonts w:hint="eastAsia" w:eastAsia="方正小标宋简体"/>
          <w:sz w:val="44"/>
          <w:szCs w:val="44"/>
        </w:rPr>
        <w:t>临海市临时改变房屋用途</w:t>
      </w:r>
      <w:r>
        <w:rPr>
          <w:rFonts w:eastAsia="方正小标宋简体"/>
          <w:sz w:val="44"/>
          <w:szCs w:val="44"/>
        </w:rPr>
        <w:t>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37"/>
        <w:gridCol w:w="851"/>
        <w:gridCol w:w="1168"/>
        <w:gridCol w:w="1900"/>
        <w:gridCol w:w="2280"/>
        <w:gridCol w:w="201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5" w:type="dxa"/>
            <w:gridSpan w:val="3"/>
            <w:vMerge w:val="restart"/>
            <w:noWrap w:val="0"/>
            <w:vAlign w:val="center"/>
          </w:tcPr>
          <w:p>
            <w:pPr>
              <w:jc w:val="center"/>
              <w:rPr>
                <w:rFonts w:eastAsia="仿宋_GB2312"/>
                <w:szCs w:val="21"/>
              </w:rPr>
            </w:pPr>
            <w:r>
              <w:rPr>
                <w:rFonts w:hint="eastAsia" w:eastAsia="仿宋_GB2312"/>
                <w:szCs w:val="21"/>
              </w:rPr>
              <w:t>申请人</w:t>
            </w:r>
          </w:p>
        </w:tc>
        <w:tc>
          <w:tcPr>
            <w:tcW w:w="1168" w:type="dxa"/>
            <w:vMerge w:val="restart"/>
            <w:noWrap w:val="0"/>
            <w:vAlign w:val="center"/>
          </w:tcPr>
          <w:p>
            <w:pPr>
              <w:jc w:val="center"/>
              <w:rPr>
                <w:rFonts w:eastAsia="仿宋_GB2312"/>
                <w:szCs w:val="21"/>
              </w:rPr>
            </w:pPr>
            <w:r>
              <w:rPr>
                <w:rFonts w:eastAsia="仿宋_GB2312"/>
                <w:szCs w:val="21"/>
              </w:rPr>
              <w:t>名称</w:t>
            </w:r>
          </w:p>
        </w:tc>
        <w:tc>
          <w:tcPr>
            <w:tcW w:w="1900" w:type="dxa"/>
            <w:vMerge w:val="restart"/>
            <w:noWrap w:val="0"/>
            <w:vAlign w:val="center"/>
          </w:tcPr>
          <w:p>
            <w:pPr>
              <w:jc w:val="center"/>
              <w:rPr>
                <w:rFonts w:eastAsia="仿宋_GB2312"/>
                <w:szCs w:val="21"/>
              </w:rPr>
            </w:pPr>
          </w:p>
          <w:p>
            <w:pPr>
              <w:jc w:val="center"/>
              <w:rPr>
                <w:rFonts w:eastAsia="仿宋_GB2312"/>
                <w:szCs w:val="21"/>
              </w:rPr>
            </w:pPr>
          </w:p>
          <w:p>
            <w:pPr>
              <w:jc w:val="center"/>
              <w:rPr>
                <w:rFonts w:eastAsia="仿宋_GB2312"/>
                <w:szCs w:val="21"/>
              </w:rPr>
            </w:pPr>
          </w:p>
        </w:tc>
        <w:tc>
          <w:tcPr>
            <w:tcW w:w="2280" w:type="dxa"/>
            <w:noWrap w:val="0"/>
            <w:vAlign w:val="center"/>
          </w:tcPr>
          <w:p>
            <w:pPr>
              <w:jc w:val="center"/>
              <w:rPr>
                <w:rFonts w:eastAsia="仿宋_GB2312"/>
                <w:szCs w:val="21"/>
              </w:rPr>
            </w:pPr>
            <w:r>
              <w:rPr>
                <w:rFonts w:eastAsia="仿宋_GB2312"/>
                <w:szCs w:val="21"/>
              </w:rPr>
              <w:t>法定代表人</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5" w:type="dxa"/>
            <w:gridSpan w:val="3"/>
            <w:vMerge w:val="continue"/>
            <w:noWrap w:val="0"/>
            <w:vAlign w:val="center"/>
          </w:tcPr>
          <w:p>
            <w:pPr>
              <w:jc w:val="center"/>
              <w:rPr>
                <w:rFonts w:eastAsia="仿宋_GB2312"/>
                <w:szCs w:val="21"/>
              </w:rPr>
            </w:pPr>
          </w:p>
        </w:tc>
        <w:tc>
          <w:tcPr>
            <w:tcW w:w="1168" w:type="dxa"/>
            <w:vMerge w:val="continue"/>
            <w:noWrap w:val="0"/>
            <w:vAlign w:val="center"/>
          </w:tcPr>
          <w:p>
            <w:pPr>
              <w:jc w:val="center"/>
              <w:rPr>
                <w:rFonts w:eastAsia="仿宋_GB2312"/>
                <w:szCs w:val="21"/>
              </w:rPr>
            </w:pPr>
          </w:p>
        </w:tc>
        <w:tc>
          <w:tcPr>
            <w:tcW w:w="1900" w:type="dxa"/>
            <w:vMerge w:val="continue"/>
            <w:noWrap w:val="0"/>
            <w:vAlign w:val="center"/>
          </w:tcPr>
          <w:p>
            <w:pPr>
              <w:jc w:val="center"/>
              <w:rPr>
                <w:rFonts w:eastAsia="仿宋_GB2312"/>
                <w:szCs w:val="21"/>
              </w:rPr>
            </w:pPr>
          </w:p>
        </w:tc>
        <w:tc>
          <w:tcPr>
            <w:tcW w:w="2280" w:type="dxa"/>
            <w:noWrap w:val="0"/>
            <w:vAlign w:val="center"/>
          </w:tcPr>
          <w:p>
            <w:pPr>
              <w:jc w:val="center"/>
              <w:rPr>
                <w:rFonts w:eastAsia="仿宋_GB2312"/>
                <w:szCs w:val="21"/>
              </w:rPr>
            </w:pPr>
            <w:r>
              <w:rPr>
                <w:rFonts w:hint="eastAsia" w:eastAsia="仿宋_GB2312"/>
                <w:szCs w:val="21"/>
              </w:rPr>
              <w:t>机构代</w:t>
            </w:r>
            <w:r>
              <w:rPr>
                <w:rFonts w:eastAsia="仿宋_GB2312"/>
                <w:szCs w:val="21"/>
              </w:rPr>
              <w:t>码</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5" w:type="dxa"/>
            <w:gridSpan w:val="3"/>
            <w:vMerge w:val="continue"/>
            <w:noWrap w:val="0"/>
            <w:vAlign w:val="center"/>
          </w:tcPr>
          <w:p>
            <w:pPr>
              <w:jc w:val="center"/>
              <w:rPr>
                <w:rFonts w:eastAsia="仿宋_GB2312"/>
                <w:szCs w:val="21"/>
              </w:rPr>
            </w:pPr>
          </w:p>
        </w:tc>
        <w:tc>
          <w:tcPr>
            <w:tcW w:w="1168" w:type="dxa"/>
            <w:noWrap w:val="0"/>
            <w:vAlign w:val="center"/>
          </w:tcPr>
          <w:p>
            <w:pPr>
              <w:jc w:val="center"/>
              <w:rPr>
                <w:rFonts w:eastAsia="仿宋_GB2312"/>
                <w:szCs w:val="21"/>
              </w:rPr>
            </w:pPr>
            <w:r>
              <w:rPr>
                <w:rFonts w:eastAsia="仿宋_GB2312"/>
                <w:szCs w:val="21"/>
              </w:rPr>
              <w:t>联系人</w:t>
            </w:r>
          </w:p>
        </w:tc>
        <w:tc>
          <w:tcPr>
            <w:tcW w:w="1900" w:type="dxa"/>
            <w:noWrap w:val="0"/>
            <w:vAlign w:val="center"/>
          </w:tcPr>
          <w:p>
            <w:pPr>
              <w:jc w:val="center"/>
              <w:rPr>
                <w:rFonts w:eastAsia="仿宋_GB2312"/>
                <w:szCs w:val="21"/>
              </w:rPr>
            </w:pPr>
          </w:p>
        </w:tc>
        <w:tc>
          <w:tcPr>
            <w:tcW w:w="2280" w:type="dxa"/>
            <w:noWrap w:val="0"/>
            <w:vAlign w:val="center"/>
          </w:tcPr>
          <w:p>
            <w:pPr>
              <w:jc w:val="center"/>
              <w:rPr>
                <w:rFonts w:eastAsia="仿宋_GB2312"/>
                <w:szCs w:val="21"/>
              </w:rPr>
            </w:pPr>
            <w:r>
              <w:rPr>
                <w:rFonts w:eastAsia="仿宋_GB2312"/>
                <w:szCs w:val="21"/>
              </w:rPr>
              <w:t>联系电话</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3" w:type="dxa"/>
            <w:gridSpan w:val="4"/>
            <w:noWrap w:val="0"/>
            <w:vAlign w:val="center"/>
          </w:tcPr>
          <w:p>
            <w:pPr>
              <w:jc w:val="center"/>
              <w:rPr>
                <w:rFonts w:eastAsia="仿宋_GB2312"/>
                <w:szCs w:val="21"/>
              </w:rPr>
            </w:pPr>
            <w:r>
              <w:rPr>
                <w:rFonts w:hint="eastAsia" w:eastAsia="仿宋_GB2312"/>
                <w:szCs w:val="21"/>
              </w:rPr>
              <w:t>房屋座落</w:t>
            </w:r>
            <w:r>
              <w:rPr>
                <w:rFonts w:eastAsia="仿宋_GB2312"/>
                <w:szCs w:val="21"/>
              </w:rPr>
              <w:t>位置</w:t>
            </w:r>
          </w:p>
        </w:tc>
        <w:tc>
          <w:tcPr>
            <w:tcW w:w="6206" w:type="dxa"/>
            <w:gridSpan w:val="4"/>
            <w:noWrap w:val="0"/>
            <w:vAlign w:val="center"/>
          </w:tcPr>
          <w:p>
            <w:pPr>
              <w:ind w:firstLine="1890" w:firstLineChars="9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restart"/>
            <w:noWrap w:val="0"/>
            <w:textDirection w:val="tbRlV"/>
            <w:vAlign w:val="center"/>
          </w:tcPr>
          <w:p>
            <w:pPr>
              <w:ind w:left="113" w:right="113"/>
              <w:jc w:val="center"/>
              <w:rPr>
                <w:rFonts w:eastAsia="仿宋_GB2312"/>
                <w:szCs w:val="21"/>
              </w:rPr>
            </w:pPr>
            <w:r>
              <w:rPr>
                <w:rFonts w:hint="eastAsia" w:eastAsia="仿宋_GB2312"/>
                <w:szCs w:val="21"/>
              </w:rPr>
              <w:t>不动产产 权情况</w:t>
            </w:r>
          </w:p>
        </w:tc>
        <w:tc>
          <w:tcPr>
            <w:tcW w:w="1488" w:type="dxa"/>
            <w:gridSpan w:val="2"/>
            <w:noWrap w:val="0"/>
            <w:vAlign w:val="center"/>
          </w:tcPr>
          <w:p>
            <w:pPr>
              <w:jc w:val="center"/>
              <w:rPr>
                <w:rFonts w:eastAsia="仿宋_GB2312"/>
                <w:szCs w:val="21"/>
              </w:rPr>
            </w:pPr>
            <w:r>
              <w:rPr>
                <w:rFonts w:hint="eastAsia" w:eastAsia="仿宋_GB2312"/>
                <w:szCs w:val="21"/>
              </w:rPr>
              <w:t>不动产</w:t>
            </w:r>
            <w:r>
              <w:rPr>
                <w:rFonts w:eastAsia="仿宋_GB2312"/>
                <w:szCs w:val="21"/>
              </w:rPr>
              <w:t>权利人</w:t>
            </w:r>
          </w:p>
        </w:tc>
        <w:tc>
          <w:tcPr>
            <w:tcW w:w="3068" w:type="dxa"/>
            <w:gridSpan w:val="2"/>
            <w:noWrap w:val="0"/>
            <w:vAlign w:val="center"/>
          </w:tcPr>
          <w:p>
            <w:pPr>
              <w:jc w:val="center"/>
              <w:rPr>
                <w:rFonts w:eastAsia="仿宋_GB2312"/>
                <w:szCs w:val="21"/>
              </w:rPr>
            </w:pPr>
          </w:p>
        </w:tc>
        <w:tc>
          <w:tcPr>
            <w:tcW w:w="2280" w:type="dxa"/>
            <w:noWrap w:val="0"/>
            <w:vAlign w:val="center"/>
          </w:tcPr>
          <w:p>
            <w:pPr>
              <w:ind w:left="-105" w:leftChars="-50" w:right="-105" w:rightChars="-50"/>
              <w:jc w:val="center"/>
              <w:rPr>
                <w:rFonts w:eastAsia="仿宋_GB2312"/>
                <w:szCs w:val="21"/>
              </w:rPr>
            </w:pPr>
            <w:r>
              <w:rPr>
                <w:rFonts w:eastAsia="仿宋_GB2312"/>
                <w:szCs w:val="21"/>
              </w:rPr>
              <w:t>不动产权证</w:t>
            </w:r>
            <w:r>
              <w:rPr>
                <w:rFonts w:hint="eastAsia" w:eastAsia="仿宋_GB2312"/>
                <w:szCs w:val="21"/>
              </w:rPr>
              <w:t>(</w:t>
            </w:r>
            <w:r>
              <w:rPr>
                <w:rFonts w:eastAsia="仿宋_GB2312"/>
                <w:szCs w:val="21"/>
              </w:rPr>
              <w:t>土地证、房产证）号</w:t>
            </w:r>
          </w:p>
        </w:tc>
        <w:tc>
          <w:tcPr>
            <w:tcW w:w="2026" w:type="dxa"/>
            <w:gridSpan w:val="2"/>
            <w:noWrap w:val="0"/>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textDirection w:val="tbRlV"/>
            <w:vAlign w:val="center"/>
          </w:tcPr>
          <w:p>
            <w:pPr>
              <w:ind w:left="113" w:right="113"/>
              <w:jc w:val="center"/>
              <w:rPr>
                <w:rFonts w:eastAsia="仿宋_GB2312"/>
                <w:szCs w:val="21"/>
              </w:rPr>
            </w:pPr>
          </w:p>
        </w:tc>
        <w:tc>
          <w:tcPr>
            <w:tcW w:w="1488" w:type="dxa"/>
            <w:gridSpan w:val="2"/>
            <w:noWrap w:val="0"/>
            <w:vAlign w:val="center"/>
          </w:tcPr>
          <w:p>
            <w:pPr>
              <w:jc w:val="center"/>
              <w:rPr>
                <w:rFonts w:eastAsia="仿宋_GB2312"/>
                <w:szCs w:val="21"/>
              </w:rPr>
            </w:pPr>
            <w:r>
              <w:rPr>
                <w:rFonts w:hint="eastAsia" w:eastAsia="仿宋_GB2312"/>
                <w:szCs w:val="21"/>
              </w:rPr>
              <w:t>证载</w:t>
            </w:r>
            <w:r>
              <w:rPr>
                <w:rFonts w:eastAsia="仿宋_GB2312"/>
                <w:szCs w:val="21"/>
              </w:rPr>
              <w:t>用地面积</w:t>
            </w:r>
          </w:p>
        </w:tc>
        <w:tc>
          <w:tcPr>
            <w:tcW w:w="7374" w:type="dxa"/>
            <w:gridSpan w:val="5"/>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hint="eastAsia" w:eastAsia="仿宋_GB2312"/>
                <w:szCs w:val="21"/>
              </w:rPr>
              <w:t>证载</w:t>
            </w:r>
            <w:r>
              <w:rPr>
                <w:rFonts w:eastAsia="仿宋_GB2312"/>
                <w:szCs w:val="21"/>
              </w:rPr>
              <w:t>建筑面积</w:t>
            </w:r>
          </w:p>
        </w:tc>
        <w:tc>
          <w:tcPr>
            <w:tcW w:w="7374" w:type="dxa"/>
            <w:gridSpan w:val="5"/>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hint="eastAsia" w:eastAsia="仿宋_GB2312"/>
                <w:szCs w:val="21"/>
              </w:rPr>
              <w:t>证载</w:t>
            </w:r>
            <w:r>
              <w:rPr>
                <w:rFonts w:eastAsia="仿宋_GB2312"/>
                <w:szCs w:val="21"/>
              </w:rPr>
              <w:t>用途</w:t>
            </w:r>
          </w:p>
        </w:tc>
        <w:tc>
          <w:tcPr>
            <w:tcW w:w="7374" w:type="dxa"/>
            <w:gridSpan w:val="5"/>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eastAsia="仿宋_GB2312"/>
                <w:szCs w:val="21"/>
              </w:rPr>
              <w:t>其他</w:t>
            </w:r>
            <w:r>
              <w:rPr>
                <w:rFonts w:hint="eastAsia" w:eastAsia="仿宋_GB2312"/>
                <w:szCs w:val="21"/>
              </w:rPr>
              <w:t>事项</w:t>
            </w:r>
          </w:p>
        </w:tc>
        <w:tc>
          <w:tcPr>
            <w:tcW w:w="7374" w:type="dxa"/>
            <w:gridSpan w:val="5"/>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restart"/>
            <w:noWrap w:val="0"/>
            <w:textDirection w:val="tbRlV"/>
            <w:vAlign w:val="center"/>
          </w:tcPr>
          <w:p>
            <w:pPr>
              <w:ind w:left="113" w:right="113"/>
              <w:jc w:val="center"/>
              <w:rPr>
                <w:rFonts w:eastAsia="仿宋_GB2312"/>
                <w:szCs w:val="21"/>
              </w:rPr>
            </w:pPr>
            <w:r>
              <w:rPr>
                <w:rFonts w:eastAsia="仿宋_GB2312"/>
                <w:szCs w:val="21"/>
              </w:rPr>
              <w:t>临时改变</w:t>
            </w:r>
            <w:r>
              <w:rPr>
                <w:rFonts w:hint="eastAsia" w:eastAsia="仿宋_GB2312"/>
                <w:szCs w:val="21"/>
              </w:rPr>
              <w:t>房屋</w:t>
            </w:r>
            <w:r>
              <w:rPr>
                <w:rFonts w:eastAsia="仿宋_GB2312"/>
                <w:szCs w:val="21"/>
              </w:rPr>
              <w:t>用途</w:t>
            </w:r>
            <w:r>
              <w:rPr>
                <w:rFonts w:hint="eastAsia" w:eastAsia="仿宋_GB2312"/>
                <w:szCs w:val="21"/>
              </w:rPr>
              <w:t>内容</w:t>
            </w:r>
          </w:p>
        </w:tc>
        <w:tc>
          <w:tcPr>
            <w:tcW w:w="1488" w:type="dxa"/>
            <w:gridSpan w:val="2"/>
            <w:noWrap w:val="0"/>
            <w:vAlign w:val="center"/>
          </w:tcPr>
          <w:p>
            <w:pPr>
              <w:jc w:val="center"/>
              <w:rPr>
                <w:rFonts w:eastAsia="仿宋_GB2312"/>
                <w:szCs w:val="21"/>
              </w:rPr>
            </w:pPr>
            <w:r>
              <w:rPr>
                <w:rFonts w:eastAsia="仿宋_GB2312"/>
                <w:szCs w:val="21"/>
              </w:rPr>
              <w:t>总用地面积</w:t>
            </w:r>
          </w:p>
        </w:tc>
        <w:tc>
          <w:tcPr>
            <w:tcW w:w="3068" w:type="dxa"/>
            <w:gridSpan w:val="2"/>
            <w:noWrap w:val="0"/>
            <w:vAlign w:val="center"/>
          </w:tcPr>
          <w:p>
            <w:pPr>
              <w:jc w:val="center"/>
              <w:rPr>
                <w:rFonts w:eastAsia="仿宋_GB2312"/>
                <w:szCs w:val="21"/>
              </w:rPr>
            </w:pPr>
          </w:p>
        </w:tc>
        <w:tc>
          <w:tcPr>
            <w:tcW w:w="2280" w:type="dxa"/>
            <w:noWrap w:val="0"/>
            <w:vAlign w:val="center"/>
          </w:tcPr>
          <w:p>
            <w:pPr>
              <w:jc w:val="center"/>
              <w:rPr>
                <w:rFonts w:eastAsia="仿宋_GB2312"/>
                <w:szCs w:val="21"/>
              </w:rPr>
            </w:pPr>
            <w:r>
              <w:rPr>
                <w:rFonts w:hint="eastAsia" w:eastAsia="仿宋_GB2312"/>
                <w:szCs w:val="21"/>
              </w:rPr>
              <w:t>本次涉及的</w:t>
            </w:r>
            <w:r>
              <w:rPr>
                <w:rFonts w:eastAsia="仿宋_GB2312"/>
                <w:szCs w:val="21"/>
              </w:rPr>
              <w:t>用地面积</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eastAsia="仿宋_GB2312"/>
                <w:szCs w:val="21"/>
              </w:rPr>
              <w:t>总建筑面积</w:t>
            </w:r>
          </w:p>
        </w:tc>
        <w:tc>
          <w:tcPr>
            <w:tcW w:w="3068" w:type="dxa"/>
            <w:gridSpan w:val="2"/>
            <w:noWrap w:val="0"/>
            <w:vAlign w:val="center"/>
          </w:tcPr>
          <w:p>
            <w:pPr>
              <w:jc w:val="center"/>
              <w:rPr>
                <w:rFonts w:eastAsia="仿宋_GB2312"/>
                <w:szCs w:val="21"/>
              </w:rPr>
            </w:pPr>
          </w:p>
        </w:tc>
        <w:tc>
          <w:tcPr>
            <w:tcW w:w="2280" w:type="dxa"/>
            <w:noWrap w:val="0"/>
            <w:vAlign w:val="center"/>
          </w:tcPr>
          <w:p>
            <w:pPr>
              <w:jc w:val="center"/>
              <w:rPr>
                <w:rFonts w:eastAsia="仿宋_GB2312"/>
                <w:szCs w:val="21"/>
              </w:rPr>
            </w:pPr>
            <w:r>
              <w:rPr>
                <w:rFonts w:eastAsia="仿宋_GB2312"/>
                <w:szCs w:val="21"/>
              </w:rPr>
              <w:t>本次改</w:t>
            </w:r>
            <w:r>
              <w:rPr>
                <w:rFonts w:hint="eastAsia" w:eastAsia="仿宋_GB2312"/>
                <w:szCs w:val="21"/>
              </w:rPr>
              <w:t>变的</w:t>
            </w:r>
            <w:r>
              <w:rPr>
                <w:rFonts w:eastAsia="仿宋_GB2312"/>
                <w:szCs w:val="21"/>
              </w:rPr>
              <w:t>建筑面积</w:t>
            </w:r>
          </w:p>
        </w:tc>
        <w:tc>
          <w:tcPr>
            <w:tcW w:w="2026" w:type="dxa"/>
            <w:gridSpan w:val="2"/>
            <w:noWrap w:val="0"/>
            <w:vAlign w:val="center"/>
          </w:tcPr>
          <w:p>
            <w:pPr>
              <w:ind w:firstLine="1050" w:firstLineChars="5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vMerge w:val="restart"/>
            <w:noWrap w:val="0"/>
            <w:vAlign w:val="center"/>
          </w:tcPr>
          <w:p>
            <w:pPr>
              <w:jc w:val="center"/>
              <w:rPr>
                <w:rFonts w:eastAsia="仿宋_GB2312"/>
                <w:szCs w:val="21"/>
              </w:rPr>
            </w:pPr>
            <w:r>
              <w:rPr>
                <w:rFonts w:hint="eastAsia" w:eastAsia="仿宋_GB2312"/>
                <w:szCs w:val="21"/>
              </w:rPr>
              <w:t>申请</w:t>
            </w:r>
            <w:r>
              <w:rPr>
                <w:rFonts w:eastAsia="仿宋_GB2312"/>
                <w:szCs w:val="21"/>
              </w:rPr>
              <w:t>用途</w:t>
            </w:r>
          </w:p>
        </w:tc>
        <w:tc>
          <w:tcPr>
            <w:tcW w:w="3068" w:type="dxa"/>
            <w:gridSpan w:val="2"/>
            <w:vMerge w:val="restart"/>
            <w:noWrap w:val="0"/>
            <w:vAlign w:val="center"/>
          </w:tcPr>
          <w:p>
            <w:pPr>
              <w:jc w:val="center"/>
              <w:rPr>
                <w:rFonts w:eastAsia="仿宋_GB2312"/>
                <w:szCs w:val="21"/>
              </w:rPr>
            </w:pPr>
          </w:p>
        </w:tc>
        <w:tc>
          <w:tcPr>
            <w:tcW w:w="2280" w:type="dxa"/>
            <w:noWrap w:val="0"/>
            <w:vAlign w:val="center"/>
          </w:tcPr>
          <w:p>
            <w:pPr>
              <w:jc w:val="center"/>
              <w:rPr>
                <w:rFonts w:eastAsia="仿宋_GB2312"/>
                <w:szCs w:val="21"/>
              </w:rPr>
            </w:pPr>
            <w:r>
              <w:rPr>
                <w:rFonts w:eastAsia="仿宋_GB2312"/>
                <w:szCs w:val="21"/>
              </w:rPr>
              <w:t>所属行业</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vMerge w:val="continue"/>
            <w:noWrap w:val="0"/>
            <w:vAlign w:val="center"/>
          </w:tcPr>
          <w:p>
            <w:pPr>
              <w:jc w:val="center"/>
              <w:rPr>
                <w:rFonts w:eastAsia="仿宋_GB2312"/>
                <w:szCs w:val="21"/>
              </w:rPr>
            </w:pPr>
          </w:p>
        </w:tc>
        <w:tc>
          <w:tcPr>
            <w:tcW w:w="3068" w:type="dxa"/>
            <w:gridSpan w:val="2"/>
            <w:vMerge w:val="continue"/>
            <w:noWrap w:val="0"/>
            <w:vAlign w:val="center"/>
          </w:tcPr>
          <w:p>
            <w:pPr>
              <w:jc w:val="center"/>
              <w:rPr>
                <w:rFonts w:eastAsia="仿宋_GB2312"/>
                <w:szCs w:val="21"/>
              </w:rPr>
            </w:pPr>
          </w:p>
        </w:tc>
        <w:tc>
          <w:tcPr>
            <w:tcW w:w="2280" w:type="dxa"/>
            <w:noWrap w:val="0"/>
            <w:vAlign w:val="center"/>
          </w:tcPr>
          <w:p>
            <w:pPr>
              <w:jc w:val="center"/>
              <w:rPr>
                <w:rFonts w:eastAsia="仿宋_GB2312"/>
                <w:szCs w:val="21"/>
              </w:rPr>
            </w:pPr>
            <w:r>
              <w:rPr>
                <w:rFonts w:hint="eastAsia" w:eastAsia="仿宋_GB2312"/>
                <w:szCs w:val="21"/>
              </w:rPr>
              <w:t>主管部门批文</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hint="eastAsia" w:eastAsia="仿宋_GB2312"/>
                <w:szCs w:val="21"/>
              </w:rPr>
              <w:t>申请</w:t>
            </w:r>
            <w:r>
              <w:rPr>
                <w:rFonts w:eastAsia="仿宋_GB2312"/>
                <w:szCs w:val="21"/>
              </w:rPr>
              <w:t>期限</w:t>
            </w:r>
          </w:p>
        </w:tc>
        <w:tc>
          <w:tcPr>
            <w:tcW w:w="7374" w:type="dxa"/>
            <w:gridSpan w:val="5"/>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eastAsia="仿宋_GB2312"/>
                <w:szCs w:val="21"/>
              </w:rPr>
              <w:t>改造方式</w:t>
            </w:r>
          </w:p>
        </w:tc>
        <w:tc>
          <w:tcPr>
            <w:tcW w:w="7374" w:type="dxa"/>
            <w:gridSpan w:val="5"/>
            <w:noWrap w:val="0"/>
            <w:vAlign w:val="center"/>
          </w:tcPr>
          <w:p>
            <w:pPr>
              <w:jc w:val="center"/>
              <w:rPr>
                <w:rFonts w:eastAsia="仿宋_GB2312"/>
                <w:szCs w:val="21"/>
              </w:rPr>
            </w:pPr>
            <w:r>
              <w:rPr>
                <w:rFonts w:hint="eastAsia" w:eastAsia="仿宋_GB2312"/>
                <w:szCs w:val="21"/>
              </w:rPr>
              <w:t>1、装修          2、 改建        3、扩建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eastAsia="仿宋_GB2312"/>
                <w:szCs w:val="21"/>
              </w:rPr>
              <w:t>改造</w:t>
            </w:r>
            <w:r>
              <w:rPr>
                <w:rFonts w:hint="eastAsia" w:eastAsia="仿宋_GB2312"/>
                <w:szCs w:val="21"/>
              </w:rPr>
              <w:t>方案</w:t>
            </w:r>
          </w:p>
        </w:tc>
        <w:tc>
          <w:tcPr>
            <w:tcW w:w="3068" w:type="dxa"/>
            <w:gridSpan w:val="2"/>
            <w:noWrap w:val="0"/>
            <w:vAlign w:val="center"/>
          </w:tcPr>
          <w:p>
            <w:pPr>
              <w:jc w:val="center"/>
              <w:rPr>
                <w:rFonts w:eastAsia="仿宋_GB2312"/>
                <w:szCs w:val="21"/>
              </w:rPr>
            </w:pPr>
            <w:r>
              <w:rPr>
                <w:rFonts w:hint="eastAsia" w:eastAsia="仿宋_GB2312"/>
                <w:szCs w:val="21"/>
              </w:rPr>
              <w:t>( 附图)</w:t>
            </w:r>
          </w:p>
        </w:tc>
        <w:tc>
          <w:tcPr>
            <w:tcW w:w="2280" w:type="dxa"/>
            <w:noWrap w:val="0"/>
            <w:vAlign w:val="center"/>
          </w:tcPr>
          <w:p>
            <w:pPr>
              <w:jc w:val="center"/>
              <w:rPr>
                <w:rFonts w:eastAsia="仿宋_GB2312"/>
                <w:szCs w:val="21"/>
              </w:rPr>
            </w:pPr>
            <w:r>
              <w:rPr>
                <w:rFonts w:hint="eastAsia" w:eastAsia="仿宋_GB2312"/>
                <w:szCs w:val="21"/>
              </w:rPr>
              <w:t xml:space="preserve">新增建筑面积 </w:t>
            </w:r>
          </w:p>
        </w:tc>
        <w:tc>
          <w:tcPr>
            <w:tcW w:w="2026" w:type="dxa"/>
            <w:gridSpan w:val="2"/>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7" w:type="dxa"/>
            <w:vMerge w:val="continue"/>
            <w:noWrap w:val="0"/>
            <w:vAlign w:val="center"/>
          </w:tcPr>
          <w:p>
            <w:pPr>
              <w:jc w:val="center"/>
              <w:rPr>
                <w:rFonts w:eastAsia="仿宋_GB2312"/>
                <w:szCs w:val="21"/>
              </w:rPr>
            </w:pPr>
          </w:p>
        </w:tc>
        <w:tc>
          <w:tcPr>
            <w:tcW w:w="1488" w:type="dxa"/>
            <w:gridSpan w:val="2"/>
            <w:noWrap w:val="0"/>
            <w:vAlign w:val="center"/>
          </w:tcPr>
          <w:p>
            <w:pPr>
              <w:jc w:val="center"/>
              <w:rPr>
                <w:rFonts w:eastAsia="仿宋_GB2312"/>
                <w:szCs w:val="21"/>
              </w:rPr>
            </w:pPr>
            <w:r>
              <w:rPr>
                <w:rFonts w:hint="eastAsia" w:eastAsia="仿宋_GB2312"/>
                <w:szCs w:val="21"/>
              </w:rPr>
              <w:t>对周边的环境的要求</w:t>
            </w:r>
          </w:p>
        </w:tc>
        <w:tc>
          <w:tcPr>
            <w:tcW w:w="7374" w:type="dxa"/>
            <w:gridSpan w:val="5"/>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04" w:hRule="atLeast"/>
          <w:jc w:val="center"/>
        </w:trPr>
        <w:tc>
          <w:tcPr>
            <w:tcW w:w="1164" w:type="dxa"/>
            <w:gridSpan w:val="2"/>
            <w:noWrap w:val="0"/>
            <w:vAlign w:val="center"/>
          </w:tcPr>
          <w:p>
            <w:pPr>
              <w:spacing w:line="380" w:lineRule="exact"/>
              <w:jc w:val="center"/>
              <w:rPr>
                <w:rFonts w:eastAsia="仿宋_GB2312"/>
                <w:szCs w:val="21"/>
              </w:rPr>
            </w:pPr>
            <w:r>
              <w:rPr>
                <w:rFonts w:hint="eastAsia" w:eastAsia="仿宋_GB2312"/>
                <w:szCs w:val="21"/>
              </w:rPr>
              <w:t>项目情况</w:t>
            </w:r>
            <w:r>
              <w:rPr>
                <w:rFonts w:hint="eastAsia" w:eastAsia="仿宋_GB2312"/>
                <w:spacing w:val="-11"/>
                <w:szCs w:val="21"/>
              </w:rPr>
              <w:t>及</w:t>
            </w:r>
            <w:r>
              <w:rPr>
                <w:rFonts w:eastAsia="仿宋_GB2312"/>
                <w:spacing w:val="-11"/>
                <w:szCs w:val="21"/>
              </w:rPr>
              <w:t>申请理由</w:t>
            </w:r>
          </w:p>
        </w:tc>
        <w:tc>
          <w:tcPr>
            <w:tcW w:w="8211" w:type="dxa"/>
            <w:gridSpan w:val="5"/>
            <w:noWrap w:val="0"/>
            <w:vAlign w:val="center"/>
          </w:tcPr>
          <w:p>
            <w:pPr>
              <w:jc w:val="center"/>
              <w:rPr>
                <w:rFonts w:eastAsia="仿宋_GB2312"/>
                <w:szCs w:val="21"/>
              </w:rPr>
            </w:pPr>
          </w:p>
          <w:p>
            <w:pPr>
              <w:jc w:val="center"/>
              <w:rPr>
                <w:rFonts w:eastAsia="仿宋_GB2312"/>
                <w:szCs w:val="21"/>
              </w:rPr>
            </w:pPr>
          </w:p>
          <w:p>
            <w:pPr>
              <w:jc w:val="center"/>
              <w:rPr>
                <w:rFonts w:eastAsia="仿宋_GB2312"/>
                <w:szCs w:val="21"/>
              </w:rPr>
            </w:pPr>
          </w:p>
          <w:p>
            <w:pPr>
              <w:jc w:val="center"/>
              <w:rPr>
                <w:rFonts w:eastAsia="仿宋_GB2312"/>
                <w:szCs w:val="21"/>
              </w:rPr>
            </w:pPr>
          </w:p>
          <w:p>
            <w:pPr>
              <w:ind w:right="1682" w:rightChars="801"/>
              <w:jc w:val="right"/>
              <w:rPr>
                <w:rFonts w:eastAsia="仿宋_GB2312"/>
                <w:szCs w:val="21"/>
              </w:rPr>
            </w:pPr>
          </w:p>
          <w:p>
            <w:pPr>
              <w:ind w:right="1682" w:rightChars="801"/>
              <w:jc w:val="right"/>
              <w:rPr>
                <w:rFonts w:eastAsia="仿宋_GB2312"/>
                <w:szCs w:val="21"/>
              </w:rPr>
            </w:pPr>
          </w:p>
          <w:p>
            <w:pPr>
              <w:ind w:right="1682" w:rightChars="801"/>
              <w:jc w:val="right"/>
              <w:rPr>
                <w:rFonts w:eastAsia="仿宋_GB2312"/>
                <w:szCs w:val="21"/>
              </w:rPr>
            </w:pPr>
            <w:r>
              <w:rPr>
                <w:rFonts w:eastAsia="仿宋_GB2312"/>
                <w:szCs w:val="21"/>
              </w:rPr>
              <w:t>签字：（盖章）</w:t>
            </w:r>
          </w:p>
          <w:p>
            <w:pPr>
              <w:wordWrap w:val="0"/>
              <w:spacing w:line="400" w:lineRule="exact"/>
              <w:ind w:right="630" w:firstLine="420" w:firstLineChars="200"/>
              <w:jc w:val="right"/>
              <w:rPr>
                <w:rFonts w:eastAsia="仿宋_GB2312"/>
                <w:szCs w:val="21"/>
              </w:rPr>
            </w:pPr>
            <w:r>
              <w:rPr>
                <w:rFonts w:eastAsia="仿宋_GB2312"/>
                <w:szCs w:val="21"/>
              </w:rPr>
              <w:t>年      月     日</w:t>
            </w:r>
          </w:p>
        </w:tc>
      </w:tr>
    </w:tbl>
    <w:p>
      <w:pPr>
        <w:pStyle w:val="10"/>
        <w:widowControl w:val="0"/>
        <w:ind w:firstLine="0" w:firstLineChars="0"/>
        <w:rPr>
          <w:rFonts w:hint="eastAsia"/>
        </w:rPr>
        <w:sectPr>
          <w:headerReference r:id="rId3" w:type="default"/>
          <w:footerReference r:id="rId4" w:type="default"/>
          <w:pgSz w:w="11906" w:h="16838"/>
          <w:pgMar w:top="1701" w:right="1531" w:bottom="1417" w:left="1531" w:header="851" w:footer="1134" w:gutter="0"/>
          <w:cols w:space="720" w:num="1"/>
          <w:docGrid w:type="lines" w:linePitch="312" w:charSpace="0"/>
        </w:sect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3BCC"/>
    <w:rsid w:val="058625E8"/>
    <w:rsid w:val="2E9B1CF5"/>
    <w:rsid w:val="5ADC3C17"/>
    <w:rsid w:val="7A4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kern w:val="0"/>
      <w:sz w:val="3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ok"/>
    <w:qFormat/>
    <w:uiPriority w:val="0"/>
    <w:pPr>
      <w:spacing w:line="360" w:lineRule="auto"/>
      <w:ind w:firstLine="200" w:firstLineChars="20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2024-07-22T04:40:00Z</dcterms:created>
  <dc:creator>Administrator</dc:creator>
  <cp:lastModifiedBy>Administrator</cp:lastModifiedBy>
  <cp:lastPrinted>2024-07-23T07:43:32Z</cp:lastPrinted>
  <dcterms:modified xsi:type="dcterms:W3CDTF">2024-07-23T07:50:33Z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CE664213C81B466A997EFC31FDAA2AB3</vt:lpwstr>
  </property>
</Properties>
</file>