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Verdana" w:eastAsia="方正小标宋_GBK" w:cs="方正小标宋简体"/>
          <w:color w:val="000000"/>
          <w:sz w:val="44"/>
          <w:szCs w:val="44"/>
        </w:rPr>
      </w:pPr>
      <w:r>
        <w:rPr>
          <w:rFonts w:hint="eastAsia" w:ascii="方正小标宋_GBK" w:hAnsi="宋体" w:eastAsia="方正小标宋_GBK" w:cs="宋体"/>
          <w:kern w:val="0"/>
          <w:sz w:val="44"/>
          <w:szCs w:val="44"/>
        </w:rPr>
        <w:t>《</w:t>
      </w:r>
      <w:r>
        <w:rPr>
          <w:rFonts w:hint="eastAsia" w:ascii="方正小标宋_GBK" w:hAnsi="Verdana" w:eastAsia="方正小标宋_GBK" w:cs="方正小标宋简体"/>
          <w:color w:val="000000"/>
          <w:sz w:val="44"/>
          <w:szCs w:val="44"/>
        </w:rPr>
        <w:t>龙湾区征收集体土地涉及房屋补偿实施细则</w:t>
      </w:r>
      <w:r>
        <w:rPr>
          <w:rFonts w:hint="eastAsia" w:ascii="方正小标宋_GBK" w:hAnsi="宋体" w:eastAsia="方正小标宋_GBK" w:cs="宋体"/>
          <w:kern w:val="0"/>
          <w:sz w:val="44"/>
          <w:szCs w:val="44"/>
        </w:rPr>
        <w:t>》</w:t>
      </w:r>
      <w:r>
        <w:rPr>
          <w:rFonts w:hint="eastAsia" w:ascii="方正小标宋_GBK" w:hAnsi="ˎ̥" w:eastAsia="方正小标宋_GBK" w:cs="宋体"/>
          <w:bCs/>
          <w:kern w:val="0"/>
          <w:sz w:val="44"/>
          <w:szCs w:val="44"/>
        </w:rPr>
        <w:t>起草说明</w:t>
      </w:r>
    </w:p>
    <w:p>
      <w:pPr>
        <w:adjustRightInd w:val="0"/>
        <w:snapToGrid w:val="0"/>
        <w:spacing w:line="560" w:lineRule="exact"/>
        <w:jc w:val="center"/>
        <w:rPr>
          <w:rFonts w:ascii="仿宋_GB2312" w:hAnsi="ˎ̥" w:eastAsia="仿宋_GB2312" w:cs="宋体"/>
          <w:b/>
          <w:kern w:val="0"/>
          <w:sz w:val="32"/>
          <w:szCs w:val="32"/>
        </w:rPr>
      </w:pPr>
    </w:p>
    <w:p>
      <w:pPr>
        <w:adjustRightInd w:val="0"/>
        <w:snapToGrid w:val="0"/>
        <w:spacing w:line="560" w:lineRule="exact"/>
        <w:ind w:firstLine="640" w:firstLineChars="200"/>
        <w:rPr>
          <w:rFonts w:ascii="黑体" w:hAnsi="ˎ̥" w:eastAsia="黑体" w:cs="宋体"/>
          <w:kern w:val="0"/>
          <w:sz w:val="32"/>
          <w:szCs w:val="32"/>
        </w:rPr>
      </w:pPr>
      <w:r>
        <w:rPr>
          <w:rFonts w:hint="eastAsia" w:ascii="黑体" w:hAnsi="ˎ̥" w:eastAsia="黑体" w:cs="宋体"/>
          <w:bCs/>
          <w:kern w:val="0"/>
          <w:sz w:val="32"/>
          <w:szCs w:val="32"/>
        </w:rPr>
        <w:t>一、文件涉法内容说明</w:t>
      </w:r>
    </w:p>
    <w:p>
      <w:pPr>
        <w:adjustRightInd w:val="0"/>
        <w:snapToGrid w:val="0"/>
        <w:spacing w:line="560" w:lineRule="exact"/>
        <w:ind w:firstLine="640" w:firstLineChars="200"/>
        <w:rPr>
          <w:rFonts w:ascii="仿宋_GB2312" w:hAnsi="ˎ̥" w:eastAsia="仿宋_GB2312" w:cs="宋体"/>
          <w:kern w:val="0"/>
          <w:sz w:val="32"/>
          <w:szCs w:val="32"/>
        </w:rPr>
      </w:pPr>
      <w:r>
        <w:rPr>
          <w:rFonts w:hint="eastAsia" w:ascii="仿宋_GB2312" w:hAnsi="ˎ̥" w:eastAsia="仿宋_GB2312" w:cs="宋体"/>
          <w:kern w:val="0"/>
          <w:sz w:val="32"/>
          <w:szCs w:val="32"/>
        </w:rPr>
        <w:t>文件依据</w:t>
      </w:r>
      <w:r>
        <w:rPr>
          <w:rFonts w:hint="eastAsia" w:ascii="仿宋_GB2312" w:hAnsi="仿宋" w:eastAsia="仿宋_GB2312"/>
          <w:color w:val="auto"/>
          <w:sz w:val="32"/>
          <w:szCs w:val="32"/>
          <w:u w:val="none"/>
        </w:rPr>
        <w:t>《温州市人民政府关于温州市市区征收农民集体所有土地管理办法实施后有关政策衔接的意见》（温政发〔2020〕27 号）、</w:t>
      </w:r>
      <w:r>
        <w:rPr>
          <w:rFonts w:hint="eastAsia" w:ascii="仿宋_GB2312" w:eastAsia="仿宋_GB2312"/>
          <w:color w:val="auto"/>
          <w:sz w:val="32"/>
          <w:szCs w:val="32"/>
          <w:u w:val="none"/>
        </w:rPr>
        <w:t>《</w:t>
      </w:r>
      <w:r>
        <w:rPr>
          <w:rFonts w:hint="eastAsia" w:ascii="仿宋_GB2312" w:hAnsi="仿宋" w:eastAsia="仿宋_GB2312"/>
          <w:color w:val="auto"/>
          <w:sz w:val="32"/>
          <w:szCs w:val="32"/>
          <w:u w:val="none"/>
        </w:rPr>
        <w:t>温州市人民政府关于规范温州市区征收集体土地涉及房屋补偿工作的实施意见</w:t>
      </w:r>
      <w:r>
        <w:rPr>
          <w:rFonts w:hint="eastAsia" w:ascii="仿宋_GB2312" w:eastAsia="仿宋_GB2312"/>
          <w:color w:val="auto"/>
          <w:sz w:val="32"/>
          <w:szCs w:val="32"/>
          <w:u w:val="none"/>
        </w:rPr>
        <w:t>》</w:t>
      </w:r>
      <w:r>
        <w:rPr>
          <w:rFonts w:hint="eastAsia" w:ascii="仿宋_GB2312" w:hAnsi="Verdana" w:eastAsia="仿宋_GB2312"/>
          <w:color w:val="auto"/>
          <w:sz w:val="32"/>
          <w:szCs w:val="32"/>
          <w:u w:val="none"/>
        </w:rPr>
        <w:t>（温政发〔20</w:t>
      </w:r>
      <w:r>
        <w:rPr>
          <w:rFonts w:hint="eastAsia" w:ascii="仿宋_GB2312" w:eastAsia="仿宋_GB2312"/>
          <w:color w:val="auto"/>
          <w:sz w:val="32"/>
          <w:szCs w:val="32"/>
          <w:u w:val="none"/>
        </w:rPr>
        <w:t>13</w:t>
      </w:r>
      <w:r>
        <w:rPr>
          <w:rFonts w:hint="eastAsia" w:ascii="仿宋_GB2312" w:hAnsi="Verdana" w:eastAsia="仿宋_GB2312"/>
          <w:color w:val="auto"/>
          <w:sz w:val="32"/>
          <w:szCs w:val="32"/>
          <w:u w:val="none"/>
        </w:rPr>
        <w:t>〕</w:t>
      </w:r>
      <w:r>
        <w:rPr>
          <w:rFonts w:hint="eastAsia" w:ascii="仿宋_GB2312" w:eastAsia="仿宋_GB2312"/>
          <w:color w:val="auto"/>
          <w:sz w:val="32"/>
          <w:szCs w:val="32"/>
          <w:u w:val="none"/>
        </w:rPr>
        <w:t>101</w:t>
      </w:r>
      <w:r>
        <w:rPr>
          <w:rFonts w:hint="eastAsia" w:ascii="仿宋_GB2312" w:hAnsi="Verdana" w:eastAsia="仿宋_GB2312"/>
          <w:color w:val="auto"/>
          <w:sz w:val="32"/>
          <w:szCs w:val="32"/>
          <w:u w:val="none"/>
        </w:rPr>
        <w:t>号）、《温州市区城市建设房屋征收城中村改造农房集聚建设补偿实施办法的通知》（温政发〔20</w:t>
      </w:r>
      <w:r>
        <w:rPr>
          <w:rFonts w:hint="eastAsia" w:ascii="仿宋_GB2312" w:eastAsia="仿宋_GB2312"/>
          <w:color w:val="auto"/>
          <w:sz w:val="32"/>
          <w:szCs w:val="32"/>
          <w:u w:val="none"/>
        </w:rPr>
        <w:t>12</w:t>
      </w:r>
      <w:r>
        <w:rPr>
          <w:rFonts w:hint="eastAsia" w:ascii="仿宋_GB2312" w:hAnsi="Verdana" w:eastAsia="仿宋_GB2312"/>
          <w:color w:val="auto"/>
          <w:sz w:val="32"/>
          <w:szCs w:val="32"/>
          <w:u w:val="none"/>
        </w:rPr>
        <w:t>〕</w:t>
      </w:r>
      <w:r>
        <w:rPr>
          <w:rFonts w:hint="eastAsia" w:ascii="仿宋_GB2312" w:eastAsia="仿宋_GB2312"/>
          <w:color w:val="auto"/>
          <w:sz w:val="32"/>
          <w:szCs w:val="32"/>
          <w:u w:val="none"/>
        </w:rPr>
        <w:t>19</w:t>
      </w:r>
      <w:r>
        <w:rPr>
          <w:rFonts w:hint="eastAsia" w:ascii="仿宋_GB2312" w:hAnsi="Verdana" w:eastAsia="仿宋_GB2312"/>
          <w:color w:val="auto"/>
          <w:sz w:val="32"/>
          <w:szCs w:val="32"/>
          <w:u w:val="none"/>
        </w:rPr>
        <w:t>号）</w:t>
      </w:r>
      <w:r>
        <w:rPr>
          <w:rFonts w:hint="eastAsia" w:ascii="仿宋_GB2312" w:hAnsi="仿宋" w:eastAsia="仿宋_GB2312"/>
          <w:color w:val="auto"/>
          <w:sz w:val="32"/>
          <w:szCs w:val="32"/>
          <w:u w:val="none"/>
        </w:rPr>
        <w:t>规定</w:t>
      </w:r>
      <w:r>
        <w:rPr>
          <w:rFonts w:hint="eastAsia" w:ascii="仿宋_GB2312" w:hAnsi="Verdana" w:eastAsia="仿宋_GB2312"/>
          <w:color w:val="auto"/>
          <w:sz w:val="32"/>
          <w:szCs w:val="32"/>
          <w:u w:val="none"/>
        </w:rPr>
        <w:t>，</w:t>
      </w:r>
      <w:r>
        <w:rPr>
          <w:rFonts w:hint="eastAsia" w:ascii="仿宋_GB2312" w:hAnsi="仿宋" w:eastAsia="仿宋_GB2312"/>
          <w:color w:val="auto"/>
          <w:sz w:val="32"/>
          <w:szCs w:val="32"/>
          <w:u w:val="none"/>
        </w:rPr>
        <w:t>参照国有土地上房屋征收与补偿有关规定</w:t>
      </w:r>
      <w:r>
        <w:rPr>
          <w:rFonts w:hint="eastAsia" w:ascii="仿宋_GB2312" w:hAnsi="ˎ̥" w:eastAsia="仿宋_GB2312" w:cs="宋体"/>
          <w:kern w:val="0"/>
          <w:sz w:val="32"/>
          <w:szCs w:val="32"/>
        </w:rPr>
        <w:t>制定。涉及权利义务的内容主要有：</w:t>
      </w:r>
      <w:r>
        <w:rPr>
          <w:rFonts w:hint="eastAsia" w:ascii="仿宋_GB2312" w:hAnsi="宋体" w:eastAsia="仿宋_GB2312" w:cs="宋体"/>
          <w:kern w:val="0"/>
          <w:sz w:val="32"/>
          <w:szCs w:val="32"/>
        </w:rPr>
        <w:t>《细则》</w:t>
      </w:r>
      <w:r>
        <w:rPr>
          <w:rFonts w:hint="eastAsia" w:ascii="仿宋_GB2312" w:hAnsi="ˎ̥" w:eastAsia="仿宋_GB2312" w:cs="宋体"/>
          <w:kern w:val="0"/>
          <w:sz w:val="32"/>
          <w:szCs w:val="32"/>
        </w:rPr>
        <w:t>第</w:t>
      </w:r>
      <w:r>
        <w:rPr>
          <w:rFonts w:hint="eastAsia" w:ascii="仿宋_GB2312" w:hAnsi="ˎ̥" w:eastAsia="仿宋_GB2312" w:cs="宋体"/>
          <w:kern w:val="0"/>
          <w:sz w:val="32"/>
          <w:szCs w:val="32"/>
          <w:lang w:eastAsia="zh-CN"/>
        </w:rPr>
        <w:t>四</w:t>
      </w:r>
      <w:r>
        <w:rPr>
          <w:rFonts w:hint="eastAsia" w:ascii="仿宋_GB2312" w:hAnsi="ˎ̥" w:eastAsia="仿宋_GB2312" w:cs="宋体"/>
          <w:kern w:val="0"/>
          <w:sz w:val="32"/>
          <w:szCs w:val="32"/>
        </w:rPr>
        <w:t>、</w:t>
      </w:r>
      <w:r>
        <w:rPr>
          <w:rFonts w:hint="eastAsia" w:ascii="仿宋_GB2312" w:hAnsi="ˎ̥" w:eastAsia="仿宋_GB2312" w:cs="宋体"/>
          <w:kern w:val="0"/>
          <w:sz w:val="32"/>
          <w:szCs w:val="32"/>
          <w:lang w:eastAsia="zh-CN"/>
        </w:rPr>
        <w:t>五</w:t>
      </w:r>
      <w:r>
        <w:rPr>
          <w:rFonts w:hint="eastAsia" w:ascii="仿宋_GB2312" w:hAnsi="ˎ̥" w:eastAsia="仿宋_GB2312" w:cs="宋体"/>
          <w:kern w:val="0"/>
          <w:sz w:val="32"/>
          <w:szCs w:val="32"/>
        </w:rPr>
        <w:t>、</w:t>
      </w:r>
      <w:r>
        <w:rPr>
          <w:rFonts w:hint="eastAsia" w:ascii="仿宋_GB2312" w:hAnsi="ˎ̥" w:eastAsia="仿宋_GB2312" w:cs="宋体"/>
          <w:kern w:val="0"/>
          <w:sz w:val="32"/>
          <w:szCs w:val="32"/>
          <w:lang w:eastAsia="zh-CN"/>
        </w:rPr>
        <w:t>八</w:t>
      </w:r>
      <w:r>
        <w:rPr>
          <w:rFonts w:hint="eastAsia" w:ascii="仿宋_GB2312" w:hAnsi="ˎ̥" w:eastAsia="仿宋_GB2312" w:cs="宋体"/>
          <w:kern w:val="0"/>
          <w:sz w:val="32"/>
          <w:szCs w:val="32"/>
        </w:rPr>
        <w:t>、十</w:t>
      </w:r>
      <w:r>
        <w:rPr>
          <w:rFonts w:hint="eastAsia" w:ascii="仿宋_GB2312" w:hAnsi="ˎ̥" w:eastAsia="仿宋_GB2312" w:cs="宋体"/>
          <w:kern w:val="0"/>
          <w:sz w:val="32"/>
          <w:szCs w:val="32"/>
          <w:lang w:eastAsia="zh-CN"/>
        </w:rPr>
        <w:t>一</w:t>
      </w:r>
      <w:r>
        <w:rPr>
          <w:rFonts w:hint="eastAsia" w:ascii="仿宋_GB2312" w:hAnsi="ˎ̥" w:eastAsia="仿宋_GB2312" w:cs="宋体"/>
          <w:kern w:val="0"/>
          <w:sz w:val="32"/>
          <w:szCs w:val="32"/>
        </w:rPr>
        <w:t>、十</w:t>
      </w:r>
      <w:r>
        <w:rPr>
          <w:rFonts w:hint="eastAsia" w:ascii="仿宋_GB2312" w:hAnsi="ˎ̥" w:eastAsia="仿宋_GB2312" w:cs="宋体"/>
          <w:kern w:val="0"/>
          <w:sz w:val="32"/>
          <w:szCs w:val="32"/>
          <w:lang w:eastAsia="zh-CN"/>
        </w:rPr>
        <w:t>六</w:t>
      </w:r>
      <w:r>
        <w:rPr>
          <w:rFonts w:hint="eastAsia" w:ascii="仿宋_GB2312" w:hAnsi="ˎ̥" w:eastAsia="仿宋_GB2312" w:cs="宋体"/>
          <w:kern w:val="0"/>
          <w:sz w:val="32"/>
          <w:szCs w:val="32"/>
        </w:rPr>
        <w:t>、</w:t>
      </w:r>
      <w:r>
        <w:rPr>
          <w:rFonts w:hint="eastAsia" w:ascii="仿宋_GB2312" w:hAnsi="ˎ̥" w:eastAsia="仿宋_GB2312" w:cs="宋体"/>
          <w:kern w:val="0"/>
          <w:sz w:val="32"/>
          <w:szCs w:val="32"/>
          <w:lang w:eastAsia="zh-CN"/>
        </w:rPr>
        <w:t>十七</w:t>
      </w:r>
      <w:r>
        <w:rPr>
          <w:rFonts w:hint="eastAsia" w:ascii="仿宋_GB2312" w:hAnsi="ˎ̥" w:eastAsia="仿宋_GB2312" w:cs="宋体"/>
          <w:kern w:val="0"/>
          <w:sz w:val="32"/>
          <w:szCs w:val="32"/>
        </w:rPr>
        <w:t>、</w:t>
      </w:r>
      <w:r>
        <w:rPr>
          <w:rFonts w:hint="eastAsia" w:ascii="仿宋_GB2312" w:hAnsi="ˎ̥" w:eastAsia="仿宋_GB2312" w:cs="宋体"/>
          <w:kern w:val="0"/>
          <w:sz w:val="32"/>
          <w:szCs w:val="32"/>
          <w:lang w:eastAsia="zh-CN"/>
        </w:rPr>
        <w:t>十八</w:t>
      </w:r>
      <w:r>
        <w:rPr>
          <w:rFonts w:hint="eastAsia" w:ascii="仿宋_GB2312" w:hAnsi="ˎ̥" w:eastAsia="仿宋_GB2312" w:cs="宋体"/>
          <w:kern w:val="0"/>
          <w:sz w:val="32"/>
          <w:szCs w:val="32"/>
        </w:rPr>
        <w:t>条有关补偿的规定依据《温州市区国有土地上房屋征收与补偿办法》第三十条至第三十七条、四十八条规定；</w:t>
      </w:r>
      <w:r>
        <w:rPr>
          <w:rFonts w:hint="eastAsia" w:ascii="仿宋_GB2312" w:hAnsi="宋体" w:eastAsia="仿宋_GB2312" w:cs="宋体"/>
          <w:kern w:val="0"/>
          <w:sz w:val="32"/>
          <w:szCs w:val="32"/>
        </w:rPr>
        <w:t>《细则》</w:t>
      </w:r>
      <w:r>
        <w:rPr>
          <w:rFonts w:hint="eastAsia" w:ascii="仿宋_GB2312" w:hAnsi="ˎ̥" w:eastAsia="仿宋_GB2312" w:cs="宋体"/>
          <w:kern w:val="0"/>
          <w:sz w:val="32"/>
          <w:szCs w:val="32"/>
        </w:rPr>
        <w:t>第</w:t>
      </w:r>
      <w:r>
        <w:rPr>
          <w:rFonts w:hint="eastAsia" w:ascii="仿宋_GB2312" w:hAnsi="ˎ̥" w:eastAsia="仿宋_GB2312" w:cs="宋体"/>
          <w:kern w:val="0"/>
          <w:sz w:val="32"/>
          <w:szCs w:val="32"/>
          <w:lang w:eastAsia="zh-CN"/>
        </w:rPr>
        <w:t>六</w:t>
      </w:r>
      <w:r>
        <w:rPr>
          <w:rFonts w:hint="eastAsia" w:ascii="仿宋_GB2312" w:hAnsi="ˎ̥" w:eastAsia="仿宋_GB2312" w:cs="宋体"/>
          <w:kern w:val="0"/>
          <w:sz w:val="32"/>
          <w:szCs w:val="32"/>
        </w:rPr>
        <w:t>、</w:t>
      </w:r>
      <w:r>
        <w:rPr>
          <w:rFonts w:hint="eastAsia" w:ascii="仿宋_GB2312" w:hAnsi="ˎ̥" w:eastAsia="仿宋_GB2312" w:cs="宋体"/>
          <w:kern w:val="0"/>
          <w:sz w:val="32"/>
          <w:szCs w:val="32"/>
          <w:lang w:eastAsia="zh-CN"/>
        </w:rPr>
        <w:t>七</w:t>
      </w:r>
      <w:r>
        <w:rPr>
          <w:rFonts w:hint="eastAsia" w:ascii="仿宋_GB2312" w:hAnsi="ˎ̥" w:eastAsia="仿宋_GB2312" w:cs="宋体"/>
          <w:kern w:val="0"/>
          <w:sz w:val="32"/>
          <w:szCs w:val="32"/>
        </w:rPr>
        <w:t>、</w:t>
      </w:r>
      <w:r>
        <w:rPr>
          <w:rFonts w:hint="eastAsia" w:ascii="仿宋_GB2312" w:hAnsi="ˎ̥" w:eastAsia="仿宋_GB2312" w:cs="宋体"/>
          <w:kern w:val="0"/>
          <w:sz w:val="32"/>
          <w:szCs w:val="32"/>
          <w:lang w:eastAsia="zh-CN"/>
        </w:rPr>
        <w:t>九</w:t>
      </w:r>
      <w:r>
        <w:rPr>
          <w:rFonts w:hint="eastAsia" w:ascii="仿宋_GB2312" w:hAnsi="ˎ̥" w:eastAsia="仿宋_GB2312" w:cs="宋体"/>
          <w:kern w:val="0"/>
          <w:sz w:val="32"/>
          <w:szCs w:val="32"/>
        </w:rPr>
        <w:t>条补偿及奖励的规定依据《温州市人民政府办公室关于温州市区房屋征收市场化安置实施意见（试行）》第二、三、四项规定；</w:t>
      </w:r>
      <w:r>
        <w:rPr>
          <w:rFonts w:hint="eastAsia" w:ascii="仿宋_GB2312" w:hAnsi="宋体" w:eastAsia="仿宋_GB2312" w:cs="宋体"/>
          <w:kern w:val="0"/>
          <w:sz w:val="32"/>
          <w:szCs w:val="32"/>
        </w:rPr>
        <w:t>《细则》</w:t>
      </w:r>
      <w:r>
        <w:rPr>
          <w:rFonts w:hint="eastAsia" w:ascii="仿宋_GB2312" w:hAnsi="ˎ̥" w:eastAsia="仿宋_GB2312" w:cs="宋体"/>
          <w:kern w:val="0"/>
          <w:sz w:val="32"/>
          <w:szCs w:val="32"/>
        </w:rPr>
        <w:t>第</w:t>
      </w:r>
      <w:r>
        <w:rPr>
          <w:rFonts w:hint="eastAsia" w:ascii="仿宋_GB2312" w:hAnsi="ˎ̥" w:eastAsia="仿宋_GB2312" w:cs="宋体"/>
          <w:kern w:val="0"/>
          <w:sz w:val="32"/>
          <w:szCs w:val="32"/>
          <w:lang w:eastAsia="zh-CN"/>
        </w:rPr>
        <w:t>九</w:t>
      </w:r>
      <w:r>
        <w:rPr>
          <w:rFonts w:hint="eastAsia" w:ascii="仿宋_GB2312" w:hAnsi="ˎ̥" w:eastAsia="仿宋_GB2312" w:cs="宋体"/>
          <w:kern w:val="0"/>
          <w:sz w:val="32"/>
          <w:szCs w:val="32"/>
        </w:rPr>
        <w:t>条、十</w:t>
      </w:r>
      <w:r>
        <w:rPr>
          <w:rFonts w:hint="eastAsia" w:ascii="仿宋_GB2312" w:hAnsi="ˎ̥" w:eastAsia="仿宋_GB2312" w:cs="宋体"/>
          <w:kern w:val="0"/>
          <w:sz w:val="32"/>
          <w:szCs w:val="32"/>
          <w:lang w:eastAsia="zh-CN"/>
        </w:rPr>
        <w:t>一</w:t>
      </w:r>
      <w:r>
        <w:rPr>
          <w:rFonts w:hint="eastAsia" w:ascii="仿宋_GB2312" w:hAnsi="ˎ̥" w:eastAsia="仿宋_GB2312" w:cs="宋体"/>
          <w:kern w:val="0"/>
          <w:sz w:val="32"/>
          <w:szCs w:val="32"/>
        </w:rPr>
        <w:t>条、十</w:t>
      </w:r>
      <w:r>
        <w:rPr>
          <w:rFonts w:hint="eastAsia" w:ascii="仿宋_GB2312" w:hAnsi="ˎ̥" w:eastAsia="仿宋_GB2312" w:cs="宋体"/>
          <w:kern w:val="0"/>
          <w:sz w:val="32"/>
          <w:szCs w:val="32"/>
          <w:lang w:eastAsia="zh-CN"/>
        </w:rPr>
        <w:t>五</w:t>
      </w:r>
      <w:r>
        <w:rPr>
          <w:rFonts w:hint="eastAsia" w:ascii="仿宋_GB2312" w:hAnsi="ˎ̥" w:eastAsia="仿宋_GB2312" w:cs="宋体"/>
          <w:kern w:val="0"/>
          <w:sz w:val="32"/>
          <w:szCs w:val="32"/>
        </w:rPr>
        <w:t>条有关补偿及奖励的规定依据《温州市人民政府关于印发温州市区城市建设房屋征收城中村改造农房集聚建设补偿实施办法的通知》第八条、第十条，第十一条、第十四条、第十八条规定。</w:t>
      </w:r>
    </w:p>
    <w:p>
      <w:pPr>
        <w:adjustRightInd w:val="0"/>
        <w:snapToGrid w:val="0"/>
        <w:spacing w:line="560" w:lineRule="exact"/>
        <w:ind w:firstLine="640" w:firstLineChars="200"/>
        <w:rPr>
          <w:rFonts w:ascii="黑体" w:hAnsi="ˎ̥" w:eastAsia="黑体" w:cs="宋体"/>
          <w:bCs/>
          <w:kern w:val="0"/>
          <w:sz w:val="32"/>
          <w:szCs w:val="32"/>
        </w:rPr>
      </w:pPr>
      <w:r>
        <w:rPr>
          <w:rFonts w:hint="eastAsia" w:ascii="黑体" w:hAnsi="ˎ̥" w:eastAsia="黑体" w:cs="宋体"/>
          <w:bCs/>
          <w:kern w:val="0"/>
          <w:sz w:val="32"/>
          <w:szCs w:val="32"/>
        </w:rPr>
        <w:t>二、文件起草程序说明</w:t>
      </w:r>
    </w:p>
    <w:p>
      <w:pPr>
        <w:spacing w:line="560" w:lineRule="exact"/>
        <w:jc w:val="left"/>
        <w:rPr>
          <w:rFonts w:ascii="仿宋_GB2312" w:eastAsia="仿宋_GB2312"/>
          <w:color w:val="FF0000"/>
          <w:spacing w:val="30"/>
          <w:w w:val="66"/>
          <w:sz w:val="32"/>
          <w:szCs w:val="32"/>
          <w:u w:val="none"/>
        </w:rPr>
      </w:pPr>
      <w:r>
        <w:rPr>
          <w:rFonts w:hint="eastAsia" w:ascii="仿宋_GB2312" w:hAnsi="ˎ̥" w:eastAsia="仿宋_GB2312" w:cs="宋体"/>
          <w:kern w:val="0"/>
          <w:sz w:val="32"/>
          <w:szCs w:val="32"/>
        </w:rPr>
        <w:t xml:space="preserve">    市里2022年6月17日发布《温州市支持合理住房需求的阶段性政策》中：“利用房票加速拆迁安置等住房政策落地。原则上全面停止安置房新建，推进房屋征收房票政策全覆盖”</w:t>
      </w:r>
      <w:r>
        <w:rPr>
          <w:rFonts w:hint="eastAsia" w:ascii="仿宋_GB2312" w:hAnsi="ˎ̥" w:eastAsia="仿宋_GB2312" w:cs="宋体"/>
          <w:kern w:val="0"/>
          <w:sz w:val="32"/>
          <w:szCs w:val="32"/>
          <w:lang w:eastAsia="zh-CN"/>
        </w:rPr>
        <w:t>，</w:t>
      </w:r>
      <w:r>
        <w:rPr>
          <w:rFonts w:hint="eastAsia" w:ascii="仿宋_GB2312" w:hAnsi="ˎ̥" w:eastAsia="仿宋_GB2312" w:cs="宋体"/>
          <w:kern w:val="0"/>
          <w:sz w:val="32"/>
          <w:szCs w:val="32"/>
        </w:rPr>
        <w:t>根据市里精神，龙湾区国有土地房屋征收政策需进行微调，减少实物安置，尽量引导被征收人选择房票安置。故我区需对细则进行修编，以保障市里精神有效落地实施。区政府要求我局启动修订《细则》，2022年7月我局科室内部进行反复交流讨论形成草案，并报陈丕侠副区长多次组织各部门进行内部讨论研究，并走访永中街道、海滨街道等进行政策修订调研，通过讨论调研对《细则》进行了多轮修改。2022年11月30日、2023年9月22日，夏禹桨区长召集区各部门研究细则修订工作。。10月16日，我局发文征求有关单位意见建议，10月19日由我局法律顾问进行合法性审查</w:t>
      </w:r>
      <w:bookmarkStart w:id="0" w:name="_GoBack"/>
      <w:bookmarkEnd w:id="0"/>
      <w:r>
        <w:rPr>
          <w:rFonts w:hint="eastAsia" w:ascii="仿宋_GB2312" w:hAnsi="ˎ̥" w:eastAsia="仿宋_GB2312" w:cs="宋体"/>
          <w:kern w:val="0"/>
          <w:sz w:val="32"/>
          <w:szCs w:val="32"/>
          <w:u w:val="none"/>
        </w:rPr>
        <w:t>。</w:t>
      </w:r>
    </w:p>
    <w:p>
      <w:pPr>
        <w:numPr>
          <w:ilvl w:val="0"/>
          <w:numId w:val="1"/>
        </w:numPr>
        <w:spacing w:line="560" w:lineRule="exact"/>
        <w:ind w:firstLine="640" w:firstLineChars="200"/>
        <w:rPr>
          <w:rFonts w:hint="eastAsia" w:ascii="仿宋_GB2312" w:eastAsia="仿宋_GB2312" w:cs="仿宋_GB2312"/>
          <w:color w:val="auto"/>
          <w:sz w:val="32"/>
          <w:szCs w:val="32"/>
          <w:u w:val="none"/>
        </w:rPr>
      </w:pPr>
      <w:r>
        <w:rPr>
          <w:rFonts w:hint="eastAsia" w:ascii="黑体" w:hAnsi="ˎ̥" w:eastAsia="黑体" w:cs="宋体"/>
          <w:bCs/>
          <w:kern w:val="0"/>
          <w:sz w:val="32"/>
          <w:szCs w:val="32"/>
        </w:rPr>
        <w:t>文件施行日期</w:t>
      </w:r>
    </w:p>
    <w:p>
      <w:pPr>
        <w:ind w:firstLine="640" w:firstLineChars="200"/>
      </w:pP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拟自发布之日起</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日后施行。</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02A4D5-E80D-4619-8112-78F27C53448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wiss"/>
    <w:pitch w:val="default"/>
    <w:sig w:usb0="A00002BF" w:usb1="38CF7CFA" w:usb2="00082016" w:usb3="00000000" w:csb0="00040001" w:csb1="00000000"/>
    <w:embedRegular r:id="rId2" w:fontKey="{E0E598E4-2C9A-4B4E-A51D-124814F39CFE}"/>
  </w:font>
  <w:font w:name="Verdana">
    <w:panose1 w:val="020B0604030504040204"/>
    <w:charset w:val="00"/>
    <w:family w:val="swiss"/>
    <w:pitch w:val="default"/>
    <w:sig w:usb0="A10006FF" w:usb1="4000205B" w:usb2="00000010" w:usb3="00000000" w:csb0="2000019F" w:csb1="00000000"/>
    <w:embedRegular r:id="rId3" w:fontKey="{ABC66780-726B-4B96-B3A6-642089FBA025}"/>
  </w:font>
  <w:font w:name="方正小标宋简体">
    <w:panose1 w:val="03000509000000000000"/>
    <w:charset w:val="86"/>
    <w:family w:val="auto"/>
    <w:pitch w:val="default"/>
    <w:sig w:usb0="00000001" w:usb1="080E0000" w:usb2="00000000" w:usb3="00000000" w:csb0="00040000" w:csb1="00000000"/>
    <w:embedRegular r:id="rId4" w:fontKey="{87A9D509-62C9-4E21-A68C-7A574FCF03B8}"/>
  </w:font>
  <w:font w:name="ˎ̥">
    <w:altName w:val="Times New Roman"/>
    <w:panose1 w:val="00000000000000000000"/>
    <w:charset w:val="00"/>
    <w:family w:val="roman"/>
    <w:pitch w:val="default"/>
    <w:sig w:usb0="00000000" w:usb1="00000000" w:usb2="00000000" w:usb3="00000000" w:csb0="00040001" w:csb1="00000000"/>
    <w:embedRegular r:id="rId5" w:fontKey="{1F92E267-1EED-4C95-BB51-18A0B53855F5}"/>
  </w:font>
  <w:font w:name="仿宋_GB2312">
    <w:panose1 w:val="02010609030101010101"/>
    <w:charset w:val="86"/>
    <w:family w:val="modern"/>
    <w:pitch w:val="default"/>
    <w:sig w:usb0="00000001" w:usb1="080E0000" w:usb2="00000000" w:usb3="00000000" w:csb0="00040000" w:csb1="00000000"/>
    <w:embedRegular r:id="rId6" w:fontKey="{6A7CDC6B-661B-44FD-AE18-BC678DD25774}"/>
  </w:font>
  <w:font w:name="仿宋">
    <w:panose1 w:val="02010609060101010101"/>
    <w:charset w:val="86"/>
    <w:family w:val="modern"/>
    <w:pitch w:val="default"/>
    <w:sig w:usb0="800002BF" w:usb1="38CF7CFA" w:usb2="00000016" w:usb3="00000000" w:csb0="00040001" w:csb1="00000000"/>
    <w:embedRegular r:id="rId7" w:fontKey="{70EBC8DD-4933-42A4-9DC1-5EE3ABDCB5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53529"/>
      <w:docPartObj>
        <w:docPartGallery w:val="autotext"/>
      </w:docPartObj>
    </w:sdtPr>
    <w:sdtEndPr>
      <w:rPr>
        <w:rFonts w:asciiTheme="minorEastAsia" w:hAnsiTheme="minorEastAsia" w:eastAsiaTheme="minorEastAsia"/>
        <w:sz w:val="28"/>
        <w:szCs w:val="28"/>
      </w:rPr>
    </w:sdtEndPr>
    <w:sdtContent>
      <w:p>
        <w:pPr>
          <w:pStyle w:val="2"/>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AAC7F"/>
    <w:multiLevelType w:val="singleLevel"/>
    <w:tmpl w:val="9BEAAC7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NzU1ZjcwMzZhMzUxMjdmNTkzNThlMjk2Y2I1Y2MifQ=="/>
  </w:docVars>
  <w:rsids>
    <w:rsidRoot w:val="00000000"/>
    <w:rsid w:val="1584631D"/>
    <w:rsid w:val="1C5F7356"/>
    <w:rsid w:val="33D16011"/>
    <w:rsid w:val="412E1653"/>
    <w:rsid w:val="42F648CC"/>
    <w:rsid w:val="4C5C1BA6"/>
    <w:rsid w:val="6AE1058F"/>
    <w:rsid w:val="791864C1"/>
    <w:rsid w:val="7F913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2023-11-17T01:09:00Z</dcterms:created>
  <dc:creator>Administrator</dc:creator>
  <cp:lastModifiedBy>Administrator</cp:lastModifiedBy>
  <dcterms:modified xsi:type="dcterms:W3CDTF">2023-11-20T03:19:26Z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43406E9C20194181ACB7D469D1A8D75A_13</vt:lpwstr>
  </property>
</Properties>
</file>