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D03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color w:val="000000"/>
          <w:sz w:val="44"/>
          <w:lang w:eastAsia="zh-CN"/>
        </w:rPr>
      </w:pPr>
      <w:r>
        <w:rPr>
          <w:rFonts w:hint="eastAsia" w:ascii="方正小标宋简体" w:eastAsia="方正小标宋简体"/>
          <w:color w:val="000000"/>
          <w:sz w:val="44"/>
        </w:rPr>
        <w:t>嵊州市</w:t>
      </w:r>
      <w:r>
        <w:rPr>
          <w:rFonts w:hint="eastAsia" w:ascii="方正小标宋简体" w:eastAsia="方正小标宋简体"/>
          <w:color w:val="000000"/>
          <w:sz w:val="44"/>
          <w:lang w:eastAsia="zh-CN"/>
        </w:rPr>
        <w:t>政府及国有企业投资项目工程</w:t>
      </w:r>
    </w:p>
    <w:p w14:paraId="33E908C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color w:val="000000"/>
          <w:sz w:val="44"/>
          <w:lang w:eastAsia="zh-CN"/>
        </w:rPr>
      </w:pPr>
      <w:r>
        <w:rPr>
          <w:rFonts w:hint="eastAsia" w:ascii="方正小标宋简体" w:eastAsia="方正小标宋简体"/>
          <w:color w:val="000000"/>
          <w:sz w:val="44"/>
        </w:rPr>
        <w:t>变更管理办法</w:t>
      </w:r>
      <w:r>
        <w:rPr>
          <w:rFonts w:hint="eastAsia" w:ascii="方正小标宋简体" w:eastAsia="方正小标宋简体"/>
          <w:color w:val="000000"/>
          <w:sz w:val="44"/>
          <w:lang w:eastAsia="zh-CN"/>
        </w:rPr>
        <w:t>（修订）</w:t>
      </w:r>
    </w:p>
    <w:p w14:paraId="2FA376B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w:t>
      </w:r>
    </w:p>
    <w:p w14:paraId="47B48E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lang w:eastAsia="zh-CN"/>
        </w:rPr>
      </w:pPr>
    </w:p>
    <w:p w14:paraId="3D6A49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val="en-US" w:eastAsia="zh-CN"/>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 xml:space="preserve"> 总  则</w:t>
      </w:r>
    </w:p>
    <w:p w14:paraId="2944D905">
      <w:pPr>
        <w:keepNext w:val="0"/>
        <w:keepLines w:val="0"/>
        <w:widowControl w:val="0"/>
        <w:suppressLineNumbers w:val="0"/>
        <w:spacing w:line="560" w:lineRule="exact"/>
        <w:ind w:firstLine="640" w:firstLineChars="200"/>
        <w:jc w:val="left"/>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（一）为进一步加强工程变更管理，规范工程变更行为，严格控制</w:t>
      </w:r>
      <w:r>
        <w:rPr>
          <w:rFonts w:hint="eastAsia" w:ascii="仿宋_GB2312" w:hAnsi="Calibri" w:eastAsia="仿宋_GB2312" w:cs="Times New Roman"/>
          <w:color w:val="auto"/>
          <w:sz w:val="32"/>
          <w:szCs w:val="32"/>
          <w:highlight w:val="none"/>
          <w:lang w:val="en-US" w:eastAsia="zh-CN"/>
        </w:rPr>
        <w:t>工程造价，提高建设资金的使用绩效，根据《政府投资条例》（国务院令712号）等有</w:t>
      </w:r>
      <w:bookmarkStart w:id="0" w:name="_GoBack"/>
      <w:bookmarkEnd w:id="0"/>
      <w:r>
        <w:rPr>
          <w:rFonts w:hint="eastAsia" w:ascii="仿宋_GB2312" w:hAnsi="Calibri" w:eastAsia="仿宋_GB2312" w:cs="Times New Roman"/>
          <w:color w:val="auto"/>
          <w:sz w:val="32"/>
          <w:szCs w:val="32"/>
          <w:highlight w:val="none"/>
          <w:lang w:val="en-US" w:eastAsia="zh-CN"/>
        </w:rPr>
        <w:t>关法律、法规、规范性文件规定，结合我市工</w:t>
      </w:r>
      <w:r>
        <w:rPr>
          <w:rFonts w:hint="eastAsia" w:ascii="仿宋_GB2312" w:hAnsi="Calibri" w:eastAsia="仿宋_GB2312" w:cs="Times New Roman"/>
          <w:color w:val="auto"/>
          <w:sz w:val="32"/>
          <w:szCs w:val="32"/>
          <w:highlight w:val="none"/>
          <w:lang w:eastAsia="zh-CN"/>
        </w:rPr>
        <w:t>程管理实际，制定本办法。</w:t>
      </w:r>
    </w:p>
    <w:p w14:paraId="4B5E3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（二）本办法适用于嵊州市政府及国有企业投资项目</w:t>
      </w:r>
      <w:r>
        <w:rPr>
          <w:rFonts w:hint="eastAsia" w:ascii="仿宋_GB2312" w:hAnsi="Calibri" w:eastAsia="仿宋_GB2312" w:cs="Times New Roman"/>
          <w:color w:val="auto"/>
          <w:sz w:val="32"/>
          <w:szCs w:val="32"/>
          <w:highlight w:val="none"/>
          <w:lang w:eastAsia="zh-CN"/>
        </w:rPr>
        <w:t>。</w:t>
      </w:r>
    </w:p>
    <w:p w14:paraId="5139E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eastAsia="zh-CN"/>
        </w:rPr>
        <w:t>（三）</w:t>
      </w:r>
      <w:r>
        <w:rPr>
          <w:rFonts w:hint="eastAsia" w:ascii="仿宋_GB2312" w:hAnsi="Calibri" w:eastAsia="仿宋_GB2312" w:cs="Times New Roman"/>
          <w:color w:val="auto"/>
          <w:sz w:val="32"/>
          <w:szCs w:val="32"/>
          <w:highlight w:val="none"/>
          <w:lang w:val="en-US" w:eastAsia="zh-CN"/>
        </w:rPr>
        <w:t>本办法所称的工程变更是指施工合同内的单项变更事项及其引起的相关工程造价的变化。</w:t>
      </w:r>
    </w:p>
    <w:p w14:paraId="4B046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eastAsia="zh-CN"/>
        </w:rPr>
        <w:t>（四）</w:t>
      </w:r>
      <w:r>
        <w:rPr>
          <w:rFonts w:hint="eastAsia" w:ascii="仿宋_GB2312" w:hAnsi="Calibri" w:eastAsia="仿宋_GB2312" w:cs="Times New Roman"/>
          <w:color w:val="auto"/>
          <w:sz w:val="32"/>
          <w:szCs w:val="32"/>
          <w:highlight w:val="none"/>
          <w:lang w:val="en-US" w:eastAsia="zh-CN"/>
        </w:rPr>
        <w:t>工程变更原则上应遵循先审批后实施的程序。未经审批的工程变更事项，工程结算审核时项目业主（建设单位或实施单位，下同）及其委托的中介机构不得予以认定，市财政局和项目业主不予拨付变更增加的资金，由此导致超概算的，市发改局不予受理概算调整申请。</w:t>
      </w:r>
    </w:p>
    <w:p w14:paraId="458A95AD">
      <w:pPr>
        <w:keepNext w:val="0"/>
        <w:keepLines w:val="0"/>
        <w:widowControl w:val="0"/>
        <w:suppressLineNumbers w:val="0"/>
        <w:spacing w:line="560" w:lineRule="exact"/>
        <w:ind w:firstLine="640" w:firstLineChars="200"/>
        <w:jc w:val="left"/>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eastAsia="zh-CN"/>
        </w:rPr>
        <w:t>（五）</w:t>
      </w:r>
      <w:r>
        <w:rPr>
          <w:rFonts w:hint="eastAsia" w:ascii="仿宋_GB2312" w:hAnsi="Calibri" w:eastAsia="仿宋_GB2312" w:cs="Times New Roman"/>
          <w:color w:val="auto"/>
          <w:sz w:val="32"/>
          <w:szCs w:val="32"/>
          <w:highlight w:val="none"/>
          <w:lang w:val="en-US" w:eastAsia="zh-CN"/>
        </w:rPr>
        <w:t>工程变更由项目业主履行主体责任。项目业主应加强工程变更内部管理制度建设，提高工程变更管理时效，建立工程变更管理台账，定期进行汇总，对项目是否超概算进行及时预警。</w:t>
      </w:r>
    </w:p>
    <w:p w14:paraId="51A9EB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工程变更范围</w:t>
      </w:r>
    </w:p>
    <w:p w14:paraId="451B2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（六）凡符合下列条件之一的，方可考虑工程变更：</w:t>
      </w:r>
    </w:p>
    <w:p w14:paraId="5F92A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1.为确保工程质量和安全必须变更的；</w:t>
      </w:r>
    </w:p>
    <w:p w14:paraId="44C0D8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2.原设计存在错误、缺陷，或者明显不合理的；</w:t>
      </w:r>
    </w:p>
    <w:p w14:paraId="70594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3.既满足使用功能要求又能符合设计规范，节约投资、缩短工期明显的；</w:t>
      </w:r>
    </w:p>
    <w:p w14:paraId="171F0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4.不增加投资或投资增加不多且不超概算工程费用，有利于改善使用条件，节约工程运行维护养护成本，延长使用寿命或便于日后改造和扩建的；</w:t>
      </w:r>
    </w:p>
    <w:p w14:paraId="5DB2C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5.其他特殊情况。</w:t>
      </w:r>
    </w:p>
    <w:p w14:paraId="7E429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（七）以下情形不属于本办法所称的工程变更联审范围，按照合同约定和有关政策规定执行：</w:t>
      </w:r>
    </w:p>
    <w:p w14:paraId="7B6DD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1.合同中各种暂估价的确定及各种以“项”为单位的固定价格项目的调整；</w:t>
      </w:r>
    </w:p>
    <w:p w14:paraId="62EB04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2.人工、材料、机械等要素价格的调整；</w:t>
      </w:r>
    </w:p>
    <w:p w14:paraId="36DC9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3.因工程量清单编制质量原因，引起工程量清单漏项、工程量清单数量和单价的差异或误差；</w:t>
      </w:r>
    </w:p>
    <w:p w14:paraId="3935D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仿宋_GB2312" w:hAnsi="Calibri" w:eastAsia="仿宋_GB2312" w:cs="Times New Roman"/>
          <w:color w:val="auto"/>
          <w:sz w:val="32"/>
          <w:szCs w:val="32"/>
          <w:highlight w:val="none"/>
          <w:lang w:val="en-US" w:eastAsia="zh-CN"/>
        </w:rPr>
        <w:t>4.</w:t>
      </w:r>
      <w:r>
        <w:rPr>
          <w:rFonts w:hint="default" w:ascii="仿宋_GB2312" w:eastAsia="仿宋_GB2312" w:cs="仿宋_GB2312"/>
          <w:b w:val="0"/>
          <w:color w:val="auto"/>
          <w:kern w:val="0"/>
          <w:sz w:val="32"/>
          <w:szCs w:val="32"/>
          <w:highlight w:val="none"/>
        </w:rPr>
        <w:t>法律法规及政策性文件变化引起合同价款的调整</w:t>
      </w:r>
      <w:r>
        <w:rPr>
          <w:rFonts w:hint="eastAsia" w:ascii="仿宋_GB2312" w:hAnsi="Calibri" w:eastAsia="仿宋_GB2312" w:cs="Times New Roman"/>
          <w:color w:val="auto"/>
          <w:sz w:val="32"/>
          <w:szCs w:val="32"/>
          <w:highlight w:val="none"/>
          <w:lang w:val="en-US" w:eastAsia="zh-CN"/>
        </w:rPr>
        <w:t>。</w:t>
      </w:r>
    </w:p>
    <w:p w14:paraId="15112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bCs/>
          <w:color w:val="auto"/>
          <w:sz w:val="32"/>
          <w:szCs w:val="32"/>
          <w:highlight w:val="none"/>
          <w:lang w:val="en-US" w:eastAsia="zh-CN"/>
        </w:rPr>
      </w:pPr>
      <w:r>
        <w:rPr>
          <w:rFonts w:hint="eastAsia" w:ascii="仿宋_GB2312" w:hAnsi="Calibri" w:eastAsia="仿宋_GB2312" w:cs="Times New Roman"/>
          <w:b/>
          <w:bCs/>
          <w:color w:val="auto"/>
          <w:sz w:val="32"/>
          <w:szCs w:val="32"/>
          <w:highlight w:val="none"/>
          <w:lang w:val="en-US" w:eastAsia="zh-CN"/>
        </w:rPr>
        <w:t>三、工程变更审批</w:t>
      </w:r>
    </w:p>
    <w:p w14:paraId="3FFFF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八）发生变更事项时，项目业主应当及时组织勘察设计、施工、监理、其它咨询单位及有关专家对工程变更进行内部审查核实，说明工程变更原因或理由，明确变更内容及处理方案，提出变更预算，并进行审核。</w:t>
      </w:r>
    </w:p>
    <w:p w14:paraId="18DBE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九）变更事项须经集体研究同意，有主管部门的由主管部门领导班子集体研究同意，无主管部门的由项目业主领导班子集体研究同意。涉及法律法规规定的自然资源规划、建设、水利、交通、生态环境等部门前置条件的须先办理好相关手续。</w:t>
      </w:r>
    </w:p>
    <w:p w14:paraId="3B530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（十）建立由常务副市长任组长，相关职能部门主要负责人为成员的嵊州市政府及国有企业投资项目工程变更联审领导小组 (简称市联审领导小组)，下设办公室(简称联审办)，联审办设在市发改局，负责日常工作。联审办成员由市发改局、财政局、政务服务中心、及各行业主管部门分管负责人和业务骨干组成，同时</w:t>
      </w:r>
      <w:r>
        <w:rPr>
          <w:rFonts w:hint="eastAsia" w:ascii="仿宋_GB2312" w:hAnsi="仿宋_GB2312" w:eastAsia="仿宋_GB2312" w:cs="仿宋_GB2312"/>
          <w:snapToGrid w:val="0"/>
          <w:color w:val="auto"/>
          <w:kern w:val="0"/>
          <w:sz w:val="32"/>
          <w:szCs w:val="32"/>
          <w:highlight w:val="none"/>
          <w:lang w:val="en-US" w:eastAsia="zh-CN"/>
        </w:rPr>
        <w:t>邀请专职内审机构参与。</w:t>
      </w:r>
    </w:p>
    <w:p w14:paraId="39799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建立由懂技术、有经验、讲原则的专业人员组成的专家库，为工程变更联审提供技术支撑。</w:t>
      </w:r>
    </w:p>
    <w:p w14:paraId="39012126">
      <w:pPr>
        <w:spacing w:line="560" w:lineRule="exact"/>
        <w:ind w:firstLine="640" w:firstLineChars="200"/>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承担工程建设项目任务的有关乡镇街道、国有企业（平台公司）应对工程变更进行集中管理，明确一名工程专业技术人员负责与行业主管部门与联审办对接。</w:t>
      </w:r>
    </w:p>
    <w:p w14:paraId="10BEB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（十一）工程变更根据变更审核后的金额大小进行分类：</w:t>
      </w:r>
    </w:p>
    <w:p w14:paraId="27011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1.一般变更：单项变更事项在变更审核后增加或减少造价30万元以下（含）的；</w:t>
      </w:r>
    </w:p>
    <w:p w14:paraId="6816F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2.较大变更：单项变更事项在变更审核后增加或减少造价30万元以上200万元以下(含)的；</w:t>
      </w:r>
    </w:p>
    <w:p w14:paraId="78AC3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3.重大变更：</w:t>
      </w:r>
    </w:p>
    <w:p w14:paraId="609B0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①</w:t>
      </w:r>
      <w:r>
        <w:rPr>
          <w:rFonts w:hint="eastAsia" w:ascii="仿宋_GB2312" w:hAnsi="Calibri" w:eastAsia="仿宋_GB2312" w:cs="Times New Roman"/>
          <w:color w:val="auto"/>
          <w:sz w:val="32"/>
          <w:szCs w:val="32"/>
          <w:highlight w:val="none"/>
          <w:lang w:val="en-US" w:eastAsia="zh-CN"/>
        </w:rPr>
        <w:t>单项变更事项在变更审核后增加或减少造价200万元以上的；</w:t>
      </w:r>
    </w:p>
    <w:p w14:paraId="3BAE2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②</w:t>
      </w:r>
      <w:r>
        <w:rPr>
          <w:rFonts w:hint="eastAsia" w:ascii="仿宋_GB2312" w:hAnsi="Calibri" w:eastAsia="仿宋_GB2312" w:cs="Times New Roman"/>
          <w:color w:val="auto"/>
          <w:sz w:val="32"/>
          <w:szCs w:val="32"/>
          <w:highlight w:val="none"/>
          <w:lang w:val="en-US" w:eastAsia="zh-CN"/>
        </w:rPr>
        <w:t>工程总承包（EPC）项目的变更；</w:t>
      </w:r>
    </w:p>
    <w:p w14:paraId="0CB70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③</w:t>
      </w:r>
      <w:r>
        <w:rPr>
          <w:rFonts w:hint="eastAsia" w:ascii="仿宋_GB2312" w:hAnsi="Calibri" w:eastAsia="仿宋_GB2312" w:cs="Times New Roman"/>
          <w:color w:val="auto"/>
          <w:sz w:val="32"/>
          <w:szCs w:val="32"/>
          <w:highlight w:val="none"/>
          <w:lang w:val="en-US" w:eastAsia="zh-CN"/>
        </w:rPr>
        <w:t>涉及工程承包合同范围外、红线外的事项按照变更处理的（必要的接线接坡、管涵、灌溉渠的延长衔接且金额较小的等配套工程除外），原则上为重大变更；</w:t>
      </w:r>
    </w:p>
    <w:p w14:paraId="3F635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④</w:t>
      </w:r>
      <w:r>
        <w:rPr>
          <w:rFonts w:hint="eastAsia" w:ascii="仿宋_GB2312" w:hAnsi="Calibri" w:eastAsia="仿宋_GB2312" w:cs="Times New Roman"/>
          <w:color w:val="auto"/>
          <w:sz w:val="32"/>
          <w:szCs w:val="32"/>
          <w:highlight w:val="none"/>
          <w:lang w:val="en-US" w:eastAsia="zh-CN"/>
        </w:rPr>
        <w:t>市联审办认为需要上报市联审领导小组审议的特殊情况。</w:t>
      </w:r>
    </w:p>
    <w:p w14:paraId="74D8AB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（十二）工程变更实行分级审批：</w:t>
      </w:r>
    </w:p>
    <w:p w14:paraId="07F3A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1.一般变更由项目业主报项目主管部门审批，无主管部门的由项目业主按内部决策程序审批，审批时限为3个工作日。</w:t>
      </w:r>
    </w:p>
    <w:p w14:paraId="4E384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2.较大变更由市联审办审批。由项目业主先征求有关行业主管部门的意见，行业主管部门</w:t>
      </w:r>
      <w:r>
        <w:rPr>
          <w:rFonts w:hint="eastAsia" w:ascii="仿宋_GB2312" w:hAnsi="仿宋_GB2312" w:eastAsia="仿宋_GB2312" w:cs="仿宋_GB2312"/>
          <w:color w:val="auto"/>
          <w:sz w:val="32"/>
          <w:szCs w:val="32"/>
          <w:highlight w:val="none"/>
          <w:lang w:eastAsia="zh-CN"/>
        </w:rPr>
        <w:t>对变更方案的安全性和强制性条文的合规性进行审查，并</w:t>
      </w:r>
      <w:r>
        <w:rPr>
          <w:rFonts w:hint="eastAsia" w:ascii="仿宋_GB2312" w:hAnsi="Calibri" w:eastAsia="仿宋_GB2312" w:cs="Times New Roman"/>
          <w:color w:val="auto"/>
          <w:sz w:val="32"/>
          <w:szCs w:val="32"/>
          <w:highlight w:val="none"/>
          <w:lang w:val="en-US" w:eastAsia="zh-CN"/>
        </w:rPr>
        <w:t>在5个工作日内</w:t>
      </w:r>
      <w:r>
        <w:rPr>
          <w:rFonts w:hint="eastAsia" w:ascii="仿宋_GB2312" w:hAnsi="仿宋_GB2312" w:eastAsia="仿宋_GB2312" w:cs="仿宋_GB2312"/>
          <w:color w:val="auto"/>
          <w:sz w:val="32"/>
          <w:szCs w:val="32"/>
          <w:highlight w:val="none"/>
          <w:lang w:eastAsia="zh-CN"/>
        </w:rPr>
        <w:t>提出明确的书面意见，必要时应组织有关专家对变更方案进行论证，项目业主应根据行业主管部门意见完善变更方案</w:t>
      </w:r>
      <w:r>
        <w:rPr>
          <w:rFonts w:hint="eastAsia" w:ascii="仿宋_GB2312" w:hAnsi="Calibri" w:eastAsia="仿宋_GB2312" w:cs="Times New Roman"/>
          <w:color w:val="auto"/>
          <w:sz w:val="32"/>
          <w:szCs w:val="32"/>
          <w:highlight w:val="none"/>
          <w:lang w:val="en-US" w:eastAsia="zh-CN"/>
        </w:rPr>
        <w:t>，市联审办在3个工作日内组织联审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15798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重大变更经市联审办初审后，由项目业主或其主管部门报市联审领导小组审议，其中增加变更金额</w:t>
      </w:r>
      <w:r>
        <w:rPr>
          <w:rFonts w:hint="eastAsia" w:ascii="仿宋_GB2312" w:hAnsi="仿宋_GB2312" w:eastAsia="仿宋_GB2312" w:cs="仿宋_GB2312"/>
          <w:color w:val="auto"/>
          <w:sz w:val="32"/>
          <w:szCs w:val="32"/>
          <w:highlight w:val="none"/>
          <w:lang w:val="en-US" w:eastAsia="zh-CN"/>
        </w:rPr>
        <w:t>500万元以上的，报市政府常务会议审议</w:t>
      </w:r>
      <w:r>
        <w:rPr>
          <w:rFonts w:hint="eastAsia" w:ascii="仿宋_GB2312" w:hAnsi="仿宋_GB2312" w:eastAsia="仿宋_GB2312" w:cs="仿宋_GB2312"/>
          <w:color w:val="auto"/>
          <w:sz w:val="32"/>
          <w:szCs w:val="32"/>
          <w:highlight w:val="none"/>
          <w:lang w:eastAsia="zh-CN"/>
        </w:rPr>
        <w:t>。</w:t>
      </w:r>
    </w:p>
    <w:p w14:paraId="1F7344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仿宋_GB2312" w:hAnsi="Calibri" w:eastAsia="仿宋_GB2312" w:cs="Times New Roman"/>
          <w:color w:val="auto"/>
          <w:sz w:val="32"/>
          <w:szCs w:val="32"/>
          <w:highlight w:val="none"/>
          <w:lang w:val="en-US" w:eastAsia="zh-CN"/>
        </w:rPr>
        <w:t>（十三）应急变更办理：遇不可抗力或特殊情况急需处理的，可以先邀请联审办及</w:t>
      </w:r>
      <w:r>
        <w:rPr>
          <w:rFonts w:hint="eastAsia" w:ascii="仿宋_GB2312" w:hAnsi="仿宋_GB2312" w:eastAsia="仿宋_GB2312" w:cs="仿宋_GB2312"/>
          <w:snapToGrid w:val="0"/>
          <w:color w:val="auto"/>
          <w:kern w:val="0"/>
          <w:sz w:val="32"/>
          <w:szCs w:val="32"/>
          <w:highlight w:val="none"/>
          <w:lang w:val="en-US" w:eastAsia="zh-CN"/>
        </w:rPr>
        <w:t>专职内审机构</w:t>
      </w:r>
      <w:r>
        <w:rPr>
          <w:rFonts w:hint="eastAsia" w:ascii="仿宋_GB2312" w:hAnsi="Calibri" w:eastAsia="仿宋_GB2312" w:cs="Times New Roman"/>
          <w:color w:val="auto"/>
          <w:sz w:val="32"/>
          <w:szCs w:val="32"/>
          <w:highlight w:val="none"/>
          <w:lang w:val="en-US" w:eastAsia="zh-CN"/>
        </w:rPr>
        <w:t>有关人员进行现场踏勘，项目业主组织有关专家召开应急评审会，拟定应急处理方案后，可先进行紧急处理。紧急处理时应摄录并保存好隐蔽工程和非实体工程的影像资料，紧急处理后应及时按规定程序报批。</w:t>
      </w:r>
    </w:p>
    <w:p w14:paraId="143C7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_GB2312" w:hAnsi="Calibri" w:eastAsia="仿宋_GB2312" w:cs="Times New Roman"/>
          <w:color w:val="auto"/>
          <w:sz w:val="32"/>
          <w:szCs w:val="32"/>
          <w:highlight w:val="none"/>
          <w:lang w:val="en-US" w:eastAsia="zh-CN"/>
        </w:rPr>
        <w:t>（十四）工程变更联审实行缺席默认制度。有关联审成员单位在接到通知后，因无故缺席变更联审会议、联合踏勘的，均视为同意联审意见。</w:t>
      </w:r>
      <w:r>
        <w:rPr>
          <w:rFonts w:hint="eastAsia" w:ascii="仿宋" w:hAnsi="仿宋" w:eastAsia="仿宋"/>
          <w:color w:val="auto"/>
          <w:sz w:val="32"/>
          <w:szCs w:val="32"/>
          <w:highlight w:val="none"/>
        </w:rPr>
        <w:t xml:space="preserve"> </w:t>
      </w:r>
    </w:p>
    <w:p w14:paraId="58447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（十五）工程变更联审实行少数服从多数原则。有关联审成员对变更事项存在争议的，</w:t>
      </w:r>
      <w:r>
        <w:rPr>
          <w:rFonts w:hint="eastAsia" w:ascii="仿宋_GB2312" w:hAnsi="Calibri" w:eastAsia="仿宋_GB2312" w:cs="Times New Roman"/>
          <w:color w:val="auto"/>
          <w:sz w:val="32"/>
          <w:szCs w:val="32"/>
          <w:highlight w:val="none"/>
          <w:lang w:eastAsia="zh-CN"/>
        </w:rPr>
        <w:t>按照</w:t>
      </w:r>
      <w:r>
        <w:rPr>
          <w:rFonts w:hint="eastAsia" w:ascii="仿宋_GB2312" w:hAnsi="Calibri" w:eastAsia="仿宋_GB2312" w:cs="Times New Roman"/>
          <w:color w:val="auto"/>
          <w:sz w:val="32"/>
          <w:szCs w:val="32"/>
          <w:highlight w:val="none"/>
        </w:rPr>
        <w:t>少数服从多数</w:t>
      </w:r>
      <w:r>
        <w:rPr>
          <w:rFonts w:hint="eastAsia" w:ascii="仿宋_GB2312" w:hAnsi="Calibri" w:eastAsia="仿宋_GB2312" w:cs="Times New Roman"/>
          <w:color w:val="auto"/>
          <w:sz w:val="32"/>
          <w:szCs w:val="32"/>
          <w:highlight w:val="none"/>
          <w:lang w:eastAsia="zh-CN"/>
        </w:rPr>
        <w:t>的原则做出结论</w:t>
      </w:r>
      <w:r>
        <w:rPr>
          <w:rFonts w:hint="eastAsia" w:ascii="仿宋_GB2312" w:hAnsi="Calibri" w:eastAsia="仿宋_GB2312" w:cs="Times New Roman"/>
          <w:color w:val="auto"/>
          <w:sz w:val="32"/>
          <w:szCs w:val="32"/>
          <w:highlight w:val="none"/>
          <w:lang w:val="en-US" w:eastAsia="zh-CN"/>
        </w:rPr>
        <w:t>。对联审意见有异议的，</w:t>
      </w:r>
      <w:r>
        <w:rPr>
          <w:rFonts w:hint="eastAsia" w:ascii="仿宋_GB2312" w:hAnsi="Calibri" w:eastAsia="仿宋_GB2312" w:cs="Times New Roman"/>
          <w:color w:val="auto"/>
          <w:sz w:val="32"/>
          <w:szCs w:val="32"/>
          <w:highlight w:val="none"/>
        </w:rPr>
        <w:t>应当签署不同意见并说明理由，否则视为同意</w:t>
      </w:r>
      <w:r>
        <w:rPr>
          <w:rFonts w:hint="eastAsia" w:ascii="仿宋_GB2312" w:hAnsi="Calibri" w:eastAsia="仿宋_GB2312" w:cs="Times New Roman"/>
          <w:color w:val="auto"/>
          <w:sz w:val="32"/>
          <w:szCs w:val="32"/>
          <w:highlight w:val="none"/>
          <w:lang w:eastAsia="zh-CN"/>
        </w:rPr>
        <w:t>联审意见</w:t>
      </w:r>
      <w:r>
        <w:rPr>
          <w:rFonts w:hint="eastAsia" w:ascii="仿宋_GB2312" w:hAnsi="Calibri" w:eastAsia="仿宋_GB2312" w:cs="Times New Roman"/>
          <w:color w:val="auto"/>
          <w:sz w:val="32"/>
          <w:szCs w:val="32"/>
          <w:highlight w:val="none"/>
        </w:rPr>
        <w:t>。</w:t>
      </w:r>
    </w:p>
    <w:p w14:paraId="4A5DB3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仿宋" w:hAnsi="仿宋" w:eastAsia="仿宋"/>
          <w:color w:val="auto"/>
          <w:sz w:val="32"/>
          <w:szCs w:val="32"/>
          <w:highlight w:val="none"/>
          <w:lang w:val="en-US" w:eastAsia="zh-CN"/>
        </w:rPr>
        <w:t>（十六）</w:t>
      </w:r>
      <w:r>
        <w:rPr>
          <w:rFonts w:hint="eastAsia" w:ascii="仿宋_GB2312" w:hAnsi="Calibri" w:eastAsia="仿宋_GB2312" w:cs="Times New Roman"/>
          <w:color w:val="auto"/>
          <w:sz w:val="32"/>
          <w:szCs w:val="32"/>
          <w:highlight w:val="none"/>
          <w:lang w:val="en-US" w:eastAsia="zh-CN"/>
        </w:rPr>
        <w:t>项目业主应按规定向行业主管部门征求意见，行业主管部门不出具书面意见或意见不明确的，视作同意。</w:t>
      </w:r>
    </w:p>
    <w:p w14:paraId="666A3D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color w:val="auto"/>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工程变更</w:t>
      </w:r>
      <w:r>
        <w:rPr>
          <w:rFonts w:hint="eastAsia" w:ascii="黑体" w:hAnsi="黑体" w:eastAsia="黑体" w:cs="黑体"/>
          <w:b w:val="0"/>
          <w:bCs w:val="0"/>
          <w:color w:val="auto"/>
          <w:sz w:val="32"/>
          <w:szCs w:val="32"/>
          <w:highlight w:val="none"/>
          <w:lang w:eastAsia="zh-CN"/>
        </w:rPr>
        <w:t>联审资料</w:t>
      </w:r>
    </w:p>
    <w:p w14:paraId="7A427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七）工程变更联审资料包括：工程变更符合性审核表（见附件1）、行业主管部门书面意见（见附件2）、变更预算报告（见附件3）、变更审核报告（见附件4）、有关会议纪要（或函件、说明等）、前置条件的办理手续、变更联系单（或变更方案）、各类签证单、有关现场记录及影像资料等。</w:t>
      </w:r>
    </w:p>
    <w:p w14:paraId="31B24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（十八）变更联系单应连续编号并如实载明变更日期，有关建设主体须在工程变更资料上签署明确意见，并签名盖章，对变更资料的真实性、完整性、有效性负责。</w:t>
      </w:r>
    </w:p>
    <w:p w14:paraId="0CAC3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（十九）因工程变更引起的工程费用调整由项目业主负责落实变更预算的编制与审核，变更预算应按合同约定、有关计价计量规则进行编审，按照规范出具造价咨询成果。</w:t>
      </w:r>
    </w:p>
    <w:p w14:paraId="0A6EA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项目业主应将变更联审资料以电子文档打包压缩的形式通过“浙政钉”报行业主管部门和市联审办，其中工程变更符合性审核表、变更预算报告、变更审核报告以可编辑的电子文档提供，其他资料可用照片或扫描件形式提供。</w:t>
      </w:r>
    </w:p>
    <w:p w14:paraId="75EBE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 xml:space="preserve">符合性审核时按第（十七）条要求的资料，依序整理成册，一式五份，提交纸质变更资料。同时提供招标文件、施工合同、中标工程量清单、有关施工图纸等各一份备查。     </w:t>
      </w:r>
    </w:p>
    <w:p w14:paraId="3AF33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（二十一）联审后，项目业主将联审意见与现场联审签到表并入(十七)中要求的变更资料并及时送</w:t>
      </w:r>
      <w:r>
        <w:rPr>
          <w:rFonts w:hint="eastAsia" w:ascii="仿宋_GB2312" w:hAnsi="仿宋_GB2312" w:eastAsia="仿宋_GB2312" w:cs="仿宋_GB2312"/>
          <w:snapToGrid w:val="0"/>
          <w:color w:val="auto"/>
          <w:kern w:val="0"/>
          <w:sz w:val="32"/>
          <w:szCs w:val="32"/>
          <w:highlight w:val="none"/>
          <w:lang w:val="en-US" w:eastAsia="zh-CN"/>
        </w:rPr>
        <w:t>专职内审机构</w:t>
      </w:r>
      <w:r>
        <w:rPr>
          <w:rFonts w:hint="eastAsia" w:ascii="仿宋_GB2312" w:hAnsi="Calibri" w:eastAsia="仿宋_GB2312" w:cs="Times New Roman"/>
          <w:color w:val="auto"/>
          <w:sz w:val="32"/>
          <w:szCs w:val="32"/>
          <w:highlight w:val="none"/>
          <w:lang w:val="en-US" w:eastAsia="zh-CN"/>
        </w:rPr>
        <w:t>备案，变更金额纳入结算审计。</w:t>
      </w:r>
    </w:p>
    <w:p w14:paraId="5DE3B2E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Calibri" w:eastAsia="仿宋_GB2312" w:cs="Times New Roman"/>
          <w:b/>
          <w:bCs/>
          <w:color w:val="auto"/>
          <w:sz w:val="32"/>
          <w:szCs w:val="32"/>
          <w:highlight w:val="none"/>
        </w:rPr>
      </w:pPr>
      <w:r>
        <w:rPr>
          <w:rFonts w:hint="eastAsia" w:ascii="仿宋_GB2312" w:hAnsi="Calibri" w:eastAsia="仿宋_GB2312" w:cs="Times New Roman"/>
          <w:b/>
          <w:bCs/>
          <w:color w:val="auto"/>
          <w:sz w:val="32"/>
          <w:szCs w:val="32"/>
          <w:highlight w:val="none"/>
          <w:lang w:eastAsia="zh-CN"/>
        </w:rPr>
        <w:t>五、</w:t>
      </w:r>
      <w:r>
        <w:rPr>
          <w:rFonts w:hint="eastAsia" w:ascii="仿宋_GB2312" w:hAnsi="Calibri" w:eastAsia="仿宋_GB2312" w:cs="Times New Roman"/>
          <w:b/>
          <w:bCs/>
          <w:color w:val="auto"/>
          <w:sz w:val="32"/>
          <w:szCs w:val="32"/>
          <w:highlight w:val="none"/>
        </w:rPr>
        <w:t xml:space="preserve">责任追究 </w:t>
      </w:r>
    </w:p>
    <w:p w14:paraId="71E7B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（二十二）项目业主存在以下行为，情节严重的，按照相关规定追究有关人员的责任。</w:t>
      </w:r>
    </w:p>
    <w:p w14:paraId="41647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1.未按程序报批擅自实施工程变更的；</w:t>
      </w:r>
    </w:p>
    <w:p w14:paraId="7F907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2.故意压低变更预算、肢解变更规避审批的；</w:t>
      </w:r>
    </w:p>
    <w:p w14:paraId="022F58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3.未按合同约定和施工规范签署不当变更的；</w:t>
      </w:r>
    </w:p>
    <w:p w14:paraId="1DA49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4.伪造虚假工程变更或者恶意变更的；</w:t>
      </w:r>
    </w:p>
    <w:p w14:paraId="2AB18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5.未经审批将工程变更纳入工程结算的；</w:t>
      </w:r>
    </w:p>
    <w:p w14:paraId="3FB40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6.未妥善保管工程变更资料的；</w:t>
      </w:r>
    </w:p>
    <w:p w14:paraId="374DC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7.其他违反工程变更管理规定的。</w:t>
      </w:r>
    </w:p>
    <w:p w14:paraId="63384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（二十三）施工单位因施工方式不当、施工质量问题、赶进度、擅自变更等自身原因造成的费用增加由施工单位自行承担，延误的工期不予顺延，情节严重造的，按有关规定追究相关单位及人员的责任。</w:t>
      </w:r>
    </w:p>
    <w:p w14:paraId="25172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四）勘察设计、监理、造价咨询、招标代理、全过程咨询等中介服务单位因履职不到位、出现错误、偏差等服务质量问题，情节严重的，由建设单位按合同约定处理或由有关行业主管部门按有关规定追究相关单位及人员的责任。</w:t>
      </w:r>
    </w:p>
    <w:p w14:paraId="7C624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_GB2312" w:hAnsi="Calibri" w:eastAsia="仿宋_GB2312" w:cs="Times New Roman"/>
          <w:color w:val="auto"/>
          <w:sz w:val="32"/>
          <w:szCs w:val="32"/>
          <w:highlight w:val="none"/>
          <w:lang w:val="en-US" w:eastAsia="zh-CN"/>
        </w:rPr>
        <w:t>（二十五）市级相关部门对工程变更管理履职单位进行监督检查，对变更后工程结算超过批复概算建安工程费或超过合同价30%以上（且金额较大）的进行重点检查，对负有责任的相关单位和人员依法依规进行责任追究。</w:t>
      </w:r>
    </w:p>
    <w:p w14:paraId="43D162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rPr>
        <w:t xml:space="preserve"> </w:t>
      </w: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附则</w:t>
      </w:r>
    </w:p>
    <w:p w14:paraId="4BA4E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（二十六）市联审办在工程变更管理中发生的委托审核、外聘专家等相关工作费用由市财政予以保障。</w:t>
      </w:r>
    </w:p>
    <w:p w14:paraId="6D4A40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（二十七）</w:t>
      </w:r>
      <w:r>
        <w:rPr>
          <w:rFonts w:hint="eastAsia" w:ascii="仿宋_GB2312" w:hAnsi="Calibri" w:eastAsia="仿宋_GB2312" w:cs="Times New Roman"/>
          <w:color w:val="auto"/>
          <w:kern w:val="2"/>
          <w:sz w:val="32"/>
          <w:szCs w:val="32"/>
          <w:highlight w:val="none"/>
          <w:lang w:val="en-US" w:eastAsia="zh-CN" w:bidi="ar"/>
        </w:rPr>
        <w:t>项目业主须在工程招标文件和签订施工合同中明示：工程变更管理执行本办法。</w:t>
      </w:r>
    </w:p>
    <w:p w14:paraId="791E8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（二十八）开发区（高新园区）核心区域范围内投资项目的工程变更审批事项，由开发区（高新园区）参照本办法负责管理，市联审办应加强业务指导。</w:t>
      </w:r>
    </w:p>
    <w:p w14:paraId="3B6AFA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（二十九）本办法自 ** 月 ** 日起执行，原《嵊州市政府及国有资金投资项目工程变更管理办法》（嵊政办〔2021〕98号）同时废止。上级审批项目按照上级有关规定执行。</w:t>
      </w:r>
    </w:p>
    <w:p w14:paraId="7D1F3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 xml:space="preserve"> （三十）本办法由市委办负责解释，具体工作由市发改局（联审办）承办。</w:t>
      </w:r>
    </w:p>
    <w:p w14:paraId="64F03A6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Calibri" w:eastAsia="仿宋_GB2312" w:cs="Times New Roman"/>
          <w:color w:val="auto"/>
          <w:sz w:val="32"/>
          <w:szCs w:val="32"/>
          <w:highlight w:val="none"/>
          <w:lang w:val="en-US" w:eastAsia="zh-CN"/>
        </w:rPr>
      </w:pPr>
    </w:p>
    <w:p w14:paraId="1BD366F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Calibri" w:eastAsia="仿宋_GB2312" w:cs="Times New Roman"/>
          <w:color w:val="auto"/>
          <w:sz w:val="32"/>
          <w:szCs w:val="32"/>
          <w:lang w:val="en-US" w:eastAsia="zh-CN"/>
        </w:rPr>
      </w:pPr>
    </w:p>
    <w:p w14:paraId="135A3A1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附件：</w:t>
      </w:r>
    </w:p>
    <w:p w14:paraId="30731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1.《工程变更符合性审核表》</w:t>
      </w:r>
    </w:p>
    <w:p w14:paraId="6A7B2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2.《行业主管部门意见》</w:t>
      </w:r>
    </w:p>
    <w:p w14:paraId="23B9B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3.《变更预算报告》</w:t>
      </w:r>
    </w:p>
    <w:p w14:paraId="4DFF0F47">
      <w:pPr>
        <w:spacing w:line="560" w:lineRule="exact"/>
        <w:ind w:firstLine="640" w:firstLineChars="200"/>
        <w:rPr>
          <w:rFonts w:hint="eastAsia" w:ascii="黑体" w:hAnsi="黑体" w:eastAsia="黑体" w:cs="黑体"/>
          <w:color w:val="auto"/>
          <w:sz w:val="32"/>
          <w:szCs w:val="32"/>
        </w:rPr>
        <w:sectPr>
          <w:headerReference r:id="rId3" w:type="default"/>
          <w:footerReference r:id="rId4" w:type="default"/>
          <w:pgSz w:w="11906" w:h="16838"/>
          <w:pgMar w:top="1440" w:right="1457" w:bottom="1440" w:left="1457" w:header="851" w:footer="992" w:gutter="0"/>
          <w:pgBorders>
            <w:top w:val="none" w:sz="0" w:space="0"/>
            <w:left w:val="none" w:sz="0" w:space="0"/>
            <w:bottom w:val="none" w:sz="0" w:space="0"/>
            <w:right w:val="none" w:sz="0" w:space="0"/>
          </w:pgBorders>
          <w:pgNumType w:fmt="numberInDash" w:start="1"/>
          <w:cols w:space="425" w:num="1"/>
          <w:docGrid w:type="linesAndChars" w:linePitch="312" w:charSpace="0"/>
        </w:sectPr>
      </w:pPr>
      <w:r>
        <w:rPr>
          <w:rFonts w:hint="eastAsia" w:ascii="仿宋_GB2312" w:hAnsi="Calibri" w:eastAsia="仿宋_GB2312" w:cs="Times New Roman"/>
          <w:color w:val="auto"/>
          <w:sz w:val="32"/>
          <w:szCs w:val="32"/>
          <w:lang w:val="en-US" w:eastAsia="zh-CN"/>
        </w:rPr>
        <w:t>4.《变更审核报告》</w:t>
      </w:r>
    </w:p>
    <w:p w14:paraId="1FDDB681">
      <w:pPr>
        <w:spacing w:line="4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14:paraId="23C31574">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工程变更符合性审核表</w:t>
      </w:r>
    </w:p>
    <w:p w14:paraId="388541EA">
      <w:pPr>
        <w:spacing w:line="360" w:lineRule="exact"/>
        <w:jc w:val="both"/>
        <w:rPr>
          <w:rFonts w:hint="eastAsia" w:ascii="仿宋" w:hAnsi="仿宋" w:eastAsia="仿宋"/>
          <w:color w:val="auto"/>
          <w:sz w:val="32"/>
          <w:szCs w:val="32"/>
        </w:rPr>
      </w:pPr>
    </w:p>
    <w:p w14:paraId="59DDF057">
      <w:pPr>
        <w:spacing w:line="36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编号：</w:t>
      </w:r>
      <w:r>
        <w:rPr>
          <w:rFonts w:hint="eastAsia" w:ascii="仿宋_GB2312" w:hAnsi="仿宋_GB2312" w:eastAsia="仿宋_GB2312" w:cs="仿宋_GB2312"/>
          <w:color w:val="auto"/>
          <w:sz w:val="32"/>
          <w:szCs w:val="32"/>
          <w:lang w:val="en-US" w:eastAsia="zh-CN"/>
        </w:rPr>
        <w:t xml:space="preserve">                                    单位：万元</w:t>
      </w:r>
    </w:p>
    <w:tbl>
      <w:tblPr>
        <w:tblStyle w:val="13"/>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29"/>
        <w:gridCol w:w="1572"/>
        <w:gridCol w:w="3529"/>
        <w:gridCol w:w="2334"/>
        <w:gridCol w:w="9"/>
        <w:gridCol w:w="1414"/>
      </w:tblGrid>
      <w:tr w14:paraId="7943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01" w:type="dxa"/>
            <w:gridSpan w:val="2"/>
            <w:vMerge w:val="restart"/>
            <w:noWrap w:val="0"/>
            <w:vAlign w:val="center"/>
          </w:tcPr>
          <w:p w14:paraId="564B551F">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3529" w:type="dxa"/>
            <w:vMerge w:val="restart"/>
            <w:noWrap w:val="0"/>
            <w:vAlign w:val="center"/>
          </w:tcPr>
          <w:p w14:paraId="3CB9BD4C">
            <w:pPr>
              <w:spacing w:line="360" w:lineRule="exact"/>
              <w:jc w:val="center"/>
              <w:rPr>
                <w:rFonts w:hint="eastAsia" w:ascii="仿宋_GB2312" w:hAnsi="仿宋_GB2312" w:eastAsia="仿宋_GB2312" w:cs="仿宋_GB2312"/>
                <w:color w:val="auto"/>
                <w:sz w:val="32"/>
                <w:szCs w:val="32"/>
              </w:rPr>
            </w:pPr>
          </w:p>
        </w:tc>
        <w:tc>
          <w:tcPr>
            <w:tcW w:w="2343" w:type="dxa"/>
            <w:gridSpan w:val="2"/>
            <w:noWrap w:val="0"/>
            <w:vAlign w:val="center"/>
          </w:tcPr>
          <w:p w14:paraId="5D0BCB1F">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对应</w:t>
            </w:r>
            <w:r>
              <w:rPr>
                <w:rFonts w:hint="eastAsia" w:ascii="仿宋_GB2312" w:hAnsi="仿宋_GB2312" w:eastAsia="仿宋_GB2312" w:cs="仿宋_GB2312"/>
                <w:color w:val="auto"/>
                <w:sz w:val="32"/>
                <w:szCs w:val="32"/>
              </w:rPr>
              <w:t>概算</w:t>
            </w:r>
            <w:r>
              <w:rPr>
                <w:rFonts w:hint="eastAsia" w:ascii="仿宋_GB2312" w:hAnsi="仿宋_GB2312" w:eastAsia="仿宋_GB2312" w:cs="仿宋_GB2312"/>
                <w:color w:val="auto"/>
                <w:sz w:val="32"/>
                <w:szCs w:val="32"/>
                <w:lang w:eastAsia="zh-CN"/>
              </w:rPr>
              <w:t>建安费</w:t>
            </w:r>
          </w:p>
        </w:tc>
        <w:tc>
          <w:tcPr>
            <w:tcW w:w="1414" w:type="dxa"/>
            <w:noWrap w:val="0"/>
            <w:vAlign w:val="center"/>
          </w:tcPr>
          <w:p w14:paraId="1FDAA2B2">
            <w:pPr>
              <w:spacing w:line="360" w:lineRule="exact"/>
              <w:jc w:val="center"/>
              <w:rPr>
                <w:rFonts w:hint="eastAsia" w:ascii="仿宋_GB2312" w:hAnsi="仿宋_GB2312" w:eastAsia="仿宋_GB2312" w:cs="仿宋_GB2312"/>
                <w:color w:val="auto"/>
                <w:sz w:val="32"/>
                <w:szCs w:val="32"/>
              </w:rPr>
            </w:pPr>
          </w:p>
        </w:tc>
      </w:tr>
      <w:tr w14:paraId="1C02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2401" w:type="dxa"/>
            <w:gridSpan w:val="2"/>
            <w:vMerge w:val="continue"/>
            <w:noWrap w:val="0"/>
            <w:vAlign w:val="center"/>
          </w:tcPr>
          <w:p w14:paraId="27A4E1D4">
            <w:pPr>
              <w:spacing w:line="360" w:lineRule="exact"/>
              <w:jc w:val="center"/>
              <w:rPr>
                <w:rFonts w:hint="eastAsia" w:ascii="仿宋_GB2312" w:hAnsi="仿宋_GB2312" w:eastAsia="仿宋_GB2312" w:cs="仿宋_GB2312"/>
                <w:color w:val="auto"/>
                <w:sz w:val="32"/>
                <w:szCs w:val="32"/>
              </w:rPr>
            </w:pPr>
          </w:p>
        </w:tc>
        <w:tc>
          <w:tcPr>
            <w:tcW w:w="3529" w:type="dxa"/>
            <w:vMerge w:val="continue"/>
            <w:noWrap w:val="0"/>
            <w:vAlign w:val="center"/>
          </w:tcPr>
          <w:p w14:paraId="6B71E9E4">
            <w:pPr>
              <w:spacing w:line="360" w:lineRule="exact"/>
              <w:rPr>
                <w:rFonts w:hint="eastAsia" w:ascii="仿宋_GB2312" w:hAnsi="仿宋_GB2312" w:eastAsia="仿宋_GB2312" w:cs="仿宋_GB2312"/>
                <w:color w:val="auto"/>
                <w:sz w:val="32"/>
                <w:szCs w:val="32"/>
              </w:rPr>
            </w:pPr>
          </w:p>
        </w:tc>
        <w:tc>
          <w:tcPr>
            <w:tcW w:w="2343" w:type="dxa"/>
            <w:gridSpan w:val="2"/>
            <w:noWrap w:val="0"/>
            <w:vAlign w:val="center"/>
          </w:tcPr>
          <w:p w14:paraId="4019D3A1">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合同价</w:t>
            </w:r>
          </w:p>
        </w:tc>
        <w:tc>
          <w:tcPr>
            <w:tcW w:w="1414" w:type="dxa"/>
            <w:noWrap w:val="0"/>
            <w:vAlign w:val="center"/>
          </w:tcPr>
          <w:p w14:paraId="3F67AC12">
            <w:pPr>
              <w:spacing w:line="360" w:lineRule="exact"/>
              <w:rPr>
                <w:rFonts w:hint="eastAsia" w:ascii="仿宋_GB2312" w:hAnsi="仿宋_GB2312" w:eastAsia="仿宋_GB2312" w:cs="仿宋_GB2312"/>
                <w:color w:val="auto"/>
                <w:sz w:val="32"/>
                <w:szCs w:val="32"/>
              </w:rPr>
            </w:pPr>
          </w:p>
        </w:tc>
      </w:tr>
      <w:tr w14:paraId="7F57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jc w:val="center"/>
        </w:trPr>
        <w:tc>
          <w:tcPr>
            <w:tcW w:w="2401" w:type="dxa"/>
            <w:gridSpan w:val="2"/>
            <w:noWrap w:val="0"/>
            <w:vAlign w:val="center"/>
          </w:tcPr>
          <w:p w14:paraId="194D50F5">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变更事项</w:t>
            </w:r>
            <w:r>
              <w:rPr>
                <w:rFonts w:hint="eastAsia" w:ascii="仿宋_GB2312" w:hAnsi="仿宋_GB2312" w:eastAsia="仿宋_GB2312" w:cs="仿宋_GB2312"/>
                <w:color w:val="auto"/>
                <w:sz w:val="32"/>
                <w:szCs w:val="32"/>
                <w:lang w:eastAsia="zh-CN"/>
              </w:rPr>
              <w:t>名称</w:t>
            </w:r>
          </w:p>
        </w:tc>
        <w:tc>
          <w:tcPr>
            <w:tcW w:w="7286" w:type="dxa"/>
            <w:gridSpan w:val="4"/>
            <w:noWrap w:val="0"/>
            <w:vAlign w:val="center"/>
          </w:tcPr>
          <w:p w14:paraId="27D792A7">
            <w:pPr>
              <w:spacing w:line="360" w:lineRule="exact"/>
              <w:rPr>
                <w:rFonts w:hint="eastAsia" w:ascii="仿宋_GB2312" w:hAnsi="仿宋_GB2312" w:eastAsia="仿宋_GB2312" w:cs="仿宋_GB2312"/>
                <w:color w:val="auto"/>
                <w:sz w:val="32"/>
                <w:szCs w:val="32"/>
              </w:rPr>
            </w:pPr>
          </w:p>
        </w:tc>
      </w:tr>
      <w:tr w14:paraId="264B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2401" w:type="dxa"/>
            <w:gridSpan w:val="2"/>
            <w:noWrap w:val="0"/>
            <w:vAlign w:val="center"/>
          </w:tcPr>
          <w:p w14:paraId="6614CD56">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施工单位</w:t>
            </w:r>
          </w:p>
          <w:p w14:paraId="73E82D6F">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变更预算金额</w:t>
            </w:r>
          </w:p>
        </w:tc>
        <w:tc>
          <w:tcPr>
            <w:tcW w:w="3529" w:type="dxa"/>
            <w:noWrap w:val="0"/>
            <w:vAlign w:val="center"/>
          </w:tcPr>
          <w:p w14:paraId="1658C5AB">
            <w:pPr>
              <w:spacing w:line="360" w:lineRule="exact"/>
              <w:rPr>
                <w:rFonts w:hint="eastAsia" w:ascii="仿宋_GB2312" w:hAnsi="仿宋_GB2312" w:eastAsia="仿宋_GB2312" w:cs="仿宋_GB2312"/>
                <w:color w:val="auto"/>
                <w:sz w:val="32"/>
                <w:szCs w:val="32"/>
              </w:rPr>
            </w:pPr>
          </w:p>
        </w:tc>
        <w:tc>
          <w:tcPr>
            <w:tcW w:w="2334" w:type="dxa"/>
            <w:noWrap w:val="0"/>
            <w:vAlign w:val="center"/>
          </w:tcPr>
          <w:p w14:paraId="1DC23944">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变更审核单位</w:t>
            </w:r>
          </w:p>
          <w:p w14:paraId="6AAEA5E1">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变更金额</w:t>
            </w:r>
          </w:p>
        </w:tc>
        <w:tc>
          <w:tcPr>
            <w:tcW w:w="1423" w:type="dxa"/>
            <w:gridSpan w:val="2"/>
            <w:noWrap w:val="0"/>
            <w:vAlign w:val="center"/>
          </w:tcPr>
          <w:p w14:paraId="09CBAABD">
            <w:pPr>
              <w:spacing w:line="360" w:lineRule="exact"/>
              <w:rPr>
                <w:rFonts w:hint="eastAsia" w:ascii="仿宋_GB2312" w:hAnsi="仿宋_GB2312" w:eastAsia="仿宋_GB2312" w:cs="仿宋_GB2312"/>
                <w:color w:val="auto"/>
                <w:sz w:val="32"/>
                <w:szCs w:val="32"/>
              </w:rPr>
            </w:pPr>
          </w:p>
        </w:tc>
      </w:tr>
      <w:tr w14:paraId="2BBE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5" w:hRule="atLeast"/>
          <w:jc w:val="center"/>
        </w:trPr>
        <w:tc>
          <w:tcPr>
            <w:tcW w:w="2401" w:type="dxa"/>
            <w:gridSpan w:val="2"/>
            <w:noWrap w:val="0"/>
            <w:vAlign w:val="center"/>
          </w:tcPr>
          <w:p w14:paraId="11A39779">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工程变更原因</w:t>
            </w:r>
            <w:r>
              <w:rPr>
                <w:rFonts w:hint="eastAsia" w:ascii="仿宋_GB2312" w:hAnsi="仿宋_GB2312" w:eastAsia="仿宋_GB2312" w:cs="仿宋_GB2312"/>
                <w:color w:val="auto"/>
                <w:sz w:val="32"/>
                <w:szCs w:val="32"/>
                <w:lang w:eastAsia="zh-CN"/>
              </w:rPr>
              <w:t>（或理由）</w:t>
            </w:r>
          </w:p>
        </w:tc>
        <w:tc>
          <w:tcPr>
            <w:tcW w:w="7286" w:type="dxa"/>
            <w:gridSpan w:val="4"/>
            <w:noWrap w:val="0"/>
            <w:vAlign w:val="center"/>
          </w:tcPr>
          <w:p w14:paraId="46FB3674">
            <w:pPr>
              <w:spacing w:line="360" w:lineRule="exact"/>
              <w:rPr>
                <w:rFonts w:hint="eastAsia" w:ascii="仿宋_GB2312" w:hAnsi="仿宋_GB2312" w:eastAsia="仿宋_GB2312" w:cs="仿宋_GB2312"/>
                <w:color w:val="auto"/>
                <w:sz w:val="32"/>
                <w:szCs w:val="32"/>
              </w:rPr>
            </w:pPr>
          </w:p>
          <w:p w14:paraId="71D8DC29">
            <w:pPr>
              <w:spacing w:line="360" w:lineRule="exact"/>
              <w:rPr>
                <w:rFonts w:hint="eastAsia" w:ascii="仿宋_GB2312" w:hAnsi="仿宋_GB2312" w:eastAsia="仿宋_GB2312" w:cs="仿宋_GB2312"/>
                <w:color w:val="auto"/>
                <w:sz w:val="32"/>
                <w:szCs w:val="32"/>
              </w:rPr>
            </w:pPr>
          </w:p>
          <w:p w14:paraId="15B8FBC8">
            <w:pPr>
              <w:spacing w:line="360" w:lineRule="exact"/>
              <w:rPr>
                <w:rFonts w:hint="eastAsia" w:ascii="仿宋_GB2312" w:hAnsi="仿宋_GB2312" w:eastAsia="仿宋_GB2312" w:cs="仿宋_GB2312"/>
                <w:color w:val="auto"/>
                <w:sz w:val="32"/>
                <w:szCs w:val="32"/>
              </w:rPr>
            </w:pPr>
          </w:p>
          <w:p w14:paraId="1298F6CE">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3A42759">
            <w:pPr>
              <w:spacing w:line="360" w:lineRule="exact"/>
              <w:ind w:firstLine="4800" w:firstLineChars="1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项目业主</w:t>
            </w:r>
            <w:r>
              <w:rPr>
                <w:rFonts w:hint="eastAsia" w:ascii="仿宋_GB2312" w:hAnsi="仿宋_GB2312" w:eastAsia="仿宋_GB2312" w:cs="仿宋_GB2312"/>
                <w:color w:val="auto"/>
                <w:sz w:val="32"/>
                <w:szCs w:val="32"/>
              </w:rPr>
              <w:t xml:space="preserve">公章） </w:t>
            </w:r>
          </w:p>
          <w:p w14:paraId="387E325B">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tc>
      </w:tr>
      <w:tr w14:paraId="6E26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5" w:hRule="atLeast"/>
          <w:jc w:val="center"/>
        </w:trPr>
        <w:tc>
          <w:tcPr>
            <w:tcW w:w="2401" w:type="dxa"/>
            <w:gridSpan w:val="2"/>
            <w:noWrap w:val="0"/>
            <w:vAlign w:val="center"/>
          </w:tcPr>
          <w:p w14:paraId="76178B8A">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工程变更内容</w:t>
            </w:r>
            <w:r>
              <w:rPr>
                <w:rFonts w:hint="eastAsia" w:ascii="仿宋_GB2312" w:hAnsi="仿宋_GB2312" w:eastAsia="仿宋_GB2312" w:cs="仿宋_GB2312"/>
                <w:color w:val="auto"/>
                <w:sz w:val="32"/>
                <w:szCs w:val="32"/>
                <w:lang w:eastAsia="zh-CN"/>
              </w:rPr>
              <w:t>和方案</w:t>
            </w:r>
            <w:r>
              <w:rPr>
                <w:rFonts w:hint="eastAsia" w:ascii="仿宋_GB2312" w:hAnsi="仿宋_GB2312" w:eastAsia="仿宋_GB2312" w:cs="仿宋_GB2312"/>
                <w:color w:val="auto"/>
                <w:sz w:val="32"/>
                <w:szCs w:val="32"/>
              </w:rPr>
              <w:t>(可另附)</w:t>
            </w:r>
          </w:p>
        </w:tc>
        <w:tc>
          <w:tcPr>
            <w:tcW w:w="7286" w:type="dxa"/>
            <w:gridSpan w:val="4"/>
            <w:noWrap w:val="0"/>
            <w:vAlign w:val="center"/>
          </w:tcPr>
          <w:p w14:paraId="3324B45B">
            <w:pPr>
              <w:spacing w:line="360" w:lineRule="exact"/>
              <w:rPr>
                <w:rFonts w:hint="eastAsia" w:ascii="仿宋_GB2312" w:hAnsi="仿宋_GB2312" w:eastAsia="仿宋_GB2312" w:cs="仿宋_GB2312"/>
                <w:color w:val="auto"/>
                <w:sz w:val="32"/>
                <w:szCs w:val="32"/>
              </w:rPr>
            </w:pPr>
          </w:p>
        </w:tc>
      </w:tr>
      <w:tr w14:paraId="283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30" w:hRule="atLeast"/>
          <w:jc w:val="center"/>
        </w:trPr>
        <w:tc>
          <w:tcPr>
            <w:tcW w:w="2401" w:type="dxa"/>
            <w:gridSpan w:val="2"/>
            <w:noWrap w:val="0"/>
            <w:vAlign w:val="center"/>
          </w:tcPr>
          <w:p w14:paraId="4971A08E">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设计单位(地质等原因产生变更时，应由勘察单位共同签章)</w:t>
            </w:r>
          </w:p>
        </w:tc>
        <w:tc>
          <w:tcPr>
            <w:tcW w:w="7286" w:type="dxa"/>
            <w:gridSpan w:val="4"/>
            <w:noWrap w:val="0"/>
            <w:vAlign w:val="center"/>
          </w:tcPr>
          <w:p w14:paraId="34762DC1">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w:t>
            </w:r>
            <w:r>
              <w:rPr>
                <w:rFonts w:hint="eastAsia" w:ascii="仿宋_GB2312" w:hAnsi="仿宋_GB2312" w:eastAsia="仿宋_GB2312" w:cs="仿宋_GB2312"/>
                <w:color w:val="auto"/>
                <w:sz w:val="32"/>
                <w:szCs w:val="32"/>
                <w:lang w:eastAsia="zh-CN"/>
              </w:rPr>
              <w:t>意见：</w:t>
            </w:r>
          </w:p>
          <w:p w14:paraId="572153AD">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14:paraId="586FB95E">
            <w:pPr>
              <w:spacing w:line="360" w:lineRule="exact"/>
              <w:rPr>
                <w:rFonts w:hint="eastAsia" w:ascii="仿宋_GB2312" w:hAnsi="仿宋_GB2312" w:eastAsia="仿宋_GB2312" w:cs="仿宋_GB2312"/>
                <w:color w:val="auto"/>
                <w:sz w:val="32"/>
                <w:szCs w:val="32"/>
              </w:rPr>
            </w:pPr>
          </w:p>
          <w:p w14:paraId="52B0CC3C">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审批人</w:t>
            </w:r>
            <w:r>
              <w:rPr>
                <w:rFonts w:hint="eastAsia" w:ascii="仿宋_GB2312" w:hAnsi="仿宋_GB2312" w:eastAsia="仿宋_GB2312" w:cs="仿宋_GB2312"/>
                <w:color w:val="auto"/>
                <w:sz w:val="32"/>
                <w:szCs w:val="32"/>
                <w:lang w:eastAsia="zh-CN"/>
              </w:rPr>
              <w:t>意见：</w:t>
            </w:r>
          </w:p>
          <w:p w14:paraId="10E18ACB">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                           年  月  日</w:t>
            </w:r>
          </w:p>
          <w:p w14:paraId="63B660D1">
            <w:pPr>
              <w:spacing w:line="36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（公章）</w:t>
            </w:r>
          </w:p>
        </w:tc>
      </w:tr>
      <w:tr w14:paraId="62CB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5" w:hRule="atLeast"/>
          <w:jc w:val="center"/>
        </w:trPr>
        <w:tc>
          <w:tcPr>
            <w:tcW w:w="2401" w:type="dxa"/>
            <w:gridSpan w:val="2"/>
            <w:noWrap w:val="0"/>
            <w:vAlign w:val="center"/>
          </w:tcPr>
          <w:p w14:paraId="7BDE84EA">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监理单位</w:t>
            </w:r>
          </w:p>
        </w:tc>
        <w:tc>
          <w:tcPr>
            <w:tcW w:w="7286" w:type="dxa"/>
            <w:gridSpan w:val="4"/>
            <w:noWrap w:val="0"/>
            <w:vAlign w:val="center"/>
          </w:tcPr>
          <w:p w14:paraId="0AC5D532">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w:t>
            </w:r>
            <w:r>
              <w:rPr>
                <w:rFonts w:hint="eastAsia" w:ascii="仿宋_GB2312" w:hAnsi="仿宋_GB2312" w:eastAsia="仿宋_GB2312" w:cs="仿宋_GB2312"/>
                <w:color w:val="auto"/>
                <w:sz w:val="32"/>
                <w:szCs w:val="32"/>
                <w:lang w:eastAsia="zh-CN"/>
              </w:rPr>
              <w:t>意见：</w:t>
            </w:r>
          </w:p>
          <w:p w14:paraId="3301A25F">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14:paraId="2F301996">
            <w:pPr>
              <w:spacing w:line="360" w:lineRule="exact"/>
              <w:rPr>
                <w:rFonts w:hint="eastAsia" w:ascii="仿宋_GB2312" w:hAnsi="仿宋_GB2312" w:eastAsia="仿宋_GB2312" w:cs="仿宋_GB2312"/>
                <w:color w:val="auto"/>
                <w:sz w:val="32"/>
                <w:szCs w:val="32"/>
              </w:rPr>
            </w:pPr>
          </w:p>
          <w:p w14:paraId="2CA35C7D">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审批人</w:t>
            </w:r>
            <w:r>
              <w:rPr>
                <w:rFonts w:hint="eastAsia" w:ascii="仿宋_GB2312" w:hAnsi="仿宋_GB2312" w:eastAsia="仿宋_GB2312" w:cs="仿宋_GB2312"/>
                <w:color w:val="auto"/>
                <w:sz w:val="32"/>
                <w:szCs w:val="32"/>
                <w:lang w:eastAsia="zh-CN"/>
              </w:rPr>
              <w:t>意见：</w:t>
            </w:r>
          </w:p>
          <w:p w14:paraId="764E3C67">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                           年  月  日</w:t>
            </w:r>
          </w:p>
          <w:p w14:paraId="62BF6D7C">
            <w:pPr>
              <w:spacing w:line="360" w:lineRule="exact"/>
              <w:ind w:firstLine="5920" w:firstLineChars="18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（公章）</w:t>
            </w:r>
          </w:p>
        </w:tc>
      </w:tr>
      <w:tr w14:paraId="415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0" w:hRule="atLeast"/>
          <w:jc w:val="center"/>
        </w:trPr>
        <w:tc>
          <w:tcPr>
            <w:tcW w:w="2401" w:type="dxa"/>
            <w:gridSpan w:val="2"/>
            <w:noWrap w:val="0"/>
            <w:vAlign w:val="center"/>
          </w:tcPr>
          <w:p w14:paraId="5BE96FE4">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变更审核</w:t>
            </w:r>
            <w:r>
              <w:rPr>
                <w:rFonts w:hint="eastAsia" w:ascii="仿宋_GB2312" w:hAnsi="仿宋_GB2312" w:eastAsia="仿宋_GB2312" w:cs="仿宋_GB2312"/>
                <w:color w:val="auto"/>
                <w:sz w:val="32"/>
                <w:szCs w:val="32"/>
                <w:lang w:eastAsia="zh-CN"/>
              </w:rPr>
              <w:t>单位</w:t>
            </w:r>
          </w:p>
        </w:tc>
        <w:tc>
          <w:tcPr>
            <w:tcW w:w="7286" w:type="dxa"/>
            <w:gridSpan w:val="4"/>
            <w:noWrap w:val="0"/>
            <w:vAlign w:val="center"/>
          </w:tcPr>
          <w:p w14:paraId="691FAD15">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w:t>
            </w:r>
            <w:r>
              <w:rPr>
                <w:rFonts w:hint="eastAsia" w:ascii="仿宋_GB2312" w:hAnsi="仿宋_GB2312" w:eastAsia="仿宋_GB2312" w:cs="仿宋_GB2312"/>
                <w:color w:val="auto"/>
                <w:sz w:val="32"/>
                <w:szCs w:val="32"/>
                <w:lang w:eastAsia="zh-CN"/>
              </w:rPr>
              <w:t>意见：</w:t>
            </w:r>
          </w:p>
          <w:p w14:paraId="7F421C1A">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14:paraId="6C278BCF">
            <w:pPr>
              <w:spacing w:line="360" w:lineRule="exact"/>
              <w:rPr>
                <w:rFonts w:hint="eastAsia" w:ascii="仿宋_GB2312" w:hAnsi="仿宋_GB2312" w:eastAsia="仿宋_GB2312" w:cs="仿宋_GB2312"/>
                <w:color w:val="auto"/>
                <w:sz w:val="32"/>
                <w:szCs w:val="32"/>
              </w:rPr>
            </w:pPr>
          </w:p>
          <w:p w14:paraId="7A01F389">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审批人</w:t>
            </w:r>
            <w:r>
              <w:rPr>
                <w:rFonts w:hint="eastAsia" w:ascii="仿宋_GB2312" w:hAnsi="仿宋_GB2312" w:eastAsia="仿宋_GB2312" w:cs="仿宋_GB2312"/>
                <w:color w:val="auto"/>
                <w:sz w:val="32"/>
                <w:szCs w:val="32"/>
                <w:lang w:eastAsia="zh-CN"/>
              </w:rPr>
              <w:t>意见：</w:t>
            </w:r>
          </w:p>
          <w:p w14:paraId="1746CE29">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                           年  月  日</w:t>
            </w:r>
          </w:p>
          <w:p w14:paraId="3B35D07C">
            <w:pPr>
              <w:spacing w:line="36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（公章）</w:t>
            </w:r>
          </w:p>
        </w:tc>
      </w:tr>
      <w:tr w14:paraId="172E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5" w:hRule="atLeast"/>
          <w:jc w:val="center"/>
        </w:trPr>
        <w:tc>
          <w:tcPr>
            <w:tcW w:w="2401" w:type="dxa"/>
            <w:gridSpan w:val="2"/>
            <w:noWrap w:val="0"/>
            <w:vAlign w:val="center"/>
          </w:tcPr>
          <w:p w14:paraId="34F5C31D">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项目业主</w:t>
            </w:r>
          </w:p>
        </w:tc>
        <w:tc>
          <w:tcPr>
            <w:tcW w:w="7286" w:type="dxa"/>
            <w:gridSpan w:val="4"/>
            <w:noWrap w:val="0"/>
            <w:vAlign w:val="center"/>
          </w:tcPr>
          <w:p w14:paraId="1B95167B">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w:t>
            </w:r>
            <w:r>
              <w:rPr>
                <w:rFonts w:hint="eastAsia" w:ascii="仿宋_GB2312" w:hAnsi="仿宋_GB2312" w:eastAsia="仿宋_GB2312" w:cs="仿宋_GB2312"/>
                <w:color w:val="auto"/>
                <w:sz w:val="32"/>
                <w:szCs w:val="32"/>
                <w:lang w:eastAsia="zh-CN"/>
              </w:rPr>
              <w:t>意见：</w:t>
            </w:r>
          </w:p>
          <w:p w14:paraId="60390AB7">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14:paraId="0FBE304B">
            <w:pPr>
              <w:spacing w:line="360" w:lineRule="exact"/>
              <w:rPr>
                <w:rFonts w:hint="eastAsia" w:ascii="仿宋_GB2312" w:hAnsi="仿宋_GB2312" w:eastAsia="仿宋_GB2312" w:cs="仿宋_GB2312"/>
                <w:color w:val="auto"/>
                <w:sz w:val="32"/>
                <w:szCs w:val="32"/>
              </w:rPr>
            </w:pPr>
          </w:p>
          <w:p w14:paraId="37C16818">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审批人</w:t>
            </w:r>
            <w:r>
              <w:rPr>
                <w:rFonts w:hint="eastAsia" w:ascii="仿宋_GB2312" w:hAnsi="仿宋_GB2312" w:eastAsia="仿宋_GB2312" w:cs="仿宋_GB2312"/>
                <w:color w:val="auto"/>
                <w:sz w:val="32"/>
                <w:szCs w:val="32"/>
                <w:lang w:eastAsia="zh-CN"/>
              </w:rPr>
              <w:t>意见：</w:t>
            </w:r>
          </w:p>
          <w:p w14:paraId="1826D836">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                           年  月  日</w:t>
            </w:r>
          </w:p>
          <w:p w14:paraId="673E3A68">
            <w:pPr>
              <w:spacing w:line="360" w:lineRule="exact"/>
              <w:ind w:firstLine="5440"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（公章）</w:t>
            </w:r>
          </w:p>
        </w:tc>
      </w:tr>
      <w:tr w14:paraId="6437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5" w:hRule="atLeast"/>
          <w:jc w:val="center"/>
        </w:trPr>
        <w:tc>
          <w:tcPr>
            <w:tcW w:w="2401" w:type="dxa"/>
            <w:gridSpan w:val="2"/>
            <w:noWrap w:val="0"/>
            <w:vAlign w:val="center"/>
          </w:tcPr>
          <w:p w14:paraId="0D0E39D4">
            <w:pPr>
              <w:spacing w:line="3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项目业主主管部门</w:t>
            </w:r>
          </w:p>
        </w:tc>
        <w:tc>
          <w:tcPr>
            <w:tcW w:w="7286" w:type="dxa"/>
            <w:gridSpan w:val="4"/>
            <w:noWrap w:val="0"/>
            <w:vAlign w:val="center"/>
          </w:tcPr>
          <w:p w14:paraId="0E6247E4">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w:t>
            </w:r>
            <w:r>
              <w:rPr>
                <w:rFonts w:hint="eastAsia" w:ascii="仿宋_GB2312" w:hAnsi="仿宋_GB2312" w:eastAsia="仿宋_GB2312" w:cs="仿宋_GB2312"/>
                <w:color w:val="auto"/>
                <w:sz w:val="32"/>
                <w:szCs w:val="32"/>
                <w:lang w:eastAsia="zh-CN"/>
              </w:rPr>
              <w:t>意见：</w:t>
            </w:r>
          </w:p>
          <w:p w14:paraId="2D24DD96">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14:paraId="46C97389">
            <w:pPr>
              <w:spacing w:line="360" w:lineRule="exact"/>
              <w:rPr>
                <w:rFonts w:hint="eastAsia" w:ascii="仿宋_GB2312" w:hAnsi="仿宋_GB2312" w:eastAsia="仿宋_GB2312" w:cs="仿宋_GB2312"/>
                <w:color w:val="auto"/>
                <w:sz w:val="32"/>
                <w:szCs w:val="32"/>
              </w:rPr>
            </w:pPr>
          </w:p>
          <w:p w14:paraId="71EDA860">
            <w:pPr>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审批人</w:t>
            </w:r>
            <w:r>
              <w:rPr>
                <w:rFonts w:hint="eastAsia" w:ascii="仿宋_GB2312" w:hAnsi="仿宋_GB2312" w:eastAsia="仿宋_GB2312" w:cs="仿宋_GB2312"/>
                <w:color w:val="auto"/>
                <w:sz w:val="32"/>
                <w:szCs w:val="32"/>
                <w:lang w:eastAsia="zh-CN"/>
              </w:rPr>
              <w:t>意见：</w:t>
            </w:r>
          </w:p>
          <w:p w14:paraId="03FEA18B">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                           年  月  日</w:t>
            </w:r>
          </w:p>
          <w:p w14:paraId="6D415474">
            <w:pPr>
              <w:spacing w:line="360" w:lineRule="exact"/>
              <w:ind w:firstLine="5440"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（公章）</w:t>
            </w:r>
          </w:p>
        </w:tc>
      </w:tr>
      <w:tr w14:paraId="49F9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0" w:hRule="atLeast"/>
          <w:jc w:val="center"/>
        </w:trPr>
        <w:tc>
          <w:tcPr>
            <w:tcW w:w="829" w:type="dxa"/>
            <w:noWrap w:val="0"/>
            <w:vAlign w:val="center"/>
          </w:tcPr>
          <w:p w14:paraId="427A07D7">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w:t>
            </w:r>
          </w:p>
          <w:p w14:paraId="2429A339">
            <w:pPr>
              <w:spacing w:line="360" w:lineRule="exact"/>
              <w:jc w:val="center"/>
              <w:rPr>
                <w:rFonts w:hint="eastAsia" w:ascii="仿宋_GB2312" w:hAnsi="仿宋_GB2312" w:eastAsia="仿宋_GB2312" w:cs="仿宋_GB2312"/>
                <w:color w:val="auto"/>
                <w:sz w:val="32"/>
                <w:szCs w:val="32"/>
              </w:rPr>
            </w:pPr>
          </w:p>
          <w:p w14:paraId="007E14FC">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意见</w:t>
            </w:r>
          </w:p>
        </w:tc>
        <w:tc>
          <w:tcPr>
            <w:tcW w:w="8858" w:type="dxa"/>
            <w:gridSpan w:val="5"/>
            <w:noWrap w:val="0"/>
            <w:vAlign w:val="top"/>
          </w:tcPr>
          <w:p w14:paraId="3A9781C5">
            <w:pPr>
              <w:spacing w:line="360" w:lineRule="exact"/>
              <w:jc w:val="left"/>
              <w:rPr>
                <w:rFonts w:hint="eastAsia" w:ascii="仿宋_GB2312" w:hAnsi="仿宋_GB2312" w:eastAsia="仿宋_GB2312" w:cs="仿宋_GB2312"/>
                <w:color w:val="auto"/>
                <w:sz w:val="32"/>
                <w:szCs w:val="32"/>
                <w:lang w:eastAsia="zh-CN"/>
              </w:rPr>
            </w:pPr>
          </w:p>
          <w:p w14:paraId="641BBB75">
            <w:pPr>
              <w:spacing w:line="3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变更事项：</w:t>
            </w:r>
          </w:p>
          <w:p w14:paraId="7956936F">
            <w:pPr>
              <w:spacing w:line="360" w:lineRule="exact"/>
              <w:jc w:val="left"/>
              <w:rPr>
                <w:rFonts w:hint="eastAsia" w:ascii="仿宋_GB2312" w:hAnsi="仿宋_GB2312" w:eastAsia="仿宋_GB2312" w:cs="仿宋_GB2312"/>
                <w:color w:val="auto"/>
                <w:sz w:val="32"/>
                <w:szCs w:val="32"/>
              </w:rPr>
            </w:pPr>
          </w:p>
          <w:p w14:paraId="4B1A63C8">
            <w:pPr>
              <w:spacing w:line="3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3260A55C">
            <w:pPr>
              <w:spacing w:line="36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14:paraId="02D7E5C6">
            <w:pPr>
              <w:spacing w:line="3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02B5B1FC">
            <w:pPr>
              <w:spacing w:line="360" w:lineRule="exact"/>
              <w:jc w:val="left"/>
              <w:rPr>
                <w:rFonts w:hint="eastAsia" w:ascii="仿宋_GB2312" w:hAnsi="仿宋_GB2312" w:eastAsia="仿宋_GB2312" w:cs="仿宋_GB2312"/>
                <w:color w:val="auto"/>
                <w:sz w:val="32"/>
                <w:szCs w:val="32"/>
              </w:rPr>
            </w:pPr>
          </w:p>
          <w:p w14:paraId="4AECA23B">
            <w:pPr>
              <w:spacing w:line="360" w:lineRule="exact"/>
              <w:jc w:val="left"/>
              <w:rPr>
                <w:rFonts w:hint="eastAsia" w:ascii="仿宋_GB2312" w:hAnsi="仿宋_GB2312" w:eastAsia="仿宋_GB2312" w:cs="仿宋_GB2312"/>
                <w:color w:val="auto"/>
                <w:sz w:val="32"/>
                <w:szCs w:val="32"/>
              </w:rPr>
            </w:pPr>
          </w:p>
          <w:p w14:paraId="354DDB96">
            <w:pPr>
              <w:spacing w:line="360" w:lineRule="exact"/>
              <w:jc w:val="left"/>
              <w:rPr>
                <w:rFonts w:hint="eastAsia" w:ascii="仿宋_GB2312" w:hAnsi="仿宋_GB2312" w:eastAsia="仿宋_GB2312" w:cs="仿宋_GB2312"/>
                <w:color w:val="auto"/>
                <w:sz w:val="32"/>
                <w:szCs w:val="32"/>
              </w:rPr>
            </w:pPr>
          </w:p>
          <w:p w14:paraId="03347E66">
            <w:pPr>
              <w:spacing w:line="360" w:lineRule="exact"/>
              <w:jc w:val="left"/>
              <w:rPr>
                <w:rFonts w:hint="eastAsia" w:ascii="仿宋_GB2312" w:hAnsi="仿宋_GB2312" w:eastAsia="仿宋_GB2312" w:cs="仿宋_GB2312"/>
                <w:color w:val="auto"/>
                <w:sz w:val="32"/>
                <w:szCs w:val="32"/>
              </w:rPr>
            </w:pPr>
          </w:p>
          <w:p w14:paraId="4C1A3157">
            <w:pPr>
              <w:spacing w:line="360" w:lineRule="exact"/>
              <w:jc w:val="left"/>
              <w:rPr>
                <w:rFonts w:hint="eastAsia" w:ascii="仿宋_GB2312" w:hAnsi="仿宋_GB2312" w:eastAsia="仿宋_GB2312" w:cs="仿宋_GB2312"/>
                <w:color w:val="auto"/>
                <w:sz w:val="32"/>
                <w:szCs w:val="32"/>
              </w:rPr>
            </w:pPr>
          </w:p>
          <w:p w14:paraId="52E45115">
            <w:pPr>
              <w:spacing w:line="3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p>
          <w:p w14:paraId="288F03E7">
            <w:pPr>
              <w:spacing w:line="360" w:lineRule="exact"/>
              <w:ind w:firstLine="7040" w:firstLineChars="2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tc>
      </w:tr>
      <w:tr w14:paraId="65E0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4" w:hRule="atLeast"/>
          <w:jc w:val="center"/>
        </w:trPr>
        <w:tc>
          <w:tcPr>
            <w:tcW w:w="829" w:type="dxa"/>
            <w:noWrap w:val="0"/>
            <w:vAlign w:val="center"/>
          </w:tcPr>
          <w:p w14:paraId="5E7BADB1">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联审办</w:t>
            </w:r>
            <w:r>
              <w:rPr>
                <w:rFonts w:hint="eastAsia" w:ascii="仿宋_GB2312" w:hAnsi="仿宋_GB2312" w:eastAsia="仿宋_GB2312" w:cs="仿宋_GB2312"/>
                <w:color w:val="auto"/>
                <w:sz w:val="32"/>
                <w:szCs w:val="32"/>
              </w:rPr>
              <w:t>现场</w:t>
            </w:r>
          </w:p>
          <w:p w14:paraId="4EA2A026">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审核</w:t>
            </w:r>
          </w:p>
          <w:p w14:paraId="00017C61">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w:t>
            </w:r>
          </w:p>
          <w:p w14:paraId="1D98A947">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意见</w:t>
            </w:r>
          </w:p>
        </w:tc>
        <w:tc>
          <w:tcPr>
            <w:tcW w:w="8858" w:type="dxa"/>
            <w:gridSpan w:val="5"/>
            <w:noWrap w:val="0"/>
            <w:vAlign w:val="center"/>
          </w:tcPr>
          <w:p w14:paraId="596EF198">
            <w:pPr>
              <w:spacing w:line="360" w:lineRule="exact"/>
              <w:ind w:firstLine="160" w:firstLineChars="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审核人员意见：</w:t>
            </w:r>
          </w:p>
          <w:p w14:paraId="100CA26F">
            <w:pPr>
              <w:spacing w:line="360" w:lineRule="exact"/>
              <w:jc w:val="center"/>
              <w:rPr>
                <w:rFonts w:hint="eastAsia" w:ascii="仿宋_GB2312" w:hAnsi="仿宋_GB2312" w:eastAsia="仿宋_GB2312" w:cs="仿宋_GB2312"/>
                <w:color w:val="auto"/>
                <w:sz w:val="32"/>
                <w:szCs w:val="32"/>
              </w:rPr>
            </w:pPr>
          </w:p>
          <w:p w14:paraId="4B146C67">
            <w:pPr>
              <w:spacing w:line="360" w:lineRule="exact"/>
              <w:jc w:val="center"/>
              <w:rPr>
                <w:rFonts w:hint="eastAsia" w:ascii="仿宋_GB2312" w:hAnsi="仿宋_GB2312" w:eastAsia="仿宋_GB2312" w:cs="仿宋_GB2312"/>
                <w:color w:val="auto"/>
                <w:sz w:val="32"/>
                <w:szCs w:val="32"/>
              </w:rPr>
            </w:pPr>
          </w:p>
          <w:p w14:paraId="642F8375">
            <w:pPr>
              <w:spacing w:line="360" w:lineRule="exact"/>
              <w:jc w:val="center"/>
              <w:rPr>
                <w:rFonts w:hint="eastAsia" w:ascii="仿宋_GB2312" w:hAnsi="仿宋_GB2312" w:eastAsia="仿宋_GB2312" w:cs="仿宋_GB2312"/>
                <w:color w:val="auto"/>
                <w:sz w:val="32"/>
                <w:szCs w:val="32"/>
              </w:rPr>
            </w:pPr>
          </w:p>
          <w:p w14:paraId="4DDDCBE7">
            <w:pPr>
              <w:spacing w:line="360" w:lineRule="exact"/>
              <w:jc w:val="center"/>
              <w:rPr>
                <w:rFonts w:hint="eastAsia" w:ascii="仿宋_GB2312" w:hAnsi="仿宋_GB2312" w:eastAsia="仿宋_GB2312" w:cs="仿宋_GB2312"/>
                <w:color w:val="auto"/>
                <w:sz w:val="32"/>
                <w:szCs w:val="32"/>
              </w:rPr>
            </w:pPr>
          </w:p>
          <w:p w14:paraId="189D694A">
            <w:pPr>
              <w:spacing w:line="360" w:lineRule="exact"/>
              <w:jc w:val="center"/>
              <w:rPr>
                <w:rFonts w:hint="eastAsia" w:ascii="仿宋_GB2312" w:hAnsi="仿宋_GB2312" w:eastAsia="仿宋_GB2312" w:cs="仿宋_GB2312"/>
                <w:color w:val="auto"/>
                <w:sz w:val="32"/>
                <w:szCs w:val="32"/>
              </w:rPr>
            </w:pPr>
          </w:p>
          <w:p w14:paraId="72177F50">
            <w:pPr>
              <w:spacing w:line="360" w:lineRule="exact"/>
              <w:jc w:val="center"/>
              <w:rPr>
                <w:rFonts w:hint="eastAsia" w:ascii="仿宋_GB2312" w:hAnsi="仿宋_GB2312" w:eastAsia="仿宋_GB2312" w:cs="仿宋_GB2312"/>
                <w:color w:val="auto"/>
                <w:sz w:val="32"/>
                <w:szCs w:val="32"/>
              </w:rPr>
            </w:pPr>
          </w:p>
          <w:p w14:paraId="5B6B0D37">
            <w:pPr>
              <w:spacing w:line="360" w:lineRule="exact"/>
              <w:jc w:val="both"/>
              <w:rPr>
                <w:rFonts w:hint="eastAsia" w:ascii="仿宋_GB2312" w:hAnsi="仿宋_GB2312" w:eastAsia="仿宋_GB2312" w:cs="仿宋_GB2312"/>
                <w:color w:val="auto"/>
                <w:sz w:val="32"/>
                <w:szCs w:val="32"/>
              </w:rPr>
            </w:pPr>
          </w:p>
          <w:p w14:paraId="166442FF">
            <w:pPr>
              <w:spacing w:line="3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审核人员签</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 xml:space="preserve">：                                     </w:t>
            </w:r>
          </w:p>
          <w:p w14:paraId="7419B846">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tc>
      </w:tr>
      <w:tr w14:paraId="21B9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5" w:hRule="atLeast"/>
          <w:jc w:val="center"/>
        </w:trPr>
        <w:tc>
          <w:tcPr>
            <w:tcW w:w="829" w:type="dxa"/>
            <w:noWrap w:val="0"/>
            <w:vAlign w:val="center"/>
          </w:tcPr>
          <w:p w14:paraId="3A1E3FD3">
            <w:pPr>
              <w:spacing w:line="3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市联审领导小组</w:t>
            </w:r>
          </w:p>
          <w:p w14:paraId="650838F2">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意见</w:t>
            </w:r>
          </w:p>
        </w:tc>
        <w:tc>
          <w:tcPr>
            <w:tcW w:w="8858" w:type="dxa"/>
            <w:gridSpan w:val="5"/>
            <w:noWrap w:val="0"/>
            <w:vAlign w:val="center"/>
          </w:tcPr>
          <w:p w14:paraId="72548255">
            <w:pPr>
              <w:widowControl/>
              <w:spacing w:line="360" w:lineRule="exact"/>
              <w:jc w:val="center"/>
              <w:rPr>
                <w:rFonts w:hint="eastAsia" w:ascii="仿宋_GB2312" w:hAnsi="仿宋_GB2312" w:eastAsia="仿宋_GB2312" w:cs="仿宋_GB2312"/>
                <w:color w:val="auto"/>
                <w:sz w:val="32"/>
                <w:szCs w:val="32"/>
              </w:rPr>
            </w:pPr>
          </w:p>
          <w:p w14:paraId="66A734BD">
            <w:pPr>
              <w:spacing w:line="3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附文号</w:t>
            </w:r>
          </w:p>
          <w:p w14:paraId="4445A13C">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152CE06">
            <w:pPr>
              <w:widowControl/>
              <w:spacing w:line="3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日 </w:t>
            </w:r>
          </w:p>
          <w:p w14:paraId="371C18F5">
            <w:pPr>
              <w:widowControl/>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tc>
      </w:tr>
    </w:tbl>
    <w:p w14:paraId="51DA5B94">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备注：本表一式</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份</w:t>
      </w:r>
    </w:p>
    <w:p w14:paraId="51FBAAAC">
      <w:pPr>
        <w:spacing w:line="560" w:lineRule="exact"/>
        <w:rPr>
          <w:rFonts w:hint="eastAsia" w:ascii="仿宋_GB2312" w:hAnsi="仿宋_GB2312" w:eastAsia="仿宋_GB2312" w:cs="仿宋_GB2312"/>
          <w:color w:val="auto"/>
          <w:sz w:val="32"/>
          <w:szCs w:val="32"/>
          <w:lang w:eastAsia="zh-CN"/>
        </w:rPr>
      </w:pPr>
    </w:p>
    <w:p w14:paraId="21A1361A">
      <w:pPr>
        <w:spacing w:line="560" w:lineRule="exact"/>
        <w:rPr>
          <w:rFonts w:hint="eastAsia" w:ascii="黑体" w:hAnsi="黑体" w:eastAsia="黑体" w:cs="黑体"/>
          <w:color w:val="auto"/>
          <w:sz w:val="32"/>
          <w:szCs w:val="32"/>
          <w:lang w:eastAsia="zh-CN"/>
        </w:rPr>
      </w:pPr>
    </w:p>
    <w:p w14:paraId="627BD10C">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14:paraId="30662C8D">
      <w:pPr>
        <w:spacing w:line="4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行业主管部门意见</w:t>
      </w:r>
    </w:p>
    <w:p w14:paraId="698FED33">
      <w:pPr>
        <w:spacing w:line="4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编号：</w:t>
      </w:r>
      <w:r>
        <w:rPr>
          <w:rFonts w:hint="eastAsia" w:ascii="仿宋_GB2312" w:hAnsi="仿宋_GB2312" w:eastAsia="仿宋_GB2312" w:cs="仿宋_GB2312"/>
          <w:color w:val="auto"/>
          <w:sz w:val="32"/>
          <w:szCs w:val="32"/>
          <w:lang w:val="en-US" w:eastAsia="zh-CN"/>
        </w:rPr>
        <w:t xml:space="preserve">                                    单位：万元</w:t>
      </w:r>
    </w:p>
    <w:tbl>
      <w:tblPr>
        <w:tblStyle w:val="13"/>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559"/>
        <w:gridCol w:w="3371"/>
        <w:gridCol w:w="2343"/>
        <w:gridCol w:w="1414"/>
      </w:tblGrid>
      <w:tr w14:paraId="7D29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559" w:type="dxa"/>
            <w:vMerge w:val="restart"/>
            <w:noWrap w:val="0"/>
            <w:vAlign w:val="center"/>
          </w:tcPr>
          <w:p w14:paraId="117704DA">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3371" w:type="dxa"/>
            <w:vMerge w:val="restart"/>
            <w:noWrap w:val="0"/>
            <w:vAlign w:val="center"/>
          </w:tcPr>
          <w:p w14:paraId="6028A039">
            <w:pPr>
              <w:spacing w:line="360" w:lineRule="exact"/>
              <w:jc w:val="center"/>
              <w:rPr>
                <w:rFonts w:hint="eastAsia" w:ascii="仿宋_GB2312" w:hAnsi="仿宋_GB2312" w:eastAsia="仿宋_GB2312" w:cs="仿宋_GB2312"/>
                <w:color w:val="auto"/>
                <w:sz w:val="32"/>
                <w:szCs w:val="32"/>
              </w:rPr>
            </w:pPr>
          </w:p>
        </w:tc>
        <w:tc>
          <w:tcPr>
            <w:tcW w:w="2343" w:type="dxa"/>
            <w:noWrap w:val="0"/>
            <w:vAlign w:val="center"/>
          </w:tcPr>
          <w:p w14:paraId="4FCFBB19">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对应</w:t>
            </w:r>
            <w:r>
              <w:rPr>
                <w:rFonts w:hint="eastAsia" w:ascii="仿宋_GB2312" w:hAnsi="仿宋_GB2312" w:eastAsia="仿宋_GB2312" w:cs="仿宋_GB2312"/>
                <w:color w:val="auto"/>
                <w:sz w:val="32"/>
                <w:szCs w:val="32"/>
              </w:rPr>
              <w:t>概算</w:t>
            </w:r>
            <w:r>
              <w:rPr>
                <w:rFonts w:hint="eastAsia" w:ascii="仿宋_GB2312" w:hAnsi="仿宋_GB2312" w:eastAsia="仿宋_GB2312" w:cs="仿宋_GB2312"/>
                <w:color w:val="auto"/>
                <w:sz w:val="32"/>
                <w:szCs w:val="32"/>
                <w:lang w:eastAsia="zh-CN"/>
              </w:rPr>
              <w:t>建安费</w:t>
            </w:r>
          </w:p>
        </w:tc>
        <w:tc>
          <w:tcPr>
            <w:tcW w:w="1414" w:type="dxa"/>
            <w:noWrap w:val="0"/>
            <w:vAlign w:val="center"/>
          </w:tcPr>
          <w:p w14:paraId="44633D96">
            <w:pPr>
              <w:spacing w:line="360" w:lineRule="exact"/>
              <w:jc w:val="center"/>
              <w:rPr>
                <w:rFonts w:hint="eastAsia" w:ascii="仿宋_GB2312" w:hAnsi="仿宋_GB2312" w:eastAsia="仿宋_GB2312" w:cs="仿宋_GB2312"/>
                <w:color w:val="auto"/>
                <w:sz w:val="32"/>
                <w:szCs w:val="32"/>
              </w:rPr>
            </w:pPr>
          </w:p>
        </w:tc>
      </w:tr>
      <w:tr w14:paraId="63F9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2559" w:type="dxa"/>
            <w:vMerge w:val="continue"/>
            <w:noWrap w:val="0"/>
            <w:vAlign w:val="center"/>
          </w:tcPr>
          <w:p w14:paraId="36AB311D">
            <w:pPr>
              <w:spacing w:line="360" w:lineRule="exact"/>
              <w:jc w:val="center"/>
              <w:rPr>
                <w:rFonts w:hint="eastAsia" w:ascii="仿宋_GB2312" w:hAnsi="仿宋_GB2312" w:eastAsia="仿宋_GB2312" w:cs="仿宋_GB2312"/>
                <w:color w:val="auto"/>
                <w:sz w:val="32"/>
                <w:szCs w:val="32"/>
              </w:rPr>
            </w:pPr>
          </w:p>
        </w:tc>
        <w:tc>
          <w:tcPr>
            <w:tcW w:w="3371" w:type="dxa"/>
            <w:vMerge w:val="continue"/>
            <w:noWrap w:val="0"/>
            <w:vAlign w:val="center"/>
          </w:tcPr>
          <w:p w14:paraId="6E6D37D4">
            <w:pPr>
              <w:spacing w:line="360" w:lineRule="exact"/>
              <w:rPr>
                <w:rFonts w:hint="eastAsia" w:ascii="仿宋_GB2312" w:hAnsi="仿宋_GB2312" w:eastAsia="仿宋_GB2312" w:cs="仿宋_GB2312"/>
                <w:color w:val="auto"/>
                <w:sz w:val="32"/>
                <w:szCs w:val="32"/>
              </w:rPr>
            </w:pPr>
          </w:p>
        </w:tc>
        <w:tc>
          <w:tcPr>
            <w:tcW w:w="2343" w:type="dxa"/>
            <w:noWrap w:val="0"/>
            <w:vAlign w:val="center"/>
          </w:tcPr>
          <w:p w14:paraId="3CE4915A">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合同价</w:t>
            </w:r>
          </w:p>
        </w:tc>
        <w:tc>
          <w:tcPr>
            <w:tcW w:w="1414" w:type="dxa"/>
            <w:noWrap w:val="0"/>
            <w:vAlign w:val="center"/>
          </w:tcPr>
          <w:p w14:paraId="6B8D1DC7">
            <w:pPr>
              <w:spacing w:line="360" w:lineRule="exact"/>
              <w:rPr>
                <w:rFonts w:hint="eastAsia" w:ascii="仿宋_GB2312" w:hAnsi="仿宋_GB2312" w:eastAsia="仿宋_GB2312" w:cs="仿宋_GB2312"/>
                <w:color w:val="auto"/>
                <w:sz w:val="32"/>
                <w:szCs w:val="32"/>
              </w:rPr>
            </w:pPr>
          </w:p>
        </w:tc>
      </w:tr>
      <w:tr w14:paraId="4F3A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jc w:val="center"/>
        </w:trPr>
        <w:tc>
          <w:tcPr>
            <w:tcW w:w="2559" w:type="dxa"/>
            <w:noWrap w:val="0"/>
            <w:vAlign w:val="center"/>
          </w:tcPr>
          <w:p w14:paraId="0D4C7ACA">
            <w:pPr>
              <w:spacing w:line="3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变更事项</w:t>
            </w:r>
            <w:r>
              <w:rPr>
                <w:rFonts w:hint="eastAsia" w:ascii="仿宋_GB2312" w:hAnsi="仿宋_GB2312" w:eastAsia="仿宋_GB2312" w:cs="仿宋_GB2312"/>
                <w:color w:val="auto"/>
                <w:sz w:val="32"/>
                <w:szCs w:val="32"/>
                <w:lang w:eastAsia="zh-CN"/>
              </w:rPr>
              <w:t>名称</w:t>
            </w:r>
          </w:p>
        </w:tc>
        <w:tc>
          <w:tcPr>
            <w:tcW w:w="7128" w:type="dxa"/>
            <w:gridSpan w:val="3"/>
            <w:noWrap w:val="0"/>
            <w:vAlign w:val="center"/>
          </w:tcPr>
          <w:p w14:paraId="519EB1E7">
            <w:pPr>
              <w:spacing w:line="360" w:lineRule="exact"/>
              <w:rPr>
                <w:rFonts w:hint="eastAsia" w:ascii="仿宋_GB2312" w:hAnsi="仿宋_GB2312" w:eastAsia="仿宋_GB2312" w:cs="仿宋_GB2312"/>
                <w:color w:val="auto"/>
                <w:sz w:val="32"/>
                <w:szCs w:val="32"/>
              </w:rPr>
            </w:pPr>
          </w:p>
        </w:tc>
      </w:tr>
      <w:tr w14:paraId="552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0" w:hRule="atLeast"/>
          <w:jc w:val="center"/>
        </w:trPr>
        <w:tc>
          <w:tcPr>
            <w:tcW w:w="9687" w:type="dxa"/>
            <w:gridSpan w:val="4"/>
            <w:noWrap w:val="0"/>
            <w:vAlign w:val="center"/>
          </w:tcPr>
          <w:p w14:paraId="1342B9CA">
            <w:pPr>
              <w:spacing w:line="3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对变更内容和方案提出意见：</w:t>
            </w:r>
          </w:p>
          <w:p w14:paraId="491C730C">
            <w:pPr>
              <w:spacing w:line="360" w:lineRule="exact"/>
              <w:rPr>
                <w:rFonts w:hint="eastAsia" w:ascii="仿宋_GB2312" w:hAnsi="仿宋_GB2312" w:eastAsia="仿宋_GB2312" w:cs="仿宋_GB2312"/>
                <w:color w:val="auto"/>
                <w:sz w:val="32"/>
                <w:szCs w:val="32"/>
              </w:rPr>
            </w:pPr>
          </w:p>
          <w:p w14:paraId="45558C2C">
            <w:pPr>
              <w:spacing w:line="360" w:lineRule="exact"/>
              <w:rPr>
                <w:rFonts w:hint="eastAsia" w:ascii="仿宋_GB2312" w:hAnsi="仿宋_GB2312" w:eastAsia="仿宋_GB2312" w:cs="仿宋_GB2312"/>
                <w:color w:val="auto"/>
                <w:sz w:val="32"/>
                <w:szCs w:val="32"/>
              </w:rPr>
            </w:pPr>
          </w:p>
          <w:p w14:paraId="66E08B43">
            <w:pPr>
              <w:spacing w:line="360" w:lineRule="exact"/>
              <w:rPr>
                <w:rFonts w:hint="eastAsia" w:ascii="仿宋_GB2312" w:hAnsi="仿宋_GB2312" w:eastAsia="仿宋_GB2312" w:cs="仿宋_GB2312"/>
                <w:color w:val="auto"/>
                <w:sz w:val="32"/>
                <w:szCs w:val="32"/>
              </w:rPr>
            </w:pPr>
          </w:p>
          <w:p w14:paraId="129355AF">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5BC69E5D">
            <w:pPr>
              <w:spacing w:line="360" w:lineRule="exact"/>
              <w:ind w:firstLine="5440" w:firstLineChars="1700"/>
              <w:rPr>
                <w:rFonts w:hint="eastAsia" w:ascii="仿宋_GB2312" w:hAnsi="仿宋_GB2312" w:eastAsia="仿宋_GB2312" w:cs="仿宋_GB2312"/>
                <w:color w:val="auto"/>
                <w:sz w:val="32"/>
                <w:szCs w:val="32"/>
              </w:rPr>
            </w:pPr>
          </w:p>
          <w:p w14:paraId="7AC36CFF">
            <w:pPr>
              <w:spacing w:line="360" w:lineRule="exact"/>
              <w:ind w:firstLine="5440" w:firstLineChars="1700"/>
              <w:rPr>
                <w:rFonts w:hint="eastAsia" w:ascii="仿宋_GB2312" w:hAnsi="仿宋_GB2312" w:eastAsia="仿宋_GB2312" w:cs="仿宋_GB2312"/>
                <w:color w:val="auto"/>
                <w:sz w:val="32"/>
                <w:szCs w:val="32"/>
              </w:rPr>
            </w:pPr>
          </w:p>
          <w:p w14:paraId="25925D85">
            <w:pPr>
              <w:spacing w:line="360" w:lineRule="exact"/>
              <w:ind w:firstLine="5440" w:firstLineChars="1700"/>
              <w:rPr>
                <w:rFonts w:hint="eastAsia" w:ascii="仿宋_GB2312" w:hAnsi="仿宋_GB2312" w:eastAsia="仿宋_GB2312" w:cs="仿宋_GB2312"/>
                <w:color w:val="auto"/>
                <w:sz w:val="32"/>
                <w:szCs w:val="32"/>
              </w:rPr>
            </w:pPr>
          </w:p>
          <w:p w14:paraId="4F2D72D6">
            <w:pPr>
              <w:spacing w:line="360" w:lineRule="exact"/>
              <w:ind w:firstLine="5440" w:firstLineChars="1700"/>
              <w:rPr>
                <w:rFonts w:hint="eastAsia" w:ascii="仿宋_GB2312" w:hAnsi="仿宋_GB2312" w:eastAsia="仿宋_GB2312" w:cs="仿宋_GB2312"/>
                <w:color w:val="auto"/>
                <w:sz w:val="32"/>
                <w:szCs w:val="32"/>
              </w:rPr>
            </w:pPr>
          </w:p>
          <w:p w14:paraId="7AF91C1B">
            <w:pPr>
              <w:spacing w:line="360" w:lineRule="exact"/>
              <w:ind w:firstLine="5440" w:firstLineChars="1700"/>
              <w:rPr>
                <w:rFonts w:hint="eastAsia" w:ascii="仿宋_GB2312" w:hAnsi="仿宋_GB2312" w:eastAsia="仿宋_GB2312" w:cs="仿宋_GB2312"/>
                <w:color w:val="auto"/>
                <w:sz w:val="32"/>
                <w:szCs w:val="32"/>
              </w:rPr>
            </w:pPr>
          </w:p>
          <w:p w14:paraId="203CE04C">
            <w:pPr>
              <w:spacing w:line="360" w:lineRule="exact"/>
              <w:ind w:firstLine="5440" w:firstLineChars="1700"/>
              <w:rPr>
                <w:rFonts w:hint="eastAsia" w:ascii="仿宋_GB2312" w:hAnsi="仿宋_GB2312" w:eastAsia="仿宋_GB2312" w:cs="仿宋_GB2312"/>
                <w:color w:val="auto"/>
                <w:sz w:val="32"/>
                <w:szCs w:val="32"/>
              </w:rPr>
            </w:pPr>
          </w:p>
          <w:p w14:paraId="0CCF9B21">
            <w:pPr>
              <w:spacing w:line="360" w:lineRule="exact"/>
              <w:ind w:firstLine="5440" w:firstLineChars="1700"/>
              <w:rPr>
                <w:rFonts w:hint="eastAsia" w:ascii="仿宋_GB2312" w:hAnsi="仿宋_GB2312" w:eastAsia="仿宋_GB2312" w:cs="仿宋_GB2312"/>
                <w:color w:val="auto"/>
                <w:sz w:val="32"/>
                <w:szCs w:val="32"/>
              </w:rPr>
            </w:pPr>
          </w:p>
          <w:p w14:paraId="60E000D8">
            <w:pPr>
              <w:spacing w:line="360" w:lineRule="exact"/>
              <w:ind w:firstLine="5440" w:firstLineChars="1700"/>
              <w:rPr>
                <w:rFonts w:hint="eastAsia" w:ascii="仿宋_GB2312" w:hAnsi="仿宋_GB2312" w:eastAsia="仿宋_GB2312" w:cs="仿宋_GB2312"/>
                <w:color w:val="auto"/>
                <w:sz w:val="32"/>
                <w:szCs w:val="32"/>
              </w:rPr>
            </w:pPr>
          </w:p>
          <w:p w14:paraId="01EC6AC9">
            <w:pPr>
              <w:spacing w:line="360" w:lineRule="exact"/>
              <w:ind w:firstLine="5440" w:firstLineChars="1700"/>
              <w:rPr>
                <w:rFonts w:hint="eastAsia" w:ascii="仿宋_GB2312" w:hAnsi="仿宋_GB2312" w:eastAsia="仿宋_GB2312" w:cs="仿宋_GB2312"/>
                <w:color w:val="auto"/>
                <w:sz w:val="32"/>
                <w:szCs w:val="32"/>
              </w:rPr>
            </w:pPr>
          </w:p>
          <w:p w14:paraId="7E0C0BF9">
            <w:pPr>
              <w:spacing w:line="360" w:lineRule="exact"/>
              <w:rPr>
                <w:rFonts w:hint="eastAsia" w:ascii="仿宋_GB2312" w:hAnsi="仿宋_GB2312" w:eastAsia="仿宋_GB2312" w:cs="仿宋_GB2312"/>
                <w:color w:val="auto"/>
                <w:sz w:val="32"/>
                <w:szCs w:val="32"/>
              </w:rPr>
            </w:pPr>
          </w:p>
          <w:p w14:paraId="741E06C2">
            <w:pPr>
              <w:spacing w:line="360" w:lineRule="exact"/>
              <w:ind w:firstLine="5440" w:firstLineChars="1700"/>
              <w:rPr>
                <w:rFonts w:hint="eastAsia" w:ascii="仿宋_GB2312" w:hAnsi="仿宋_GB2312" w:eastAsia="仿宋_GB2312" w:cs="仿宋_GB2312"/>
                <w:color w:val="auto"/>
                <w:sz w:val="32"/>
                <w:szCs w:val="32"/>
              </w:rPr>
            </w:pPr>
          </w:p>
          <w:p w14:paraId="1A26767B">
            <w:pPr>
              <w:spacing w:line="360" w:lineRule="exact"/>
              <w:ind w:firstLine="5440" w:firstLineChars="1700"/>
              <w:rPr>
                <w:rFonts w:hint="eastAsia" w:ascii="仿宋_GB2312" w:hAnsi="仿宋_GB2312" w:eastAsia="仿宋_GB2312" w:cs="仿宋_GB2312"/>
                <w:color w:val="auto"/>
                <w:sz w:val="32"/>
                <w:szCs w:val="32"/>
              </w:rPr>
            </w:pPr>
          </w:p>
          <w:p w14:paraId="4F53A352">
            <w:pPr>
              <w:spacing w:line="360" w:lineRule="exact"/>
              <w:ind w:firstLine="5440" w:firstLineChars="1700"/>
              <w:rPr>
                <w:rFonts w:hint="eastAsia" w:ascii="仿宋_GB2312" w:hAnsi="仿宋_GB2312" w:eastAsia="仿宋_GB2312" w:cs="仿宋_GB2312"/>
                <w:color w:val="auto"/>
                <w:sz w:val="32"/>
                <w:szCs w:val="32"/>
              </w:rPr>
            </w:pPr>
          </w:p>
          <w:p w14:paraId="3169C2A8">
            <w:pPr>
              <w:spacing w:line="360" w:lineRule="exact"/>
              <w:rPr>
                <w:rFonts w:hint="eastAsia" w:ascii="仿宋_GB2312" w:hAnsi="仿宋_GB2312" w:eastAsia="仿宋_GB2312" w:cs="仿宋_GB2312"/>
                <w:color w:val="auto"/>
                <w:sz w:val="32"/>
                <w:szCs w:val="32"/>
                <w:lang w:eastAsia="zh-CN"/>
              </w:rPr>
            </w:pPr>
          </w:p>
          <w:p w14:paraId="29279679">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（涉及安全性及强制性条文要求</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须予以明确）</w:t>
            </w:r>
          </w:p>
          <w:p w14:paraId="1ADE173F">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p w14:paraId="1BF59A3C">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签名：</w:t>
            </w:r>
            <w:r>
              <w:rPr>
                <w:rFonts w:hint="eastAsia" w:ascii="仿宋_GB2312" w:hAnsi="仿宋_GB2312" w:eastAsia="仿宋_GB2312" w:cs="仿宋_GB2312"/>
                <w:color w:val="auto"/>
                <w:sz w:val="32"/>
                <w:szCs w:val="32"/>
              </w:rPr>
              <w:t xml:space="preserve">                         年  月  日（公章）</w:t>
            </w:r>
          </w:p>
          <w:p w14:paraId="261CA2D4">
            <w:pPr>
              <w:spacing w:line="360" w:lineRule="exact"/>
              <w:rPr>
                <w:rFonts w:hint="eastAsia" w:ascii="仿宋_GB2312" w:hAnsi="仿宋_GB2312" w:eastAsia="仿宋_GB2312" w:cs="仿宋_GB2312"/>
                <w:color w:val="auto"/>
                <w:sz w:val="32"/>
                <w:szCs w:val="32"/>
              </w:rPr>
            </w:pPr>
          </w:p>
        </w:tc>
      </w:tr>
    </w:tbl>
    <w:p w14:paraId="6D5EA4B7">
      <w:pPr>
        <w:spacing w:line="4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备注：本表一式</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p>
    <w:p w14:paraId="0A283BC5">
      <w:pPr>
        <w:spacing w:line="460" w:lineRule="exact"/>
        <w:rPr>
          <w:rFonts w:hint="eastAsia" w:ascii="黑体" w:hAnsi="黑体" w:eastAsia="黑体" w:cs="黑体"/>
          <w:color w:val="auto"/>
          <w:sz w:val="32"/>
          <w:szCs w:val="32"/>
          <w:lang w:eastAsia="zh-CN"/>
        </w:rPr>
      </w:pPr>
    </w:p>
    <w:p w14:paraId="5E751A06">
      <w:pPr>
        <w:spacing w:line="460" w:lineRule="exact"/>
        <w:rPr>
          <w:rFonts w:hint="eastAsia" w:ascii="黑体" w:hAnsi="黑体" w:eastAsia="黑体" w:cs="黑体"/>
          <w:color w:val="auto"/>
          <w:sz w:val="32"/>
          <w:szCs w:val="32"/>
          <w:lang w:eastAsia="zh-CN"/>
        </w:rPr>
      </w:pPr>
    </w:p>
    <w:p w14:paraId="1ADE463A">
      <w:pPr>
        <w:spacing w:line="4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6E8410EE">
      <w:pPr>
        <w:spacing w:line="7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变更预算报告</w:t>
      </w:r>
    </w:p>
    <w:p w14:paraId="61043DC7">
      <w:pPr>
        <w:spacing w:line="720" w:lineRule="exact"/>
        <w:rPr>
          <w:rFonts w:hint="eastAsia" w:ascii="仿宋" w:hAnsi="仿宋" w:eastAsia="仿宋"/>
          <w:color w:val="auto"/>
          <w:sz w:val="32"/>
          <w:szCs w:val="32"/>
          <w:lang w:eastAsia="zh-CN"/>
        </w:rPr>
      </w:pPr>
    </w:p>
    <w:p w14:paraId="157CF9F8">
      <w:pPr>
        <w:spacing w:line="720" w:lineRule="exact"/>
        <w:rPr>
          <w:rFonts w:hint="eastAsia" w:ascii="仿宋" w:hAnsi="仿宋" w:eastAsia="仿宋"/>
          <w:color w:val="auto"/>
          <w:sz w:val="32"/>
          <w:szCs w:val="32"/>
          <w:lang w:eastAsia="zh-CN"/>
        </w:rPr>
      </w:pPr>
    </w:p>
    <w:p w14:paraId="2D423BA1">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工程名称：</w:t>
      </w:r>
    </w:p>
    <w:p w14:paraId="03636497">
      <w:pPr>
        <w:spacing w:line="720" w:lineRule="exact"/>
        <w:rPr>
          <w:rFonts w:hint="eastAsia" w:ascii="仿宋_GB2312" w:hAnsi="仿宋_GB2312" w:eastAsia="仿宋_GB2312" w:cs="仿宋_GB2312"/>
          <w:color w:val="auto"/>
          <w:sz w:val="32"/>
          <w:szCs w:val="32"/>
          <w:lang w:eastAsia="zh-CN"/>
        </w:rPr>
      </w:pPr>
    </w:p>
    <w:p w14:paraId="4D5BC34A">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变更事项：</w:t>
      </w:r>
    </w:p>
    <w:p w14:paraId="455FE504">
      <w:pPr>
        <w:spacing w:line="720" w:lineRule="exact"/>
        <w:rPr>
          <w:rFonts w:hint="eastAsia" w:ascii="仿宋_GB2312" w:hAnsi="仿宋_GB2312" w:eastAsia="仿宋_GB2312" w:cs="仿宋_GB2312"/>
          <w:color w:val="auto"/>
          <w:sz w:val="32"/>
          <w:szCs w:val="32"/>
          <w:lang w:eastAsia="zh-CN"/>
        </w:rPr>
      </w:pPr>
    </w:p>
    <w:p w14:paraId="46FE93F4">
      <w:pPr>
        <w:spacing w:line="7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变更预算金额：</w:t>
      </w:r>
      <w:r>
        <w:rPr>
          <w:rFonts w:hint="eastAsia" w:ascii="仿宋_GB2312" w:hAnsi="仿宋_GB2312" w:eastAsia="仿宋_GB2312" w:cs="仿宋_GB2312"/>
          <w:color w:val="auto"/>
          <w:sz w:val="32"/>
          <w:szCs w:val="32"/>
          <w:lang w:val="en-US" w:eastAsia="zh-CN"/>
        </w:rPr>
        <w:t xml:space="preserve">         万元</w:t>
      </w:r>
    </w:p>
    <w:p w14:paraId="2AF0A8D7">
      <w:pPr>
        <w:spacing w:line="720" w:lineRule="exact"/>
        <w:rPr>
          <w:rFonts w:hint="eastAsia" w:ascii="仿宋_GB2312" w:hAnsi="仿宋_GB2312" w:eastAsia="仿宋_GB2312" w:cs="仿宋_GB2312"/>
          <w:color w:val="auto"/>
          <w:sz w:val="32"/>
          <w:szCs w:val="32"/>
          <w:lang w:eastAsia="zh-CN"/>
        </w:rPr>
      </w:pPr>
    </w:p>
    <w:p w14:paraId="5C17A5DC">
      <w:pPr>
        <w:spacing w:line="720" w:lineRule="exact"/>
        <w:rPr>
          <w:rFonts w:hint="eastAsia" w:ascii="仿宋_GB2312" w:hAnsi="仿宋_GB2312" w:eastAsia="仿宋_GB2312" w:cs="仿宋_GB2312"/>
          <w:color w:val="auto"/>
          <w:sz w:val="32"/>
          <w:szCs w:val="32"/>
          <w:lang w:eastAsia="zh-CN"/>
        </w:rPr>
      </w:pPr>
    </w:p>
    <w:p w14:paraId="3856F68B">
      <w:pPr>
        <w:spacing w:line="7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施工单位：</w:t>
      </w:r>
      <w:r>
        <w:rPr>
          <w:rFonts w:hint="eastAsia" w:ascii="仿宋_GB2312" w:hAnsi="仿宋_GB2312" w:eastAsia="仿宋_GB2312" w:cs="仿宋_GB2312"/>
          <w:color w:val="auto"/>
          <w:sz w:val="32"/>
          <w:szCs w:val="32"/>
          <w:lang w:val="en-US" w:eastAsia="zh-CN"/>
        </w:rPr>
        <w:t xml:space="preserve">                          （单位盖章）</w:t>
      </w:r>
    </w:p>
    <w:p w14:paraId="5D768408">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项目经理：</w:t>
      </w:r>
    </w:p>
    <w:p w14:paraId="2C4510E9">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编制人员：</w:t>
      </w:r>
      <w:r>
        <w:rPr>
          <w:rFonts w:hint="eastAsia" w:ascii="仿宋_GB2312" w:hAnsi="仿宋_GB2312" w:eastAsia="仿宋_GB2312" w:cs="仿宋_GB2312"/>
          <w:color w:val="auto"/>
          <w:sz w:val="32"/>
          <w:szCs w:val="32"/>
          <w:lang w:val="en-US" w:eastAsia="zh-CN"/>
        </w:rPr>
        <w:t xml:space="preserve">                  （签名并盖执业资格章）</w:t>
      </w:r>
    </w:p>
    <w:p w14:paraId="22FF2AB2">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编制日期：</w:t>
      </w:r>
    </w:p>
    <w:p w14:paraId="00C7BC3A">
      <w:pPr>
        <w:spacing w:line="720" w:lineRule="exact"/>
        <w:rPr>
          <w:rFonts w:hint="eastAsia" w:ascii="仿宋" w:hAnsi="仿宋" w:eastAsia="仿宋"/>
          <w:color w:val="auto"/>
          <w:sz w:val="32"/>
          <w:szCs w:val="32"/>
          <w:lang w:eastAsia="zh-CN"/>
        </w:rPr>
      </w:pPr>
    </w:p>
    <w:p w14:paraId="255F8E37">
      <w:pPr>
        <w:spacing w:line="720" w:lineRule="exact"/>
        <w:rPr>
          <w:rFonts w:hint="eastAsia" w:ascii="仿宋" w:hAnsi="仿宋" w:eastAsia="仿宋"/>
          <w:color w:val="auto"/>
          <w:sz w:val="32"/>
          <w:szCs w:val="32"/>
          <w:lang w:eastAsia="zh-CN"/>
        </w:rPr>
      </w:pPr>
    </w:p>
    <w:p w14:paraId="4D342923">
      <w:pPr>
        <w:spacing w:line="720" w:lineRule="exact"/>
        <w:rPr>
          <w:rFonts w:hint="eastAsia" w:ascii="仿宋" w:hAnsi="仿宋" w:eastAsia="仿宋"/>
          <w:color w:val="auto"/>
          <w:sz w:val="32"/>
          <w:szCs w:val="32"/>
          <w:lang w:eastAsia="zh-CN"/>
        </w:rPr>
      </w:pPr>
    </w:p>
    <w:p w14:paraId="64258188">
      <w:pPr>
        <w:spacing w:line="560" w:lineRule="exact"/>
        <w:ind w:firstLine="0"/>
        <w:jc w:val="both"/>
        <w:rPr>
          <w:rFonts w:hint="eastAsia" w:ascii="仿宋" w:hAnsi="仿宋" w:eastAsia="仿宋"/>
          <w:color w:val="auto"/>
          <w:sz w:val="44"/>
          <w:szCs w:val="44"/>
          <w:lang w:eastAsia="zh-CN"/>
        </w:rPr>
      </w:pPr>
    </w:p>
    <w:p w14:paraId="15A5B85C">
      <w:pPr>
        <w:spacing w:line="560" w:lineRule="exact"/>
        <w:ind w:firstLine="640"/>
        <w:jc w:val="center"/>
        <w:rPr>
          <w:rFonts w:hint="eastAsia" w:ascii="仿宋" w:hAnsi="仿宋" w:eastAsia="仿宋"/>
          <w:color w:val="auto"/>
          <w:sz w:val="44"/>
          <w:szCs w:val="44"/>
          <w:lang w:eastAsia="zh-CN"/>
        </w:rPr>
      </w:pPr>
    </w:p>
    <w:p w14:paraId="6B44C5BB">
      <w:pPr>
        <w:spacing w:line="560" w:lineRule="exact"/>
        <w:ind w:firstLine="64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编制说明</w:t>
      </w:r>
    </w:p>
    <w:p w14:paraId="3E74203E">
      <w:pPr>
        <w:spacing w:line="560" w:lineRule="exact"/>
        <w:ind w:firstLine="640"/>
        <w:rPr>
          <w:rFonts w:hint="eastAsia" w:ascii="仿宋" w:hAnsi="仿宋" w:eastAsia="仿宋"/>
          <w:color w:val="auto"/>
          <w:sz w:val="32"/>
          <w:szCs w:val="32"/>
          <w:lang w:eastAsia="zh-CN"/>
        </w:rPr>
      </w:pPr>
    </w:p>
    <w:p w14:paraId="771604E0">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一、编制依据</w:t>
      </w:r>
    </w:p>
    <w:p w14:paraId="2D5AC77A">
      <w:pPr>
        <w:spacing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1、根据</w:t>
      </w:r>
      <w:r>
        <w:rPr>
          <w:rFonts w:hint="eastAsia" w:ascii="仿宋_GB2312" w:hAnsi="仿宋_GB2312" w:eastAsia="仿宋_GB2312" w:cs="仿宋_GB2312"/>
          <w:color w:val="auto"/>
          <w:sz w:val="32"/>
          <w:szCs w:val="32"/>
          <w:lang w:eastAsia="zh-CN"/>
        </w:rPr>
        <w:t>施工合同第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条款，第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号变更联系单，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14:paraId="6A3E62B4">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（定额等）</w:t>
      </w:r>
    </w:p>
    <w:p w14:paraId="64412412">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14:paraId="797F189F">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二、编制办法</w:t>
      </w:r>
    </w:p>
    <w:p w14:paraId="53F2E9B3">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、变更项目综合单价根据施工合同的变更估价条款约定办法确定；</w:t>
      </w:r>
    </w:p>
    <w:p w14:paraId="7F9BB485">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工程量</w:t>
      </w:r>
      <w:r>
        <w:rPr>
          <w:rFonts w:hint="eastAsia" w:ascii="仿宋_GB2312" w:hAnsi="仿宋_GB2312" w:eastAsia="仿宋_GB2312" w:cs="仿宋_GB2312"/>
          <w:color w:val="auto"/>
          <w:sz w:val="32"/>
          <w:szCs w:val="32"/>
          <w:lang w:eastAsia="zh-CN"/>
        </w:rPr>
        <w:t>计算</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变更联系单、现场实际、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计算；</w:t>
      </w:r>
    </w:p>
    <w:p w14:paraId="1AE47F5B">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、重新组价部分材料价格的确定：</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合同约定按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绍兴市</w:t>
      </w:r>
      <w:r>
        <w:rPr>
          <w:rFonts w:hint="eastAsia" w:ascii="仿宋_GB2312" w:hAnsi="仿宋_GB2312" w:eastAsia="仿宋_GB2312" w:cs="仿宋_GB2312"/>
          <w:color w:val="auto"/>
          <w:sz w:val="32"/>
          <w:szCs w:val="32"/>
        </w:rPr>
        <w:t>建设工程造价信息》××年第××期</w:t>
      </w:r>
      <w:r>
        <w:rPr>
          <w:rFonts w:hint="eastAsia" w:ascii="仿宋_GB2312" w:hAnsi="仿宋_GB2312" w:eastAsia="仿宋_GB2312" w:cs="仿宋_GB2312"/>
          <w:color w:val="auto"/>
          <w:sz w:val="32"/>
          <w:szCs w:val="32"/>
          <w:lang w:eastAsia="zh-CN"/>
        </w:rPr>
        <w:t>中的嵊州市价格信息</w:t>
      </w:r>
      <w:r>
        <w:rPr>
          <w:rFonts w:hint="eastAsia" w:ascii="仿宋_GB2312" w:hAnsi="仿宋_GB2312" w:eastAsia="仿宋_GB2312" w:cs="仿宋_GB2312"/>
          <w:color w:val="auto"/>
          <w:sz w:val="32"/>
          <w:szCs w:val="32"/>
        </w:rPr>
        <w:t>、《浙江造价信息》××年第××期计算；</w:t>
      </w:r>
    </w:p>
    <w:p w14:paraId="3D98EDA7">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、重新组价部分</w:t>
      </w:r>
      <w:r>
        <w:rPr>
          <w:rFonts w:hint="eastAsia" w:ascii="仿宋_GB2312" w:hAnsi="仿宋_GB2312" w:eastAsia="仿宋_GB2312" w:cs="仿宋_GB2312"/>
          <w:color w:val="auto"/>
          <w:sz w:val="32"/>
          <w:szCs w:val="32"/>
        </w:rPr>
        <w:t>取费标准：</w:t>
      </w:r>
      <w:r>
        <w:rPr>
          <w:rFonts w:hint="eastAsia" w:ascii="仿宋_GB2312" w:hAnsi="仿宋_GB2312" w:eastAsia="仿宋_GB2312" w:cs="仿宋_GB2312"/>
          <w:color w:val="auto"/>
          <w:sz w:val="32"/>
          <w:szCs w:val="32"/>
          <w:lang w:eastAsia="zh-CN"/>
        </w:rPr>
        <w:t>根据合同约定</w:t>
      </w:r>
      <w:r>
        <w:rPr>
          <w:rFonts w:hint="eastAsia" w:ascii="仿宋_GB2312" w:hAnsi="仿宋_GB2312" w:eastAsia="仿宋_GB2312" w:cs="仿宋_GB2312"/>
          <w:color w:val="auto"/>
          <w:sz w:val="32"/>
          <w:szCs w:val="32"/>
        </w:rPr>
        <w:t>按××类</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中值取费，施工组织措施费按中值取费，规费取××,税金按××计取；</w:t>
      </w:r>
    </w:p>
    <w:p w14:paraId="723421FC">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2777A80F">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三、有关事项说明（如：签证情况、下浮率等）</w:t>
      </w:r>
    </w:p>
    <w:p w14:paraId="29A45CB6">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134A0C77">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6B0E8AB7">
      <w:pPr>
        <w:spacing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（具体内容详见计价计量各类表式）</w:t>
      </w:r>
    </w:p>
    <w:p w14:paraId="29212375">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14:paraId="79870F05">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10F426B6">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变更预算</w:t>
      </w:r>
      <w:r>
        <w:rPr>
          <w:rFonts w:hint="eastAsia" w:ascii="方正小标宋简体" w:hAnsi="方正小标宋简体" w:eastAsia="方正小标宋简体" w:cs="方正小标宋简体"/>
          <w:color w:val="auto"/>
          <w:sz w:val="44"/>
          <w:szCs w:val="44"/>
        </w:rPr>
        <w:t>审核报告</w:t>
      </w:r>
    </w:p>
    <w:p w14:paraId="22A9DB5E">
      <w:pPr>
        <w:spacing w:line="560" w:lineRule="exact"/>
        <w:ind w:firstLine="640"/>
        <w:rPr>
          <w:rFonts w:hint="eastAsia" w:ascii="仿宋" w:hAnsi="仿宋" w:eastAsia="仿宋"/>
          <w:color w:val="auto"/>
          <w:sz w:val="32"/>
          <w:szCs w:val="32"/>
          <w:lang w:val="en-US" w:eastAsia="zh-CN"/>
        </w:rPr>
      </w:pPr>
    </w:p>
    <w:p w14:paraId="5FE09150">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工程名称：</w:t>
      </w:r>
    </w:p>
    <w:p w14:paraId="1A995DB7">
      <w:pPr>
        <w:spacing w:line="720" w:lineRule="exact"/>
        <w:rPr>
          <w:rFonts w:hint="eastAsia" w:ascii="仿宋_GB2312" w:hAnsi="仿宋_GB2312" w:eastAsia="仿宋_GB2312" w:cs="仿宋_GB2312"/>
          <w:color w:val="auto"/>
          <w:sz w:val="32"/>
          <w:szCs w:val="32"/>
          <w:lang w:eastAsia="zh-CN"/>
        </w:rPr>
      </w:pPr>
    </w:p>
    <w:p w14:paraId="6C0D360A">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变更事项：</w:t>
      </w:r>
    </w:p>
    <w:p w14:paraId="1833962D">
      <w:pPr>
        <w:spacing w:line="720" w:lineRule="exact"/>
        <w:rPr>
          <w:rFonts w:hint="eastAsia" w:ascii="仿宋_GB2312" w:hAnsi="仿宋_GB2312" w:eastAsia="仿宋_GB2312" w:cs="仿宋_GB2312"/>
          <w:color w:val="auto"/>
          <w:sz w:val="32"/>
          <w:szCs w:val="32"/>
          <w:lang w:eastAsia="zh-CN"/>
        </w:rPr>
      </w:pPr>
    </w:p>
    <w:p w14:paraId="21311136">
      <w:pPr>
        <w:spacing w:line="7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变更预算审定金额：</w:t>
      </w:r>
      <w:r>
        <w:rPr>
          <w:rFonts w:hint="eastAsia" w:ascii="仿宋_GB2312" w:hAnsi="仿宋_GB2312" w:eastAsia="仿宋_GB2312" w:cs="仿宋_GB2312"/>
          <w:color w:val="auto"/>
          <w:sz w:val="32"/>
          <w:szCs w:val="32"/>
          <w:lang w:val="en-US" w:eastAsia="zh-CN"/>
        </w:rPr>
        <w:t xml:space="preserve">         万元</w:t>
      </w:r>
    </w:p>
    <w:p w14:paraId="697B76D7">
      <w:pPr>
        <w:spacing w:line="720" w:lineRule="exact"/>
        <w:rPr>
          <w:rFonts w:hint="eastAsia" w:ascii="仿宋_GB2312" w:hAnsi="仿宋_GB2312" w:eastAsia="仿宋_GB2312" w:cs="仿宋_GB2312"/>
          <w:color w:val="auto"/>
          <w:sz w:val="32"/>
          <w:szCs w:val="32"/>
          <w:lang w:eastAsia="zh-CN"/>
        </w:rPr>
      </w:pPr>
    </w:p>
    <w:p w14:paraId="1169AEDA">
      <w:pPr>
        <w:spacing w:line="720" w:lineRule="exact"/>
        <w:rPr>
          <w:rFonts w:hint="eastAsia" w:ascii="仿宋_GB2312" w:hAnsi="仿宋_GB2312" w:eastAsia="仿宋_GB2312" w:cs="仿宋_GB2312"/>
          <w:color w:val="auto"/>
          <w:sz w:val="32"/>
          <w:szCs w:val="32"/>
          <w:lang w:eastAsia="zh-CN"/>
        </w:rPr>
      </w:pPr>
    </w:p>
    <w:p w14:paraId="09E5B3DB">
      <w:pPr>
        <w:spacing w:line="7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变更审核</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 xml:space="preserve">                          （单位盖章）</w:t>
      </w:r>
    </w:p>
    <w:p w14:paraId="4CA1D1F6">
      <w:pPr>
        <w:spacing w:line="720" w:lineRule="exact"/>
        <w:rPr>
          <w:rFonts w:hint="eastAsia" w:ascii="仿宋_GB2312" w:hAnsi="仿宋_GB2312" w:eastAsia="仿宋_GB2312" w:cs="仿宋_GB2312"/>
          <w:color w:val="auto"/>
          <w:sz w:val="32"/>
          <w:szCs w:val="32"/>
          <w:lang w:eastAsia="zh-CN"/>
        </w:rPr>
      </w:pPr>
    </w:p>
    <w:p w14:paraId="3732C75A">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审核人员：</w:t>
      </w:r>
      <w:r>
        <w:rPr>
          <w:rFonts w:hint="eastAsia" w:ascii="仿宋_GB2312" w:hAnsi="仿宋_GB2312" w:eastAsia="仿宋_GB2312" w:cs="仿宋_GB2312"/>
          <w:color w:val="auto"/>
          <w:sz w:val="32"/>
          <w:szCs w:val="32"/>
          <w:lang w:val="en-US" w:eastAsia="zh-CN"/>
        </w:rPr>
        <w:t xml:space="preserve">                      （签名并盖执业资格章）</w:t>
      </w:r>
    </w:p>
    <w:p w14:paraId="58AA9224">
      <w:pPr>
        <w:spacing w:line="7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审核日期：</w:t>
      </w:r>
    </w:p>
    <w:p w14:paraId="3FD78504">
      <w:pPr>
        <w:spacing w:line="720" w:lineRule="exact"/>
        <w:rPr>
          <w:rFonts w:hint="eastAsia" w:ascii="仿宋_GB2312" w:hAnsi="仿宋_GB2312" w:eastAsia="仿宋_GB2312" w:cs="仿宋_GB2312"/>
          <w:color w:val="auto"/>
          <w:sz w:val="32"/>
          <w:szCs w:val="32"/>
          <w:lang w:eastAsia="zh-CN"/>
        </w:rPr>
      </w:pPr>
    </w:p>
    <w:p w14:paraId="65DBE9A9">
      <w:pPr>
        <w:spacing w:line="720" w:lineRule="exact"/>
        <w:rPr>
          <w:rFonts w:hint="eastAsia" w:ascii="仿宋" w:hAnsi="仿宋" w:eastAsia="仿宋"/>
          <w:color w:val="auto"/>
          <w:sz w:val="32"/>
          <w:szCs w:val="32"/>
          <w:lang w:eastAsia="zh-CN"/>
        </w:rPr>
      </w:pPr>
    </w:p>
    <w:p w14:paraId="2A30FBB5">
      <w:pPr>
        <w:spacing w:line="720" w:lineRule="exact"/>
        <w:rPr>
          <w:rFonts w:hint="eastAsia" w:ascii="仿宋" w:hAnsi="仿宋" w:eastAsia="仿宋"/>
          <w:color w:val="auto"/>
          <w:sz w:val="32"/>
          <w:szCs w:val="32"/>
          <w:lang w:eastAsia="zh-CN"/>
        </w:rPr>
      </w:pPr>
    </w:p>
    <w:p w14:paraId="4D5AC872">
      <w:pPr>
        <w:spacing w:line="720" w:lineRule="exact"/>
        <w:rPr>
          <w:rFonts w:hint="eastAsia" w:ascii="仿宋" w:hAnsi="仿宋" w:eastAsia="仿宋"/>
          <w:color w:val="auto"/>
          <w:sz w:val="32"/>
          <w:szCs w:val="32"/>
          <w:lang w:eastAsia="zh-CN"/>
        </w:rPr>
      </w:pPr>
    </w:p>
    <w:p w14:paraId="6AC7D9E4">
      <w:pPr>
        <w:pStyle w:val="2"/>
        <w:rPr>
          <w:rFonts w:hint="eastAsia"/>
          <w:color w:val="auto"/>
          <w:lang w:eastAsia="zh-CN"/>
        </w:rPr>
      </w:pPr>
    </w:p>
    <w:p w14:paraId="74C914EA">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审核说明</w:t>
      </w:r>
    </w:p>
    <w:p w14:paraId="172B911A">
      <w:pPr>
        <w:spacing w:line="560" w:lineRule="exact"/>
        <w:jc w:val="both"/>
        <w:rPr>
          <w:rFonts w:hint="eastAsia" w:ascii="仿宋" w:hAnsi="仿宋" w:eastAsia="仿宋"/>
          <w:color w:val="auto"/>
          <w:sz w:val="44"/>
          <w:szCs w:val="44"/>
          <w:lang w:eastAsia="zh-CN"/>
        </w:rPr>
      </w:pPr>
    </w:p>
    <w:p w14:paraId="3C328404">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一、审核依据</w:t>
      </w:r>
    </w:p>
    <w:p w14:paraId="2EE2CB4C">
      <w:pPr>
        <w:spacing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建设单位提供的施工合同，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14:paraId="78A523E3">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（定额等）</w:t>
      </w:r>
    </w:p>
    <w:p w14:paraId="74382DDB">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14:paraId="2F9D6D5C">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二、审核办法</w:t>
      </w:r>
    </w:p>
    <w:p w14:paraId="0EA1EE01">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、变更项目综合单价根据施工合同的变更估价条款约定办法确定；</w:t>
      </w:r>
    </w:p>
    <w:p w14:paraId="5510EBCF">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工程量</w:t>
      </w:r>
      <w:r>
        <w:rPr>
          <w:rFonts w:hint="eastAsia" w:ascii="仿宋_GB2312" w:hAnsi="仿宋_GB2312" w:eastAsia="仿宋_GB2312" w:cs="仿宋_GB2312"/>
          <w:color w:val="auto"/>
          <w:sz w:val="32"/>
          <w:szCs w:val="32"/>
          <w:lang w:eastAsia="zh-CN"/>
        </w:rPr>
        <w:t>计算</w:t>
      </w:r>
      <w:r>
        <w:rPr>
          <w:rFonts w:hint="eastAsia" w:ascii="仿宋_GB2312" w:hAnsi="仿宋_GB2312" w:eastAsia="仿宋_GB2312" w:cs="仿宋_GB2312"/>
          <w:color w:val="auto"/>
          <w:sz w:val="32"/>
          <w:szCs w:val="32"/>
        </w:rPr>
        <w:t>：根据建设单位提供的×××</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计算；</w:t>
      </w:r>
    </w:p>
    <w:p w14:paraId="32EDA1B6">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、重新组价部分材料价格的确定：</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合同约定按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绍兴市</w:t>
      </w:r>
      <w:r>
        <w:rPr>
          <w:rFonts w:hint="eastAsia" w:ascii="仿宋_GB2312" w:hAnsi="仿宋_GB2312" w:eastAsia="仿宋_GB2312" w:cs="仿宋_GB2312"/>
          <w:color w:val="auto"/>
          <w:sz w:val="32"/>
          <w:szCs w:val="32"/>
        </w:rPr>
        <w:t>建设工程造价信息》××年第××期</w:t>
      </w:r>
      <w:r>
        <w:rPr>
          <w:rFonts w:hint="eastAsia" w:ascii="仿宋_GB2312" w:hAnsi="仿宋_GB2312" w:eastAsia="仿宋_GB2312" w:cs="仿宋_GB2312"/>
          <w:color w:val="auto"/>
          <w:sz w:val="32"/>
          <w:szCs w:val="32"/>
          <w:lang w:eastAsia="zh-CN"/>
        </w:rPr>
        <w:t>中的嵊州市价格信息</w:t>
      </w:r>
      <w:r>
        <w:rPr>
          <w:rFonts w:hint="eastAsia" w:ascii="仿宋_GB2312" w:hAnsi="仿宋_GB2312" w:eastAsia="仿宋_GB2312" w:cs="仿宋_GB2312"/>
          <w:color w:val="auto"/>
          <w:sz w:val="32"/>
          <w:szCs w:val="32"/>
        </w:rPr>
        <w:t>、《浙江造价信息》××年第××期计算；</w:t>
      </w:r>
    </w:p>
    <w:p w14:paraId="44F6CA1E">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、重新组价部分</w:t>
      </w:r>
      <w:r>
        <w:rPr>
          <w:rFonts w:hint="eastAsia" w:ascii="仿宋_GB2312" w:hAnsi="仿宋_GB2312" w:eastAsia="仿宋_GB2312" w:cs="仿宋_GB2312"/>
          <w:color w:val="auto"/>
          <w:sz w:val="32"/>
          <w:szCs w:val="32"/>
        </w:rPr>
        <w:t>取费标准：</w:t>
      </w:r>
      <w:r>
        <w:rPr>
          <w:rFonts w:hint="eastAsia" w:ascii="仿宋_GB2312" w:hAnsi="仿宋_GB2312" w:eastAsia="仿宋_GB2312" w:cs="仿宋_GB2312"/>
          <w:color w:val="auto"/>
          <w:sz w:val="32"/>
          <w:szCs w:val="32"/>
          <w:lang w:eastAsia="zh-CN"/>
        </w:rPr>
        <w:t>根据合同约定</w:t>
      </w:r>
      <w:r>
        <w:rPr>
          <w:rFonts w:hint="eastAsia" w:ascii="仿宋_GB2312" w:hAnsi="仿宋_GB2312" w:eastAsia="仿宋_GB2312" w:cs="仿宋_GB2312"/>
          <w:color w:val="auto"/>
          <w:sz w:val="32"/>
          <w:szCs w:val="32"/>
        </w:rPr>
        <w:t>按××类</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中值取费，施工组织措施费按中值取费，规费取××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税金按××计取</w:t>
      </w:r>
      <w:r>
        <w:rPr>
          <w:rFonts w:hint="eastAsia" w:ascii="仿宋_GB2312" w:hAnsi="仿宋_GB2312" w:eastAsia="仿宋_GB2312" w:cs="仿宋_GB2312"/>
          <w:color w:val="auto"/>
          <w:sz w:val="32"/>
          <w:szCs w:val="32"/>
          <w:lang w:eastAsia="zh-CN"/>
        </w:rPr>
        <w:t>；</w:t>
      </w:r>
    </w:p>
    <w:p w14:paraId="488E3D03">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597B676B">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三、有关事项说明</w:t>
      </w:r>
    </w:p>
    <w:p w14:paraId="681179C9">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35452B55">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66948D93">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（如：签证情况、下浮率等）</w:t>
      </w:r>
    </w:p>
    <w:p w14:paraId="2FFA5E14">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四、审核结果及主要核增核减情况</w:t>
      </w:r>
    </w:p>
    <w:p w14:paraId="082B0B33">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委托单位送审的该变更造价为××元，经审核，核定造价为××元，其中核增××元，核减××元。</w:t>
      </w:r>
    </w:p>
    <w:p w14:paraId="4F946F67">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（一）核增部分主要由以下几部分组成：</w:t>
      </w:r>
    </w:p>
    <w:p w14:paraId="69E048E0">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1、××因××（如：工程量少计、定额套用错误、漏项等）原因，核增××元；</w:t>
      </w:r>
    </w:p>
    <w:p w14:paraId="0EAC5DE3">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p>
    <w:p w14:paraId="5AE258A7">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（二）核减部分主要由以下几部分组成：</w:t>
      </w:r>
    </w:p>
    <w:p w14:paraId="43755FBB">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1、××因××（如：工程量多计、高套定额、价格偏高等）原因，核减××元；</w:t>
      </w:r>
    </w:p>
    <w:p w14:paraId="305428A2">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p>
    <w:p w14:paraId="088CAC83">
      <w:pPr>
        <w:spacing w:line="560" w:lineRule="exact"/>
        <w:ind w:firstLine="640"/>
        <w:rPr>
          <w:rFonts w:hint="eastAsia" w:ascii="仿宋_GB2312" w:hAnsi="仿宋_GB2312" w:eastAsia="仿宋_GB2312" w:cs="仿宋_GB2312"/>
          <w:color w:val="auto"/>
          <w:sz w:val="32"/>
          <w:szCs w:val="32"/>
          <w:lang w:eastAsia="zh-CN"/>
        </w:rPr>
      </w:pPr>
    </w:p>
    <w:p w14:paraId="621CE074">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（具体内容详见计价计量各类表式）</w:t>
      </w:r>
    </w:p>
    <w:p w14:paraId="3B68B6E6">
      <w:pPr>
        <w:spacing w:line="560" w:lineRule="exact"/>
        <w:ind w:firstLine="640"/>
        <w:rPr>
          <w:rFonts w:hint="eastAsia" w:ascii="仿宋_GB2312" w:hAnsi="仿宋_GB2312" w:eastAsia="仿宋_GB2312" w:cs="仿宋_GB2312"/>
          <w:color w:val="auto"/>
          <w:sz w:val="32"/>
          <w:szCs w:val="32"/>
          <w:lang w:eastAsia="zh-CN"/>
        </w:rPr>
      </w:pPr>
    </w:p>
    <w:p w14:paraId="34506BF5">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各类计价计量表式按《浙江省建设工程计价规则》（</w:t>
      </w:r>
      <w:r>
        <w:rPr>
          <w:rFonts w:hint="eastAsia" w:ascii="仿宋_GB2312" w:hAnsi="仿宋_GB2312" w:eastAsia="仿宋_GB2312" w:cs="仿宋_GB2312"/>
          <w:color w:val="auto"/>
          <w:sz w:val="32"/>
          <w:szCs w:val="32"/>
          <w:lang w:val="en-US" w:eastAsia="zh-CN"/>
        </w:rPr>
        <w:t>2018版</w:t>
      </w:r>
      <w:r>
        <w:rPr>
          <w:rFonts w:hint="eastAsia" w:ascii="仿宋_GB2312" w:hAnsi="仿宋_GB2312" w:eastAsia="仿宋_GB2312" w:cs="仿宋_GB2312"/>
          <w:color w:val="auto"/>
          <w:sz w:val="32"/>
          <w:szCs w:val="32"/>
          <w:lang w:eastAsia="zh-CN"/>
        </w:rPr>
        <w:t>），其中在分部分项工程量清单与计价表、施工技术措施项目清单与计价表中对“变更前”和“变更后”进行对比。</w:t>
      </w:r>
    </w:p>
    <w:p w14:paraId="37DA3631">
      <w:pPr>
        <w:numPr>
          <w:ilvl w:val="0"/>
          <w:numId w:val="1"/>
        </w:numPr>
        <w:ind w:firstLine="640"/>
        <w:rPr>
          <w:rFonts w:hint="eastAsia"/>
          <w:color w:val="auto"/>
        </w:rPr>
      </w:pPr>
      <w:r>
        <w:rPr>
          <w:rFonts w:hint="eastAsia" w:ascii="仿宋_GB2312" w:hAnsi="仿宋_GB2312" w:eastAsia="仿宋_GB2312" w:cs="仿宋_GB2312"/>
          <w:color w:val="auto"/>
          <w:sz w:val="32"/>
          <w:szCs w:val="32"/>
          <w:lang w:eastAsia="zh-CN"/>
        </w:rPr>
        <w:t>在分部分项工程量清单与计价表、施工技术措施项目清单与计价表的“备注栏”中注明该清单单价是“中标单价”还是“重组价”，</w:t>
      </w:r>
      <w:r>
        <w:rPr>
          <w:rFonts w:hint="eastAsia" w:ascii="仿宋_GB2312" w:hAnsi="仿宋_GB2312" w:eastAsia="仿宋_GB2312" w:cs="仿宋_GB2312"/>
          <w:color w:val="auto"/>
          <w:sz w:val="32"/>
          <w:szCs w:val="32"/>
          <w:highlight w:val="none"/>
          <w:lang w:val="en-US" w:eastAsia="zh-CN"/>
        </w:rPr>
        <w:t>重组价</w:t>
      </w:r>
      <w:r>
        <w:rPr>
          <w:rFonts w:hint="default" w:ascii="仿宋_GB2312" w:hAnsi="仿宋_GB2312" w:eastAsia="仿宋_GB2312" w:cs="仿宋_GB2312"/>
          <w:color w:val="auto"/>
          <w:sz w:val="32"/>
          <w:szCs w:val="32"/>
          <w:highlight w:val="none"/>
          <w:lang w:eastAsia="zh-CN"/>
        </w:rPr>
        <w:t>部分</w:t>
      </w:r>
      <w:r>
        <w:rPr>
          <w:rFonts w:hint="eastAsia" w:ascii="仿宋_GB2312" w:hAnsi="仿宋_GB2312" w:eastAsia="仿宋_GB2312" w:cs="仿宋_GB2312"/>
          <w:color w:val="auto"/>
          <w:sz w:val="32"/>
          <w:szCs w:val="32"/>
          <w:highlight w:val="none"/>
          <w:lang w:val="en-US" w:eastAsia="zh-CN"/>
        </w:rPr>
        <w:t>应提供综合单价分析表。</w:t>
      </w:r>
    </w:p>
    <w:p w14:paraId="33D18539">
      <w:pPr>
        <w:spacing w:line="560" w:lineRule="exact"/>
        <w:ind w:firstLine="640"/>
        <w:rPr>
          <w:rFonts w:hint="eastAsia" w:ascii="仿宋_GB2312" w:hAnsi="仿宋_GB2312" w:eastAsia="仿宋_GB2312" w:cs="仿宋_GB2312"/>
          <w:sz w:val="32"/>
          <w:szCs w:val="32"/>
        </w:rPr>
      </w:pPr>
    </w:p>
    <w:sectPr>
      <w:pgSz w:w="11906" w:h="16838"/>
      <w:pgMar w:top="1440" w:right="1457" w:bottom="1440" w:left="1457" w:header="851" w:footer="992" w:gutter="0"/>
      <w:pgBorders>
        <w:top w:val="none" w:sz="0" w:space="0"/>
        <w:left w:val="none" w:sz="0" w:space="0"/>
        <w:bottom w:val="none" w:sz="0" w:space="0"/>
        <w:right w:val="none" w:sz="0" w:space="0"/>
      </w:pgBorders>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6E2B">
    <w:pPr>
      <w:pStyle w:val="10"/>
      <w:ind w:firstLine="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494BC">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C494BC">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965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B5A1C"/>
    <w:multiLevelType w:val="singleLevel"/>
    <w:tmpl w:val="F60B5A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TBkNjk0NWIwNDM4ZjgwNzYwNDhjODlmMDI5NzQifQ=="/>
  </w:docVars>
  <w:rsids>
    <w:rsidRoot w:val="00736E5A"/>
    <w:rsid w:val="0001598A"/>
    <w:rsid w:val="00026189"/>
    <w:rsid w:val="000524A5"/>
    <w:rsid w:val="0008508C"/>
    <w:rsid w:val="000D6465"/>
    <w:rsid w:val="000E0374"/>
    <w:rsid w:val="000E28A9"/>
    <w:rsid w:val="000F076C"/>
    <w:rsid w:val="00115DD1"/>
    <w:rsid w:val="0014096C"/>
    <w:rsid w:val="00181AC5"/>
    <w:rsid w:val="00182655"/>
    <w:rsid w:val="00183EB8"/>
    <w:rsid w:val="00191D65"/>
    <w:rsid w:val="00197B6B"/>
    <w:rsid w:val="001A0D1B"/>
    <w:rsid w:val="001C1524"/>
    <w:rsid w:val="001D28CC"/>
    <w:rsid w:val="001E12F6"/>
    <w:rsid w:val="001E3F8E"/>
    <w:rsid w:val="001E4F23"/>
    <w:rsid w:val="002208CD"/>
    <w:rsid w:val="00224889"/>
    <w:rsid w:val="00246770"/>
    <w:rsid w:val="0025705B"/>
    <w:rsid w:val="00283740"/>
    <w:rsid w:val="002B53E3"/>
    <w:rsid w:val="002D63A0"/>
    <w:rsid w:val="002F0414"/>
    <w:rsid w:val="002F6AF5"/>
    <w:rsid w:val="00311FAE"/>
    <w:rsid w:val="00337C6F"/>
    <w:rsid w:val="00376F63"/>
    <w:rsid w:val="00380CCC"/>
    <w:rsid w:val="003D7407"/>
    <w:rsid w:val="003E0D57"/>
    <w:rsid w:val="00401115"/>
    <w:rsid w:val="0044210E"/>
    <w:rsid w:val="00481CC9"/>
    <w:rsid w:val="00483694"/>
    <w:rsid w:val="004949C8"/>
    <w:rsid w:val="004B6C4D"/>
    <w:rsid w:val="004D00FA"/>
    <w:rsid w:val="004E3460"/>
    <w:rsid w:val="005062C0"/>
    <w:rsid w:val="00506A2C"/>
    <w:rsid w:val="00515035"/>
    <w:rsid w:val="005247B2"/>
    <w:rsid w:val="00536F34"/>
    <w:rsid w:val="00541B2B"/>
    <w:rsid w:val="00544A5C"/>
    <w:rsid w:val="00560301"/>
    <w:rsid w:val="00582289"/>
    <w:rsid w:val="005B080C"/>
    <w:rsid w:val="005B4849"/>
    <w:rsid w:val="005B599B"/>
    <w:rsid w:val="005E2154"/>
    <w:rsid w:val="00602F27"/>
    <w:rsid w:val="00654815"/>
    <w:rsid w:val="00691993"/>
    <w:rsid w:val="006D18A3"/>
    <w:rsid w:val="006F06A4"/>
    <w:rsid w:val="006F34C1"/>
    <w:rsid w:val="00711420"/>
    <w:rsid w:val="00711A64"/>
    <w:rsid w:val="00714BBE"/>
    <w:rsid w:val="0071622F"/>
    <w:rsid w:val="00716EF5"/>
    <w:rsid w:val="007343F8"/>
    <w:rsid w:val="00736E5A"/>
    <w:rsid w:val="0078437C"/>
    <w:rsid w:val="00790049"/>
    <w:rsid w:val="00792E1D"/>
    <w:rsid w:val="007941BB"/>
    <w:rsid w:val="007A3B14"/>
    <w:rsid w:val="007E1351"/>
    <w:rsid w:val="00821546"/>
    <w:rsid w:val="0085071B"/>
    <w:rsid w:val="008743B5"/>
    <w:rsid w:val="008744EB"/>
    <w:rsid w:val="008877F8"/>
    <w:rsid w:val="008A34F3"/>
    <w:rsid w:val="008B6617"/>
    <w:rsid w:val="008C5F58"/>
    <w:rsid w:val="008F6848"/>
    <w:rsid w:val="0090414A"/>
    <w:rsid w:val="009316A3"/>
    <w:rsid w:val="00934E28"/>
    <w:rsid w:val="00935C1F"/>
    <w:rsid w:val="00937309"/>
    <w:rsid w:val="00941C36"/>
    <w:rsid w:val="00950524"/>
    <w:rsid w:val="00950AA2"/>
    <w:rsid w:val="0096165A"/>
    <w:rsid w:val="009766F7"/>
    <w:rsid w:val="00980D56"/>
    <w:rsid w:val="009D1AD6"/>
    <w:rsid w:val="009E0D9C"/>
    <w:rsid w:val="00A026EC"/>
    <w:rsid w:val="00A11411"/>
    <w:rsid w:val="00A214FF"/>
    <w:rsid w:val="00A260B8"/>
    <w:rsid w:val="00A32C62"/>
    <w:rsid w:val="00A44B40"/>
    <w:rsid w:val="00A50E33"/>
    <w:rsid w:val="00A71D20"/>
    <w:rsid w:val="00A7290C"/>
    <w:rsid w:val="00A77B01"/>
    <w:rsid w:val="00A932B1"/>
    <w:rsid w:val="00AA30C0"/>
    <w:rsid w:val="00AA3948"/>
    <w:rsid w:val="00AB1ABE"/>
    <w:rsid w:val="00AC2CB0"/>
    <w:rsid w:val="00AC795C"/>
    <w:rsid w:val="00AD7EA8"/>
    <w:rsid w:val="00B202E2"/>
    <w:rsid w:val="00B223BF"/>
    <w:rsid w:val="00B423EE"/>
    <w:rsid w:val="00B50E28"/>
    <w:rsid w:val="00B536A1"/>
    <w:rsid w:val="00B6095D"/>
    <w:rsid w:val="00BB453A"/>
    <w:rsid w:val="00BE1E2D"/>
    <w:rsid w:val="00C36C84"/>
    <w:rsid w:val="00C45B14"/>
    <w:rsid w:val="00C649FB"/>
    <w:rsid w:val="00C95460"/>
    <w:rsid w:val="00CB0CCD"/>
    <w:rsid w:val="00CD339F"/>
    <w:rsid w:val="00CD473C"/>
    <w:rsid w:val="00CD4E5D"/>
    <w:rsid w:val="00CF7624"/>
    <w:rsid w:val="00D037C3"/>
    <w:rsid w:val="00D2602C"/>
    <w:rsid w:val="00D50DE2"/>
    <w:rsid w:val="00D65C29"/>
    <w:rsid w:val="00D752D6"/>
    <w:rsid w:val="00D837C7"/>
    <w:rsid w:val="00DA6F84"/>
    <w:rsid w:val="00DC153D"/>
    <w:rsid w:val="00DC3A1C"/>
    <w:rsid w:val="00DD0DCE"/>
    <w:rsid w:val="00E04594"/>
    <w:rsid w:val="00E15558"/>
    <w:rsid w:val="00E26CD4"/>
    <w:rsid w:val="00E44C75"/>
    <w:rsid w:val="00E660CB"/>
    <w:rsid w:val="00EA1888"/>
    <w:rsid w:val="00EC7718"/>
    <w:rsid w:val="00ED3ECB"/>
    <w:rsid w:val="00EE463D"/>
    <w:rsid w:val="00EE60DF"/>
    <w:rsid w:val="00F114D2"/>
    <w:rsid w:val="00F21040"/>
    <w:rsid w:val="00F40614"/>
    <w:rsid w:val="00F4346F"/>
    <w:rsid w:val="00F837DA"/>
    <w:rsid w:val="00F85C01"/>
    <w:rsid w:val="00FE11BD"/>
    <w:rsid w:val="01285565"/>
    <w:rsid w:val="0136231A"/>
    <w:rsid w:val="014731DF"/>
    <w:rsid w:val="015A56E1"/>
    <w:rsid w:val="01895708"/>
    <w:rsid w:val="01CB0C86"/>
    <w:rsid w:val="01D542D7"/>
    <w:rsid w:val="020E0FC6"/>
    <w:rsid w:val="030868CD"/>
    <w:rsid w:val="035340BE"/>
    <w:rsid w:val="04E976BA"/>
    <w:rsid w:val="072F5E0B"/>
    <w:rsid w:val="07505FEB"/>
    <w:rsid w:val="079E57E0"/>
    <w:rsid w:val="080A4836"/>
    <w:rsid w:val="0AD06F7E"/>
    <w:rsid w:val="0B3621CF"/>
    <w:rsid w:val="0B447B02"/>
    <w:rsid w:val="0C7152A9"/>
    <w:rsid w:val="0C7E7DDA"/>
    <w:rsid w:val="0CF87701"/>
    <w:rsid w:val="0F42525C"/>
    <w:rsid w:val="0FB472FE"/>
    <w:rsid w:val="104F52B8"/>
    <w:rsid w:val="107D7454"/>
    <w:rsid w:val="109772D5"/>
    <w:rsid w:val="11F2110F"/>
    <w:rsid w:val="12331667"/>
    <w:rsid w:val="134425D3"/>
    <w:rsid w:val="14615940"/>
    <w:rsid w:val="15286C2C"/>
    <w:rsid w:val="172B288F"/>
    <w:rsid w:val="179B731D"/>
    <w:rsid w:val="1AAC384C"/>
    <w:rsid w:val="1B145EA7"/>
    <w:rsid w:val="1B75566C"/>
    <w:rsid w:val="1C123C02"/>
    <w:rsid w:val="1C264CA2"/>
    <w:rsid w:val="1C477673"/>
    <w:rsid w:val="1E015654"/>
    <w:rsid w:val="1E2C50CB"/>
    <w:rsid w:val="1FA6661C"/>
    <w:rsid w:val="23F94534"/>
    <w:rsid w:val="24262921"/>
    <w:rsid w:val="24E60490"/>
    <w:rsid w:val="25C4493A"/>
    <w:rsid w:val="26592721"/>
    <w:rsid w:val="268F181B"/>
    <w:rsid w:val="26BA6CFB"/>
    <w:rsid w:val="26D800D5"/>
    <w:rsid w:val="272D3FB9"/>
    <w:rsid w:val="27A06B10"/>
    <w:rsid w:val="282E5A30"/>
    <w:rsid w:val="2A3569CB"/>
    <w:rsid w:val="2ACB16B0"/>
    <w:rsid w:val="2B730BE8"/>
    <w:rsid w:val="2CE10D2D"/>
    <w:rsid w:val="2D167EF6"/>
    <w:rsid w:val="2D280D7F"/>
    <w:rsid w:val="2DC76352"/>
    <w:rsid w:val="2F9402FD"/>
    <w:rsid w:val="30480A32"/>
    <w:rsid w:val="30944921"/>
    <w:rsid w:val="318F1FBE"/>
    <w:rsid w:val="320656A0"/>
    <w:rsid w:val="323E4856"/>
    <w:rsid w:val="33A416AB"/>
    <w:rsid w:val="353A3197"/>
    <w:rsid w:val="355B1908"/>
    <w:rsid w:val="36615D53"/>
    <w:rsid w:val="385876FF"/>
    <w:rsid w:val="3AA3470C"/>
    <w:rsid w:val="3B2B211A"/>
    <w:rsid w:val="3B4E14F1"/>
    <w:rsid w:val="3BF86DCC"/>
    <w:rsid w:val="3C9444A1"/>
    <w:rsid w:val="3DDE5232"/>
    <w:rsid w:val="3ED1739E"/>
    <w:rsid w:val="43425B21"/>
    <w:rsid w:val="444C4370"/>
    <w:rsid w:val="448D7E54"/>
    <w:rsid w:val="45F113BC"/>
    <w:rsid w:val="46605CAB"/>
    <w:rsid w:val="48413578"/>
    <w:rsid w:val="48756A22"/>
    <w:rsid w:val="4C1B4A90"/>
    <w:rsid w:val="4C702E50"/>
    <w:rsid w:val="4C8723A4"/>
    <w:rsid w:val="5032019A"/>
    <w:rsid w:val="507B0526"/>
    <w:rsid w:val="52372490"/>
    <w:rsid w:val="57751D0C"/>
    <w:rsid w:val="58B76337"/>
    <w:rsid w:val="590335A0"/>
    <w:rsid w:val="59284EC0"/>
    <w:rsid w:val="5BCF120D"/>
    <w:rsid w:val="5C917187"/>
    <w:rsid w:val="5F176C29"/>
    <w:rsid w:val="61D54D59"/>
    <w:rsid w:val="62A02A73"/>
    <w:rsid w:val="63471D6C"/>
    <w:rsid w:val="652571CE"/>
    <w:rsid w:val="659E0195"/>
    <w:rsid w:val="65F353AE"/>
    <w:rsid w:val="67C5643C"/>
    <w:rsid w:val="689D329B"/>
    <w:rsid w:val="6B470820"/>
    <w:rsid w:val="6B510E27"/>
    <w:rsid w:val="6BEF6105"/>
    <w:rsid w:val="6C901E87"/>
    <w:rsid w:val="6DE40E56"/>
    <w:rsid w:val="6FCF2EAD"/>
    <w:rsid w:val="702B0C0A"/>
    <w:rsid w:val="71CC5EF6"/>
    <w:rsid w:val="72F2087A"/>
    <w:rsid w:val="745C19B1"/>
    <w:rsid w:val="74AA1006"/>
    <w:rsid w:val="75AD76E3"/>
    <w:rsid w:val="76435113"/>
    <w:rsid w:val="774F64BA"/>
    <w:rsid w:val="774F7BA9"/>
    <w:rsid w:val="7C0A64DE"/>
    <w:rsid w:val="7D484208"/>
    <w:rsid w:val="7EFC1C4C"/>
    <w:rsid w:val="7F1328D0"/>
    <w:rsid w:val="7F171084"/>
    <w:rsid w:val="7F791980"/>
    <w:rsid w:val="7F950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宋体"/>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line="560" w:lineRule="exact"/>
      <w:ind w:firstLine="641"/>
      <w:jc w:val="left"/>
      <w:outlineLvl w:val="0"/>
    </w:pPr>
    <w:rPr>
      <w:rFonts w:ascii="宋体" w:hAnsi="宋体" w:eastAsia="宋体" w:cs="Times New Roman"/>
      <w:b/>
      <w:bCs/>
      <w:kern w:val="36"/>
      <w:sz w:val="48"/>
      <w:szCs w:val="48"/>
    </w:rPr>
  </w:style>
  <w:style w:type="paragraph" w:styleId="3">
    <w:name w:val="heading 2"/>
    <w:basedOn w:val="1"/>
    <w:next w:val="1"/>
    <w:link w:val="21"/>
    <w:qFormat/>
    <w:uiPriority w:val="99"/>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22"/>
    <w:qFormat/>
    <w:uiPriority w:val="99"/>
    <w:pPr>
      <w:widowControl/>
      <w:spacing w:before="100" w:beforeAutospacing="1" w:after="100" w:afterAutospacing="1" w:line="560" w:lineRule="exact"/>
      <w:ind w:firstLine="641"/>
      <w:jc w:val="left"/>
      <w:outlineLvl w:val="2"/>
    </w:pPr>
    <w:rPr>
      <w:rFonts w:ascii="宋体" w:hAnsi="宋体" w:eastAsia="宋体" w:cs="Times New Roman"/>
      <w:b/>
      <w:bCs/>
      <w:kern w:val="0"/>
      <w:sz w:val="27"/>
      <w:szCs w:val="27"/>
    </w:rPr>
  </w:style>
  <w:style w:type="paragraph" w:styleId="5">
    <w:name w:val="heading 6"/>
    <w:basedOn w:val="1"/>
    <w:next w:val="1"/>
    <w:link w:val="23"/>
    <w:qFormat/>
    <w:uiPriority w:val="99"/>
    <w:pPr>
      <w:widowControl/>
      <w:spacing w:before="100" w:beforeAutospacing="1" w:after="100" w:afterAutospacing="1" w:line="560" w:lineRule="exact"/>
      <w:ind w:firstLine="641"/>
      <w:jc w:val="left"/>
      <w:outlineLvl w:val="5"/>
    </w:pPr>
    <w:rPr>
      <w:rFonts w:ascii="宋体" w:hAnsi="宋体" w:eastAsia="宋体" w:cs="Times New Roman"/>
      <w:b/>
      <w:bCs/>
      <w:kern w:val="0"/>
      <w:sz w:val="15"/>
      <w:szCs w:val="15"/>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annotation text"/>
    <w:basedOn w:val="1"/>
    <w:link w:val="24"/>
    <w:qFormat/>
    <w:uiPriority w:val="99"/>
    <w:pPr>
      <w:jc w:val="left"/>
    </w:pPr>
    <w:rPr>
      <w:rFonts w:cs="Times New Roman"/>
      <w:kern w:val="0"/>
      <w:sz w:val="22"/>
    </w:rPr>
  </w:style>
  <w:style w:type="paragraph" w:styleId="8">
    <w:name w:val="Date"/>
    <w:basedOn w:val="1"/>
    <w:next w:val="1"/>
    <w:link w:val="25"/>
    <w:qFormat/>
    <w:uiPriority w:val="99"/>
    <w:pPr>
      <w:ind w:left="100" w:leftChars="2500"/>
    </w:pPr>
    <w:rPr>
      <w:rFonts w:cs="Times New Roman"/>
      <w:kern w:val="0"/>
      <w:sz w:val="22"/>
    </w:rPr>
  </w:style>
  <w:style w:type="paragraph" w:styleId="9">
    <w:name w:val="Balloon Text"/>
    <w:basedOn w:val="1"/>
    <w:link w:val="26"/>
    <w:qFormat/>
    <w:uiPriority w:val="99"/>
    <w:rPr>
      <w:rFonts w:cs="Times New Roman"/>
      <w:kern w:val="0"/>
      <w:sz w:val="18"/>
      <w:szCs w:val="18"/>
    </w:rPr>
  </w:style>
  <w:style w:type="paragraph" w:styleId="10">
    <w:name w:val="footer"/>
    <w:basedOn w:val="1"/>
    <w:link w:val="27"/>
    <w:qFormat/>
    <w:uiPriority w:val="99"/>
    <w:pPr>
      <w:widowControl/>
      <w:tabs>
        <w:tab w:val="center" w:pos="4153"/>
        <w:tab w:val="right" w:pos="8306"/>
      </w:tabs>
      <w:snapToGrid w:val="0"/>
      <w:spacing w:line="240" w:lineRule="atLeast"/>
      <w:ind w:firstLine="641"/>
      <w:jc w:val="left"/>
    </w:pPr>
    <w:rPr>
      <w:rFonts w:ascii="Times New Roman" w:eastAsia="宋体" w:cs="Times New Roman"/>
      <w:kern w:val="0"/>
      <w:sz w:val="18"/>
      <w:szCs w:val="18"/>
    </w:rPr>
  </w:style>
  <w:style w:type="paragraph" w:styleId="11">
    <w:name w:val="header"/>
    <w:basedOn w:val="1"/>
    <w:link w:val="28"/>
    <w:qFormat/>
    <w:uiPriority w:val="99"/>
    <w:pPr>
      <w:widowControl/>
      <w:pBdr>
        <w:bottom w:val="single" w:color="auto" w:sz="6" w:space="1"/>
      </w:pBdr>
      <w:tabs>
        <w:tab w:val="center" w:pos="4153"/>
        <w:tab w:val="right" w:pos="8306"/>
      </w:tabs>
      <w:snapToGrid w:val="0"/>
      <w:spacing w:line="240" w:lineRule="atLeast"/>
      <w:ind w:firstLine="641"/>
      <w:jc w:val="center"/>
    </w:pPr>
    <w:rPr>
      <w:rFonts w:ascii="Times New Roman" w:eastAsia="宋体" w:cs="Times New Roman"/>
      <w:kern w:val="0"/>
      <w:sz w:val="18"/>
      <w:szCs w:val="18"/>
    </w:rPr>
  </w:style>
  <w:style w:type="paragraph" w:styleId="12">
    <w:name w:val="annotation subject"/>
    <w:basedOn w:val="7"/>
    <w:next w:val="7"/>
    <w:link w:val="29"/>
    <w:qFormat/>
    <w:uiPriority w:val="99"/>
    <w:rPr>
      <w:b/>
      <w:bCs/>
    </w:rPr>
  </w:style>
  <w:style w:type="table" w:styleId="14">
    <w:name w:val="Table Grid"/>
    <w:basedOn w:val="13"/>
    <w:qFormat/>
    <w:uiPriority w:val="99"/>
    <w:rPr>
      <w:rFonts w:asci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semiHidden/>
    <w:unhideWhenUsed/>
    <w:qFormat/>
    <w:uiPriority w:val="99"/>
    <w:rPr>
      <w:color w:val="0000FF"/>
      <w:u w:val="single"/>
    </w:rPr>
  </w:style>
  <w:style w:type="character" w:styleId="18">
    <w:name w:val="annotation reference"/>
    <w:qFormat/>
    <w:uiPriority w:val="99"/>
    <w:rPr>
      <w:rFonts w:cs="Times New Roman"/>
      <w:sz w:val="21"/>
    </w:rPr>
  </w:style>
  <w:style w:type="paragraph" w:customStyle="1" w:styleId="19">
    <w:name w:val="Char"/>
    <w:basedOn w:val="1"/>
    <w:qFormat/>
    <w:uiPriority w:val="99"/>
    <w:rPr>
      <w:rFonts w:ascii="Calibri" w:hAnsi="Calibri" w:eastAsia="宋体" w:cs="Times New Roman"/>
      <w:szCs w:val="24"/>
    </w:rPr>
  </w:style>
  <w:style w:type="character" w:customStyle="1" w:styleId="20">
    <w:name w:val="标题 1 Char"/>
    <w:link w:val="2"/>
    <w:qFormat/>
    <w:locked/>
    <w:uiPriority w:val="99"/>
    <w:rPr>
      <w:rFonts w:ascii="宋体" w:hAnsi="宋体" w:eastAsia="宋体"/>
      <w:b/>
      <w:kern w:val="36"/>
      <w:sz w:val="48"/>
    </w:rPr>
  </w:style>
  <w:style w:type="character" w:customStyle="1" w:styleId="21">
    <w:name w:val="标题 2 Char"/>
    <w:link w:val="3"/>
    <w:semiHidden/>
    <w:qFormat/>
    <w:locked/>
    <w:uiPriority w:val="99"/>
    <w:rPr>
      <w:rFonts w:ascii="Cambria" w:hAnsi="Cambria" w:eastAsia="宋体"/>
      <w:b/>
      <w:sz w:val="32"/>
    </w:rPr>
  </w:style>
  <w:style w:type="character" w:customStyle="1" w:styleId="22">
    <w:name w:val="标题 3 Char"/>
    <w:link w:val="4"/>
    <w:qFormat/>
    <w:locked/>
    <w:uiPriority w:val="99"/>
    <w:rPr>
      <w:rFonts w:ascii="宋体" w:hAnsi="宋体" w:eastAsia="宋体"/>
      <w:b/>
      <w:kern w:val="0"/>
      <w:sz w:val="27"/>
    </w:rPr>
  </w:style>
  <w:style w:type="character" w:customStyle="1" w:styleId="23">
    <w:name w:val="标题 6 Char"/>
    <w:link w:val="5"/>
    <w:qFormat/>
    <w:locked/>
    <w:uiPriority w:val="99"/>
    <w:rPr>
      <w:rFonts w:ascii="宋体" w:hAnsi="宋体" w:eastAsia="宋体"/>
      <w:b/>
      <w:kern w:val="0"/>
      <w:sz w:val="15"/>
    </w:rPr>
  </w:style>
  <w:style w:type="character" w:customStyle="1" w:styleId="24">
    <w:name w:val="批注文字 Char"/>
    <w:link w:val="7"/>
    <w:qFormat/>
    <w:locked/>
    <w:uiPriority w:val="99"/>
    <w:rPr>
      <w:rFonts w:ascii="等线" w:eastAsia="等线"/>
      <w:sz w:val="22"/>
    </w:rPr>
  </w:style>
  <w:style w:type="character" w:customStyle="1" w:styleId="25">
    <w:name w:val="日期 Char"/>
    <w:link w:val="8"/>
    <w:qFormat/>
    <w:locked/>
    <w:uiPriority w:val="99"/>
    <w:rPr>
      <w:rFonts w:ascii="等线" w:eastAsia="等线"/>
      <w:sz w:val="22"/>
    </w:rPr>
  </w:style>
  <w:style w:type="character" w:customStyle="1" w:styleId="26">
    <w:name w:val="批注框文本 Char"/>
    <w:link w:val="9"/>
    <w:qFormat/>
    <w:locked/>
    <w:uiPriority w:val="99"/>
    <w:rPr>
      <w:rFonts w:ascii="等线" w:eastAsia="等线"/>
      <w:sz w:val="18"/>
    </w:rPr>
  </w:style>
  <w:style w:type="character" w:customStyle="1" w:styleId="27">
    <w:name w:val="页脚 Char"/>
    <w:link w:val="10"/>
    <w:qFormat/>
    <w:locked/>
    <w:uiPriority w:val="99"/>
    <w:rPr>
      <w:sz w:val="18"/>
    </w:rPr>
  </w:style>
  <w:style w:type="character" w:customStyle="1" w:styleId="28">
    <w:name w:val="页眉 Char"/>
    <w:link w:val="11"/>
    <w:qFormat/>
    <w:locked/>
    <w:uiPriority w:val="99"/>
    <w:rPr>
      <w:sz w:val="18"/>
    </w:rPr>
  </w:style>
  <w:style w:type="character" w:customStyle="1" w:styleId="29">
    <w:name w:val="批注主题 Char"/>
    <w:link w:val="12"/>
    <w:qFormat/>
    <w:locked/>
    <w:uiPriority w:val="99"/>
    <w:rPr>
      <w:rFonts w:ascii="等线" w:eastAsia="等线"/>
      <w:b/>
      <w:sz w:val="22"/>
    </w:rPr>
  </w:style>
  <w:style w:type="paragraph" w:customStyle="1" w:styleId="30">
    <w:name w:val="列表段落1"/>
    <w:basedOn w:val="1"/>
    <w:qFormat/>
    <w:uiPriority w:val="99"/>
    <w:pPr>
      <w:ind w:firstLine="420" w:firstLineChars="200"/>
    </w:pPr>
  </w:style>
  <w:style w:type="table" w:customStyle="1" w:styleId="31">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列表段落2"/>
    <w:basedOn w:val="1"/>
    <w:qFormat/>
    <w:uiPriority w:val="99"/>
    <w:pPr>
      <w:ind w:firstLine="420" w:firstLineChars="200"/>
    </w:pPr>
  </w:style>
  <w:style w:type="paragraph" w:customStyle="1" w:styleId="33">
    <w:name w:val="D(一)"/>
    <w:basedOn w:val="3"/>
    <w:next w:val="3"/>
    <w:qFormat/>
    <w:uiPriority w:val="99"/>
    <w:pPr>
      <w:spacing w:before="0" w:after="0" w:line="360" w:lineRule="auto"/>
    </w:pPr>
    <w:rPr>
      <w:rFonts w:eastAsia="楷体"/>
      <w:kern w:val="2"/>
    </w:rPr>
  </w:style>
  <w:style w:type="paragraph" w:customStyle="1" w:styleId="34">
    <w:name w:val="Table Text"/>
    <w:basedOn w:val="1"/>
    <w:semiHidden/>
    <w:qFormat/>
    <w:uiPriority w:val="0"/>
    <w:rPr>
      <w:rFonts w:ascii="仿宋" w:hAnsi="仿宋" w:eastAsia="仿宋" w:cs="仿宋"/>
      <w:sz w:val="24"/>
      <w:szCs w:val="24"/>
      <w:lang w:val="en-US" w:eastAsia="en-US" w:bidi="ar-SA"/>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16</Pages>
  <Words>4844</Words>
  <Characters>4893</Characters>
  <Lines>36</Lines>
  <Paragraphs>10</Paragraphs>
  <TotalTime>0</TotalTime>
  <ScaleCrop>false</ScaleCrop>
  <LinksUpToDate>false</LinksUpToDate>
  <CharactersWithSpaces>5867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2020-09-17T01:20:00Z</dcterms:created>
  <dc:creator>应 一兵</dc:creator>
  <cp:lastModifiedBy>林桦</cp:lastModifiedBy>
  <cp:lastPrinted>2021-05-31T06:21:00Z</cp:lastPrinted>
  <dcterms:modified xsi:type="dcterms:W3CDTF">2024-11-20T03:02:29Z</dcterms:modified>
  <dc:title>嵊州市开发区整合提升方案（初稿）</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8153D97686574063B6CB64810B2921CE_13</vt:lpwstr>
  </property>
</Properties>
</file>