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6"/>
          <w:szCs w:val="36"/>
        </w:rPr>
      </w:pPr>
      <w:bookmarkStart w:id="0" w:name="_Toc416939933"/>
      <w:bookmarkStart w:id="1" w:name="_Toc415228645"/>
      <w:bookmarkStart w:id="2" w:name="_Toc416939932"/>
      <w:bookmarkStart w:id="3" w:name="zhengwen"/>
      <w:r>
        <w:rPr>
          <w:rFonts w:hint="eastAsia" w:ascii="黑体" w:hAnsi="黑体" w:eastAsia="黑体" w:cs="黑体"/>
          <w:color w:val="auto"/>
          <w:sz w:val="36"/>
          <w:szCs w:val="36"/>
        </w:rPr>
        <w:t>宁波前湾新区</w:t>
      </w:r>
      <w:r>
        <w:rPr>
          <w:rFonts w:hint="eastAsia" w:ascii="黑体" w:hAnsi="黑体" w:eastAsia="黑体" w:cs="黑体"/>
          <w:color w:val="auto"/>
          <w:sz w:val="36"/>
          <w:szCs w:val="36"/>
        </w:rPr>
        <w:t>磷脂酰丝氨酸、磷脂酰丝氨酸油</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生产许可审查方案</w:t>
      </w:r>
    </w:p>
    <w:p>
      <w:pPr>
        <w:spacing w:line="400" w:lineRule="exact"/>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（意见征求稿）</w:t>
      </w:r>
    </w:p>
    <w:p>
      <w:pPr>
        <w:spacing w:line="400" w:lineRule="exact"/>
        <w:jc w:val="center"/>
        <w:rPr>
          <w:rFonts w:hint="eastAsia" w:ascii="仿宋" w:hAnsi="仿宋" w:eastAsia="仿宋" w:cs="仿宋"/>
          <w:color w:val="auto"/>
          <w:kern w:val="0"/>
          <w:sz w:val="30"/>
          <w:szCs w:val="30"/>
          <w:lang w:eastAsia="zh-CN"/>
        </w:rPr>
      </w:pPr>
    </w:p>
    <w:p>
      <w:pPr>
        <w:numPr>
          <w:ilvl w:val="0"/>
          <w:numId w:val="1"/>
        </w:numPr>
        <w:spacing w:line="5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总则</w:t>
      </w:r>
    </w:p>
    <w:p>
      <w:pPr>
        <w:numPr>
          <w:ilvl w:val="0"/>
          <w:numId w:val="2"/>
        </w:numPr>
        <w:spacing w:line="500" w:lineRule="exact"/>
        <w:ind w:left="21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为规范</w:t>
      </w:r>
      <w:r>
        <w:rPr>
          <w:rFonts w:hint="eastAsia" w:ascii="仿宋" w:hAnsi="仿宋" w:eastAsia="仿宋" w:cs="仿宋"/>
          <w:color w:val="auto"/>
          <w:kern w:val="0"/>
          <w:sz w:val="30"/>
          <w:szCs w:val="30"/>
        </w:rPr>
        <w:t>宁波前湾新区磷脂酰丝氨酸、磷脂酰丝氨酸油</w:t>
      </w:r>
      <w:r>
        <w:rPr>
          <w:rFonts w:hint="eastAsia" w:ascii="仿宋" w:hAnsi="仿宋" w:eastAsia="仿宋" w:cs="仿宋"/>
          <w:color w:val="auto"/>
          <w:kern w:val="0"/>
          <w:sz w:val="30"/>
          <w:szCs w:val="30"/>
        </w:rPr>
        <w:t xml:space="preserve">生产许可审查工作，依据《中华人民共和国 食品安全法》《食品生产许可管理办法》《食品生产许可审查通则》（以下简称《审查通则》）及相关食品安全国家标准等规定，制定本方案。 </w:t>
      </w:r>
    </w:p>
    <w:p>
      <w:pPr>
        <w:numPr>
          <w:ilvl w:val="0"/>
          <w:numId w:val="2"/>
        </w:numPr>
        <w:spacing w:line="500" w:lineRule="exact"/>
        <w:ind w:left="210"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rPr>
        <w:t>本方案适用于</w:t>
      </w:r>
      <w:r>
        <w:rPr>
          <w:rFonts w:hint="eastAsia" w:ascii="仿宋" w:hAnsi="仿宋" w:eastAsia="仿宋" w:cs="仿宋"/>
          <w:color w:val="auto"/>
          <w:kern w:val="0"/>
          <w:sz w:val="30"/>
          <w:szCs w:val="30"/>
        </w:rPr>
        <w:t>宁波前湾新区磷脂酰丝氨酸、磷脂酰丝氨酸油</w:t>
      </w:r>
      <w:r>
        <w:rPr>
          <w:rFonts w:hint="eastAsia" w:ascii="仿宋" w:hAnsi="仿宋" w:eastAsia="仿宋" w:cs="仿宋"/>
          <w:color w:val="auto"/>
          <w:kern w:val="0"/>
          <w:sz w:val="30"/>
          <w:szCs w:val="30"/>
        </w:rPr>
        <w:t>生产许可条件的审查。</w:t>
      </w:r>
      <w:r>
        <w:rPr>
          <w:rFonts w:hint="eastAsia" w:ascii="仿宋" w:hAnsi="仿宋" w:eastAsia="仿宋" w:cs="仿宋"/>
          <w:color w:val="auto"/>
          <w:kern w:val="0"/>
          <w:sz w:val="30"/>
          <w:szCs w:val="30"/>
          <w:highlight w:val="none"/>
        </w:rPr>
        <w:t>本方案所称的磷脂酰丝氨酸是指</w:t>
      </w:r>
      <w:r>
        <w:rPr>
          <w:rFonts w:ascii="仿宋" w:hAnsi="仿宋" w:eastAsia="仿宋" w:cs="仿宋"/>
          <w:color w:val="auto"/>
          <w:kern w:val="0"/>
          <w:sz w:val="28"/>
          <w:szCs w:val="28"/>
          <w:highlight w:val="none"/>
        </w:rPr>
        <w:t>以大豆卵磷脂和L-丝氨酸为原料，采用磷脂酶转化反应后，</w:t>
      </w:r>
      <w:r>
        <w:rPr>
          <w:rFonts w:hint="eastAsia" w:ascii="仿宋" w:hAnsi="仿宋" w:eastAsia="仿宋" w:cs="仿宋"/>
          <w:color w:val="auto"/>
          <w:kern w:val="0"/>
          <w:sz w:val="28"/>
          <w:szCs w:val="28"/>
          <w:highlight w:val="none"/>
        </w:rPr>
        <w:t>经</w:t>
      </w:r>
      <w:r>
        <w:rPr>
          <w:rFonts w:ascii="仿宋" w:hAnsi="仿宋" w:eastAsia="仿宋" w:cs="仿宋"/>
          <w:color w:val="auto"/>
          <w:kern w:val="0"/>
          <w:sz w:val="28"/>
          <w:szCs w:val="28"/>
          <w:highlight w:val="none"/>
        </w:rPr>
        <w:t>纯化</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干燥</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粉碎</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u w:val="none"/>
        </w:rPr>
        <w:t>添加或不添加食品添加剂、</w:t>
      </w:r>
      <w:r>
        <w:rPr>
          <w:rFonts w:hint="eastAsia" w:ascii="仿宋" w:hAnsi="仿宋" w:eastAsia="仿宋" w:cs="仿宋"/>
          <w:color w:val="auto"/>
          <w:kern w:val="0"/>
          <w:sz w:val="28"/>
          <w:szCs w:val="28"/>
          <w:highlight w:val="none"/>
        </w:rPr>
        <w:t>混合(必要时)、</w:t>
      </w:r>
      <w:r>
        <w:rPr>
          <w:rFonts w:ascii="仿宋" w:hAnsi="仿宋" w:eastAsia="仿宋" w:cs="仿宋"/>
          <w:color w:val="auto"/>
          <w:kern w:val="0"/>
          <w:sz w:val="28"/>
          <w:szCs w:val="28"/>
          <w:highlight w:val="none"/>
        </w:rPr>
        <w:t>包装等工艺加工</w:t>
      </w:r>
      <w:r>
        <w:rPr>
          <w:rFonts w:hint="eastAsia" w:ascii="仿宋" w:hAnsi="仿宋" w:eastAsia="仿宋" w:cs="仿宋"/>
          <w:color w:val="auto"/>
          <w:kern w:val="0"/>
          <w:sz w:val="28"/>
          <w:szCs w:val="28"/>
          <w:highlight w:val="none"/>
        </w:rPr>
        <w:t>而成的产品；</w:t>
      </w:r>
      <w:r>
        <w:rPr>
          <w:rFonts w:hint="eastAsia" w:ascii="仿宋" w:hAnsi="仿宋" w:eastAsia="仿宋" w:cs="仿宋"/>
          <w:color w:val="auto"/>
          <w:kern w:val="0"/>
          <w:sz w:val="30"/>
          <w:szCs w:val="30"/>
          <w:highlight w:val="none"/>
        </w:rPr>
        <w:t>磷脂酰丝氨酸油是指以</w:t>
      </w:r>
      <w:r>
        <w:rPr>
          <w:rFonts w:hint="eastAsia" w:ascii="仿宋" w:hAnsi="仿宋" w:eastAsia="仿宋" w:cs="仿宋"/>
          <w:color w:val="auto"/>
          <w:kern w:val="0"/>
          <w:sz w:val="28"/>
          <w:szCs w:val="28"/>
          <w:highlight w:val="none"/>
        </w:rPr>
        <w:t>磷脂酰丝氨酸为原料，添加食用植物油、鱼油、</w:t>
      </w:r>
      <w:r>
        <w:rPr>
          <w:rFonts w:hint="eastAsia" w:ascii="仿宋" w:hAnsi="仿宋" w:eastAsia="仿宋" w:cs="仿宋"/>
          <w:color w:val="auto"/>
          <w:kern w:val="0"/>
          <w:sz w:val="28"/>
          <w:szCs w:val="28"/>
          <w:highlight w:val="none"/>
          <w:u w:val="none"/>
        </w:rPr>
        <w:t>DHA</w:t>
      </w:r>
      <w:r>
        <w:rPr>
          <w:rFonts w:hint="eastAsia" w:ascii="仿宋" w:hAnsi="仿宋" w:eastAsia="仿宋" w:cs="仿宋"/>
          <w:color w:val="auto"/>
          <w:kern w:val="0"/>
          <w:sz w:val="28"/>
          <w:szCs w:val="28"/>
          <w:highlight w:val="none"/>
        </w:rPr>
        <w:t>藻油或中碳链甘三酯中的一种或多种液体食用油，经配料、混合、</w:t>
      </w:r>
      <w:r>
        <w:rPr>
          <w:rFonts w:ascii="仿宋" w:hAnsi="仿宋" w:eastAsia="仿宋" w:cs="仿宋"/>
          <w:color w:val="auto"/>
          <w:kern w:val="0"/>
          <w:sz w:val="28"/>
          <w:szCs w:val="28"/>
          <w:highlight w:val="none"/>
        </w:rPr>
        <w:t>包装等工艺加工</w:t>
      </w:r>
      <w:r>
        <w:rPr>
          <w:rFonts w:hint="eastAsia" w:ascii="仿宋" w:hAnsi="仿宋" w:eastAsia="仿宋" w:cs="仿宋"/>
          <w:color w:val="auto"/>
          <w:kern w:val="0"/>
          <w:sz w:val="28"/>
          <w:szCs w:val="28"/>
          <w:highlight w:val="none"/>
        </w:rPr>
        <w:t>而成的产品。</w:t>
      </w:r>
    </w:p>
    <w:p>
      <w:pPr>
        <w:numPr>
          <w:ilvl w:val="0"/>
          <w:numId w:val="2"/>
        </w:numPr>
        <w:spacing w:line="500" w:lineRule="exact"/>
        <w:ind w:left="21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宁波前湾新区磷脂酰丝氨酸、磷脂酰丝氨酸油</w:t>
      </w:r>
      <w:r>
        <w:rPr>
          <w:rFonts w:hint="eastAsia" w:ascii="仿宋" w:hAnsi="仿宋" w:eastAsia="仿宋" w:cs="仿宋"/>
          <w:color w:val="auto"/>
          <w:kern w:val="0"/>
          <w:sz w:val="30"/>
          <w:szCs w:val="30"/>
        </w:rPr>
        <w:t>的食品类别为“其他食品”，</w:t>
      </w:r>
      <w:r>
        <w:rPr>
          <w:rFonts w:hint="eastAsia" w:ascii="仿宋" w:hAnsi="仿宋" w:eastAsia="仿宋" w:cs="仿宋"/>
          <w:color w:val="auto"/>
          <w:kern w:val="0"/>
          <w:sz w:val="30"/>
          <w:szCs w:val="30"/>
          <w:highlight w:val="none"/>
        </w:rPr>
        <w:t>类别名称为“其他食品”，品种明细为“其他食品：磷脂酰丝氨酸、磷脂酰丝氨酸油”，</w:t>
      </w:r>
      <w:r>
        <w:rPr>
          <w:rFonts w:hint="eastAsia" w:ascii="仿宋" w:hAnsi="仿宋" w:eastAsia="仿宋" w:cs="仿宋"/>
          <w:color w:val="auto"/>
          <w:kern w:val="0"/>
          <w:sz w:val="30"/>
          <w:szCs w:val="30"/>
        </w:rPr>
        <w:t>其产品类别编号为 3101。具体食品类别、类别名称、品种明细及执行标准等见表1。</w:t>
      </w:r>
    </w:p>
    <w:p>
      <w:pPr>
        <w:tabs>
          <w:tab w:val="left" w:pos="0"/>
          <w:tab w:val="left" w:pos="425"/>
        </w:tabs>
        <w:spacing w:line="50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 xml:space="preserve">表1  </w:t>
      </w:r>
      <w:r>
        <w:rPr>
          <w:rFonts w:hint="eastAsia" w:ascii="仿宋" w:hAnsi="仿宋" w:eastAsia="仿宋" w:cs="仿宋"/>
          <w:color w:val="auto"/>
          <w:kern w:val="0"/>
          <w:sz w:val="30"/>
          <w:szCs w:val="30"/>
        </w:rPr>
        <w:t>磷脂酰丝氨酸、磷脂酰丝氨酸油类别目录列表</w:t>
      </w:r>
    </w:p>
    <w:tbl>
      <w:tblPr>
        <w:tblStyle w:val="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896"/>
        <w:gridCol w:w="1635"/>
        <w:gridCol w:w="2739"/>
        <w:gridCol w:w="212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10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食品</w:t>
            </w:r>
          </w:p>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类别</w:t>
            </w:r>
          </w:p>
        </w:tc>
        <w:tc>
          <w:tcPr>
            <w:tcW w:w="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类别</w:t>
            </w:r>
          </w:p>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16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品种明细</w:t>
            </w:r>
          </w:p>
        </w:tc>
        <w:tc>
          <w:tcPr>
            <w:tcW w:w="27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定义</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执行标准</w:t>
            </w:r>
          </w:p>
        </w:tc>
        <w:tc>
          <w:tcPr>
            <w:tcW w:w="8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w:t>
            </w:r>
          </w:p>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食品</w:t>
            </w:r>
          </w:p>
        </w:tc>
        <w:tc>
          <w:tcPr>
            <w:tcW w:w="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w:t>
            </w:r>
          </w:p>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食品</w:t>
            </w:r>
          </w:p>
        </w:tc>
        <w:tc>
          <w:tcPr>
            <w:tcW w:w="16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其他食品</w:t>
            </w:r>
          </w:p>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kern w:val="0"/>
                <w:sz w:val="30"/>
                <w:szCs w:val="30"/>
              </w:rPr>
              <w:t>磷脂酰丝氨酸</w:t>
            </w:r>
          </w:p>
        </w:tc>
        <w:tc>
          <w:tcPr>
            <w:tcW w:w="27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以大豆卵磷脂和L-丝氨酸为原料，采用磷脂酶转化反应后，</w:t>
            </w:r>
            <w:r>
              <w:rPr>
                <w:rFonts w:hint="eastAsia" w:ascii="仿宋" w:hAnsi="仿宋" w:eastAsia="仿宋" w:cs="仿宋"/>
                <w:color w:val="auto"/>
                <w:kern w:val="0"/>
                <w:sz w:val="28"/>
                <w:szCs w:val="28"/>
                <w:highlight w:val="none"/>
              </w:rPr>
              <w:t>经</w:t>
            </w:r>
            <w:r>
              <w:rPr>
                <w:rFonts w:ascii="仿宋" w:hAnsi="仿宋" w:eastAsia="仿宋" w:cs="仿宋"/>
                <w:color w:val="auto"/>
                <w:kern w:val="0"/>
                <w:sz w:val="28"/>
                <w:szCs w:val="28"/>
                <w:highlight w:val="none"/>
              </w:rPr>
              <w:t>纯化</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干燥</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粉碎</w:t>
            </w:r>
            <w:r>
              <w:rPr>
                <w:rFonts w:hint="eastAsia" w:ascii="仿宋" w:hAnsi="仿宋" w:eastAsia="仿宋" w:cs="仿宋"/>
                <w:color w:val="auto"/>
                <w:kern w:val="0"/>
                <w:sz w:val="28"/>
                <w:szCs w:val="28"/>
                <w:highlight w:val="none"/>
              </w:rPr>
              <w:t>、添加或不添加食品添加剂、</w:t>
            </w:r>
            <w:r>
              <w:rPr>
                <w:rFonts w:hint="eastAsia" w:ascii="仿宋" w:hAnsi="仿宋" w:eastAsia="仿宋" w:cs="仿宋"/>
                <w:color w:val="auto"/>
                <w:kern w:val="0"/>
                <w:sz w:val="28"/>
                <w:szCs w:val="28"/>
                <w:highlight w:val="none"/>
              </w:rPr>
              <w:t>混合(必要时)、</w:t>
            </w:r>
            <w:r>
              <w:rPr>
                <w:rFonts w:ascii="仿宋" w:hAnsi="仿宋" w:eastAsia="仿宋" w:cs="仿宋"/>
                <w:color w:val="auto"/>
                <w:kern w:val="0"/>
                <w:sz w:val="28"/>
                <w:szCs w:val="28"/>
                <w:highlight w:val="none"/>
              </w:rPr>
              <w:t>包装等工艺加工</w:t>
            </w:r>
            <w:r>
              <w:rPr>
                <w:rFonts w:hint="eastAsia" w:ascii="仿宋" w:hAnsi="仿宋" w:eastAsia="仿宋" w:cs="仿宋"/>
                <w:color w:val="auto"/>
                <w:kern w:val="0"/>
                <w:sz w:val="28"/>
                <w:szCs w:val="28"/>
                <w:highlight w:val="none"/>
              </w:rPr>
              <w:t>而成的产品。</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ascii="仿宋" w:hAnsi="仿宋" w:eastAsia="仿宋" w:cs="仿宋"/>
                <w:color w:val="auto"/>
                <w:kern w:val="0"/>
                <w:sz w:val="28"/>
                <w:szCs w:val="28"/>
              </w:rPr>
              <w:t xml:space="preserve">QB/T 5821-2023 </w:t>
            </w:r>
            <w:r>
              <w:rPr>
                <w:rFonts w:hint="eastAsia" w:ascii="仿宋" w:hAnsi="仿宋" w:eastAsia="仿宋" w:cs="仿宋"/>
                <w:color w:val="auto"/>
                <w:kern w:val="0"/>
                <w:sz w:val="28"/>
                <w:szCs w:val="28"/>
              </w:rPr>
              <w:t>《</w:t>
            </w:r>
            <w:r>
              <w:rPr>
                <w:rFonts w:ascii="仿宋" w:hAnsi="仿宋" w:eastAsia="仿宋" w:cs="仿宋"/>
                <w:color w:val="auto"/>
                <w:kern w:val="0"/>
                <w:sz w:val="28"/>
                <w:szCs w:val="28"/>
              </w:rPr>
              <w:t>磷脂酰丝氨酸</w:t>
            </w:r>
            <w:r>
              <w:rPr>
                <w:rFonts w:hint="eastAsia" w:ascii="仿宋" w:hAnsi="仿宋" w:eastAsia="仿宋" w:cs="仿宋"/>
                <w:color w:val="auto"/>
                <w:kern w:val="0"/>
                <w:sz w:val="28"/>
                <w:szCs w:val="28"/>
              </w:rPr>
              <w:t>》、有效的、相对应的食品安全国家标准、行业标准、地方标准、团体标准及企业标准</w:t>
            </w:r>
          </w:p>
        </w:tc>
        <w:tc>
          <w:tcPr>
            <w:tcW w:w="88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w:t>
            </w:r>
          </w:p>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食品</w:t>
            </w:r>
          </w:p>
        </w:tc>
        <w:tc>
          <w:tcPr>
            <w:tcW w:w="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w:t>
            </w:r>
          </w:p>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食品</w:t>
            </w:r>
          </w:p>
        </w:tc>
        <w:tc>
          <w:tcPr>
            <w:tcW w:w="16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其他食品</w:t>
            </w:r>
          </w:p>
          <w:p>
            <w:pPr>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30"/>
                <w:szCs w:val="30"/>
              </w:rPr>
              <w:t>磷脂酰丝氨酸油</w:t>
            </w:r>
          </w:p>
        </w:tc>
        <w:tc>
          <w:tcPr>
            <w:tcW w:w="27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30"/>
                <w:szCs w:val="30"/>
                <w:highlight w:val="none"/>
              </w:rPr>
              <w:t>以</w:t>
            </w:r>
            <w:r>
              <w:rPr>
                <w:rFonts w:hint="eastAsia" w:ascii="仿宋" w:hAnsi="仿宋" w:eastAsia="仿宋" w:cs="仿宋"/>
                <w:color w:val="auto"/>
                <w:kern w:val="0"/>
                <w:sz w:val="28"/>
                <w:szCs w:val="28"/>
                <w:highlight w:val="none"/>
              </w:rPr>
              <w:t>磷脂酰丝氨酸为原料，添加食用植物油、鱼油、DHA藻油或中碳链甘三酯中的一种或多种液体食用油，经配料、混合、</w:t>
            </w:r>
            <w:r>
              <w:rPr>
                <w:rFonts w:ascii="仿宋" w:hAnsi="仿宋" w:eastAsia="仿宋" w:cs="仿宋"/>
                <w:color w:val="auto"/>
                <w:kern w:val="0"/>
                <w:sz w:val="28"/>
                <w:szCs w:val="28"/>
                <w:highlight w:val="none"/>
              </w:rPr>
              <w:t>包装等工艺加工</w:t>
            </w:r>
            <w:r>
              <w:rPr>
                <w:rFonts w:hint="eastAsia" w:ascii="仿宋" w:hAnsi="仿宋" w:eastAsia="仿宋" w:cs="仿宋"/>
                <w:color w:val="auto"/>
                <w:kern w:val="0"/>
                <w:sz w:val="28"/>
                <w:szCs w:val="28"/>
                <w:highlight w:val="none"/>
              </w:rPr>
              <w:t>而成的产品</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有效的、相对应的食品安全国家标准、行业标准、地方标准、团体标准及企业标准</w:t>
            </w:r>
          </w:p>
        </w:tc>
        <w:tc>
          <w:tcPr>
            <w:tcW w:w="88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8"/>
                <w:szCs w:val="28"/>
              </w:rPr>
            </w:pPr>
          </w:p>
        </w:tc>
      </w:tr>
    </w:tbl>
    <w:p>
      <w:pPr>
        <w:numPr>
          <w:ilvl w:val="0"/>
          <w:numId w:val="2"/>
        </w:numPr>
        <w:spacing w:line="500" w:lineRule="exact"/>
        <w:ind w:left="21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本方案中引用的文件、标准通过引用成为本方案的内容。凡是引用内容、标准，其最新版本（包括所有的修改单）适用于本方案。</w:t>
      </w:r>
      <w:bookmarkStart w:id="15" w:name="_GoBack"/>
      <w:bookmarkEnd w:id="15"/>
    </w:p>
    <w:bookmarkEnd w:id="0"/>
    <w:bookmarkEnd w:id="1"/>
    <w:bookmarkEnd w:id="2"/>
    <w:p>
      <w:pPr>
        <w:numPr>
          <w:ilvl w:val="0"/>
          <w:numId w:val="1"/>
        </w:numPr>
        <w:tabs>
          <w:tab w:val="left" w:pos="8820"/>
        </w:tabs>
        <w:spacing w:before="240" w:line="500" w:lineRule="exact"/>
        <w:jc w:val="center"/>
        <w:rPr>
          <w:rFonts w:hint="eastAsia" w:ascii="仿宋" w:hAnsi="仿宋" w:eastAsia="仿宋" w:cs="仿宋"/>
          <w:color w:val="auto"/>
          <w:kern w:val="0"/>
          <w:sz w:val="30"/>
          <w:szCs w:val="30"/>
        </w:rPr>
      </w:pPr>
      <w:bookmarkStart w:id="4" w:name="_Toc28607"/>
      <w:bookmarkStart w:id="5" w:name="_Toc416939945"/>
      <w:bookmarkStart w:id="6" w:name="_Toc415228658"/>
      <w:r>
        <w:rPr>
          <w:rFonts w:hint="eastAsia" w:ascii="仿宋" w:hAnsi="仿宋" w:eastAsia="仿宋" w:cs="仿宋"/>
          <w:color w:val="auto"/>
          <w:kern w:val="0"/>
          <w:sz w:val="30"/>
          <w:szCs w:val="30"/>
        </w:rPr>
        <w:t xml:space="preserve"> 生产场所</w:t>
      </w:r>
      <w:bookmarkEnd w:id="4"/>
      <w:bookmarkEnd w:id="5"/>
      <w:bookmarkEnd w:id="6"/>
    </w:p>
    <w:p>
      <w:pPr>
        <w:tabs>
          <w:tab w:val="left" w:pos="0"/>
        </w:tabs>
        <w:spacing w:line="500" w:lineRule="exact"/>
        <w:ind w:firstLine="602" w:firstLineChars="200"/>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第五条</w:t>
      </w:r>
      <w:r>
        <w:rPr>
          <w:rFonts w:hint="eastAsia" w:ascii="仿宋" w:hAnsi="仿宋" w:eastAsia="仿宋" w:cs="仿宋"/>
          <w:color w:val="auto"/>
          <w:sz w:val="30"/>
          <w:szCs w:val="30"/>
        </w:rPr>
        <w:t xml:space="preserve"> 企业厂房选址和设计、内部建筑结构、辅助生产设</w:t>
      </w:r>
      <w:r>
        <w:rPr>
          <w:rFonts w:hint="eastAsia" w:ascii="仿宋" w:hAnsi="仿宋" w:eastAsia="仿宋" w:cs="仿宋"/>
          <w:color w:val="auto"/>
          <w:kern w:val="0"/>
          <w:sz w:val="30"/>
          <w:szCs w:val="30"/>
        </w:rPr>
        <w:t>施</w:t>
      </w:r>
      <w:r>
        <w:rPr>
          <w:rFonts w:ascii="仿宋" w:hAnsi="仿宋" w:eastAsia="仿宋" w:cs="仿宋"/>
          <w:color w:val="auto"/>
          <w:kern w:val="0"/>
          <w:sz w:val="30"/>
          <w:szCs w:val="30"/>
        </w:rPr>
        <w:t>应当符合《食品安全国家标准 食品生产通用卫生规范》</w:t>
      </w:r>
      <w:r>
        <w:rPr>
          <w:rFonts w:hint="eastAsia" w:ascii="仿宋" w:hAnsi="仿宋" w:eastAsia="仿宋" w:cs="仿宋"/>
          <w:color w:val="auto"/>
          <w:kern w:val="0"/>
          <w:sz w:val="30"/>
          <w:szCs w:val="30"/>
        </w:rPr>
        <w:t>（</w:t>
      </w:r>
      <w:r>
        <w:rPr>
          <w:rFonts w:ascii="仿宋" w:hAnsi="仿宋" w:eastAsia="仿宋" w:cs="仿宋"/>
          <w:color w:val="auto"/>
          <w:kern w:val="0"/>
          <w:sz w:val="30"/>
          <w:szCs w:val="30"/>
        </w:rPr>
        <w:t>GB</w:t>
      </w:r>
      <w:r>
        <w:rPr>
          <w:rFonts w:hint="eastAsia" w:ascii="仿宋" w:hAnsi="仿宋" w:eastAsia="仿宋" w:cs="仿宋"/>
          <w:color w:val="auto"/>
          <w:kern w:val="0"/>
          <w:sz w:val="30"/>
          <w:szCs w:val="30"/>
        </w:rPr>
        <w:t xml:space="preserve"> </w:t>
      </w:r>
      <w:r>
        <w:rPr>
          <w:rFonts w:ascii="仿宋" w:hAnsi="仿宋" w:eastAsia="仿宋" w:cs="仿宋"/>
          <w:color w:val="auto"/>
          <w:kern w:val="0"/>
          <w:sz w:val="30"/>
          <w:szCs w:val="30"/>
        </w:rPr>
        <w:t>14881</w:t>
      </w:r>
      <w:r>
        <w:rPr>
          <w:rFonts w:hint="eastAsia" w:ascii="仿宋" w:hAnsi="仿宋" w:eastAsia="仿宋" w:cs="仿宋"/>
          <w:color w:val="auto"/>
          <w:kern w:val="0"/>
          <w:sz w:val="30"/>
          <w:szCs w:val="30"/>
        </w:rPr>
        <w:t>）</w:t>
      </w:r>
      <w:r>
        <w:rPr>
          <w:rFonts w:ascii="仿宋" w:hAnsi="仿宋" w:eastAsia="仿宋" w:cs="仿宋"/>
          <w:color w:val="auto"/>
          <w:kern w:val="0"/>
          <w:sz w:val="30"/>
          <w:szCs w:val="30"/>
        </w:rPr>
        <w:t>的相关规定</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highlight w:val="none"/>
        </w:rPr>
        <w:t>应当能够避免污染、微生物滋生，</w:t>
      </w:r>
      <w:r>
        <w:rPr>
          <w:rFonts w:hint="eastAsia" w:ascii="仿宋" w:hAnsi="仿宋" w:eastAsia="仿宋" w:cs="仿宋"/>
          <w:color w:val="auto"/>
          <w:kern w:val="0"/>
          <w:sz w:val="30"/>
          <w:szCs w:val="30"/>
        </w:rPr>
        <w:t>便于清洁、操作和维护。</w:t>
      </w:r>
    </w:p>
    <w:p>
      <w:pPr>
        <w:tabs>
          <w:tab w:val="left" w:pos="0"/>
          <w:tab w:val="left" w:pos="425"/>
        </w:tabs>
        <w:spacing w:line="500" w:lineRule="exact"/>
        <w:ind w:firstLine="602" w:firstLineChars="200"/>
        <w:outlineLvl w:val="3"/>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第六条</w:t>
      </w:r>
      <w:r>
        <w:rPr>
          <w:rFonts w:hint="eastAsia" w:ascii="仿宋" w:hAnsi="仿宋" w:eastAsia="仿宋" w:cs="仿宋"/>
          <w:color w:val="auto"/>
          <w:sz w:val="30"/>
          <w:szCs w:val="30"/>
        </w:rPr>
        <w:t xml:space="preserve"> </w:t>
      </w:r>
      <w:r>
        <w:rPr>
          <w:rFonts w:ascii="仿宋" w:hAnsi="仿宋" w:eastAsia="仿宋" w:cs="仿宋"/>
          <w:color w:val="auto"/>
          <w:sz w:val="30"/>
          <w:szCs w:val="30"/>
        </w:rPr>
        <w:t>生产车间及辅助设施的设置，应按生产流程需要及 卫生要求，有序而合理布局，根据生产流程、生产操作需要和清 洁度的要求进行隔离，避免交叉污染</w:t>
      </w:r>
      <w:r>
        <w:rPr>
          <w:rFonts w:ascii="仿宋" w:hAnsi="仿宋" w:eastAsia="仿宋" w:cs="仿宋"/>
          <w:color w:val="auto"/>
          <w:kern w:val="0"/>
          <w:sz w:val="30"/>
          <w:szCs w:val="30"/>
        </w:rPr>
        <w:t>。</w:t>
      </w:r>
    </w:p>
    <w:p>
      <w:pPr>
        <w:numPr>
          <w:ilvl w:val="0"/>
          <w:numId w:val="3"/>
        </w:numPr>
        <w:tabs>
          <w:tab w:val="left" w:pos="0"/>
          <w:tab w:val="left" w:pos="425"/>
        </w:tabs>
        <w:spacing w:line="500" w:lineRule="exact"/>
        <w:ind w:firstLine="600" w:firstLineChars="200"/>
        <w:jc w:val="left"/>
        <w:outlineLvl w:val="3"/>
        <w:rPr>
          <w:rFonts w:hint="eastAsia" w:ascii="仿宋" w:hAnsi="仿宋" w:eastAsia="仿宋" w:cs="仿宋"/>
          <w:color w:val="auto"/>
          <w:sz w:val="30"/>
          <w:szCs w:val="30"/>
        </w:rPr>
      </w:pPr>
      <w:r>
        <w:rPr>
          <w:rFonts w:hint="eastAsia" w:ascii="仿宋" w:hAnsi="仿宋" w:eastAsia="仿宋" w:cs="仿宋"/>
          <w:color w:val="auto"/>
          <w:sz w:val="30"/>
          <w:szCs w:val="30"/>
        </w:rPr>
        <w:t>车间内应区分清洁作业区、准清洁作业区和一般作业区，并采取有效分离或隔离。</w:t>
      </w:r>
      <w:r>
        <w:rPr>
          <w:rFonts w:hint="eastAsia" w:ascii="仿宋" w:hAnsi="仿宋" w:eastAsia="仿宋" w:cs="仿宋"/>
          <w:color w:val="auto"/>
          <w:sz w:val="30"/>
          <w:szCs w:val="30"/>
        </w:rPr>
        <w:t>各</w:t>
      </w:r>
      <w:r>
        <w:rPr>
          <w:rFonts w:hint="eastAsia" w:ascii="仿宋" w:hAnsi="仿宋" w:eastAsia="仿宋" w:cs="仿宋"/>
          <w:color w:val="auto"/>
          <w:sz w:val="30"/>
          <w:szCs w:val="30"/>
        </w:rPr>
        <w:t>作业区具体划分见</w:t>
      </w:r>
      <w:r>
        <w:rPr>
          <w:rFonts w:hint="eastAsia" w:ascii="仿宋" w:hAnsi="仿宋" w:eastAsia="仿宋" w:cs="仿宋"/>
          <w:color w:val="auto"/>
          <w:sz w:val="30"/>
          <w:szCs w:val="30"/>
          <w:highlight w:val="none"/>
          <w:u w:val="none"/>
        </w:rPr>
        <w:t>表2</w:t>
      </w:r>
      <w:r>
        <w:rPr>
          <w:rFonts w:hint="eastAsia" w:ascii="仿宋" w:hAnsi="仿宋" w:eastAsia="仿宋" w:cs="仿宋"/>
          <w:color w:val="auto"/>
          <w:sz w:val="30"/>
          <w:szCs w:val="30"/>
        </w:rPr>
        <w:t>。</w:t>
      </w:r>
    </w:p>
    <w:p>
      <w:pPr>
        <w:tabs>
          <w:tab w:val="left" w:pos="0"/>
          <w:tab w:val="left" w:pos="425"/>
        </w:tabs>
        <w:spacing w:line="500" w:lineRule="exact"/>
        <w:ind w:firstLine="600" w:firstLineChars="200"/>
        <w:jc w:val="center"/>
        <w:outlineLvl w:val="3"/>
        <w:rPr>
          <w:rFonts w:hint="eastAsia" w:ascii="仿宋" w:hAnsi="仿宋" w:eastAsia="仿宋" w:cs="仿宋"/>
          <w:color w:val="auto"/>
          <w:sz w:val="30"/>
          <w:szCs w:val="30"/>
          <w:highlight w:val="none"/>
        </w:rPr>
      </w:pPr>
      <w:r>
        <w:rPr>
          <w:rFonts w:ascii="仿宋" w:hAnsi="仿宋" w:eastAsia="仿宋" w:cs="仿宋"/>
          <w:color w:val="auto"/>
          <w:sz w:val="30"/>
          <w:szCs w:val="30"/>
          <w:highlight w:val="none"/>
          <w:u w:val="none"/>
        </w:rPr>
        <w:t>表</w:t>
      </w:r>
      <w:r>
        <w:rPr>
          <w:rFonts w:hint="eastAsia" w:ascii="仿宋" w:hAnsi="仿宋" w:eastAsia="仿宋" w:cs="仿宋"/>
          <w:color w:val="auto"/>
          <w:sz w:val="30"/>
          <w:szCs w:val="30"/>
          <w:highlight w:val="none"/>
          <w:u w:val="none"/>
        </w:rPr>
        <w:t>2</w:t>
      </w:r>
      <w:r>
        <w:rPr>
          <w:rFonts w:hint="eastAsia" w:ascii="仿宋" w:hAnsi="仿宋" w:eastAsia="仿宋" w:cs="仿宋"/>
          <w:color w:val="auto"/>
          <w:sz w:val="30"/>
          <w:szCs w:val="30"/>
          <w:highlight w:val="none"/>
          <w:u w:val="none"/>
        </w:rPr>
        <w:t xml:space="preserve"> </w:t>
      </w:r>
      <w:r>
        <w:rPr>
          <w:rFonts w:hint="eastAsia" w:ascii="仿宋" w:hAnsi="仿宋" w:eastAsia="仿宋" w:cs="仿宋"/>
          <w:color w:val="auto"/>
          <w:sz w:val="30"/>
          <w:szCs w:val="30"/>
          <w:highlight w:val="none"/>
        </w:rPr>
        <w:t>生产车间作业区划分表</w:t>
      </w:r>
    </w:p>
    <w:tbl>
      <w:tblPr>
        <w:tblStyle w:val="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2410"/>
        <w:gridCol w:w="241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18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产品名称</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清洁作业区</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准清洁作业区</w:t>
            </w:r>
          </w:p>
        </w:tc>
        <w:tc>
          <w:tcPr>
            <w:tcW w:w="27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一般作业区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kern w:val="0"/>
                <w:sz w:val="30"/>
                <w:szCs w:val="30"/>
              </w:rPr>
              <w:t>磷脂酰丝氨酸</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干燥车间、粉碎车间、混合车间、内包车间</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配料间、酶化车间、纯化车间</w:t>
            </w:r>
          </w:p>
        </w:tc>
        <w:tc>
          <w:tcPr>
            <w:tcW w:w="276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原料仓库、包材仓库、成品库、外包</w:t>
            </w:r>
            <w:r>
              <w:rPr>
                <w:rFonts w:hint="eastAsia" w:ascii="仿宋" w:hAnsi="仿宋" w:eastAsia="仿宋" w:cs="仿宋"/>
                <w:color w:val="auto"/>
                <w:kern w:val="0"/>
                <w:sz w:val="30"/>
                <w:szCs w:val="30"/>
              </w:rPr>
              <w:t>车</w:t>
            </w:r>
            <w:r>
              <w:rPr>
                <w:rFonts w:hint="eastAsia" w:ascii="仿宋" w:hAnsi="仿宋" w:eastAsia="仿宋" w:cs="仿宋"/>
                <w:color w:val="auto"/>
                <w:kern w:val="0"/>
                <w:sz w:val="30"/>
                <w:szCs w:val="30"/>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kern w:val="0"/>
                <w:sz w:val="30"/>
                <w:szCs w:val="30"/>
              </w:rPr>
              <w:t>磷脂酰丝氨酸油</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混合</w:t>
            </w:r>
            <w:r>
              <w:rPr>
                <w:rFonts w:hint="eastAsia" w:ascii="仿宋" w:hAnsi="仿宋" w:eastAsia="仿宋" w:cs="仿宋"/>
                <w:color w:val="auto"/>
                <w:kern w:val="0"/>
                <w:sz w:val="30"/>
                <w:szCs w:val="30"/>
                <w:highlight w:val="none"/>
              </w:rPr>
              <w:t>车间</w:t>
            </w:r>
            <w:r>
              <w:rPr>
                <w:rFonts w:hint="eastAsia" w:ascii="仿宋" w:hAnsi="仿宋" w:eastAsia="仿宋" w:cs="仿宋"/>
                <w:color w:val="auto"/>
                <w:kern w:val="0"/>
                <w:sz w:val="30"/>
                <w:szCs w:val="30"/>
              </w:rPr>
              <w:t>、内包</w:t>
            </w:r>
            <w:r>
              <w:rPr>
                <w:rFonts w:hint="eastAsia" w:ascii="仿宋" w:hAnsi="仿宋" w:eastAsia="仿宋" w:cs="仿宋"/>
                <w:color w:val="auto"/>
                <w:kern w:val="0"/>
                <w:sz w:val="30"/>
                <w:szCs w:val="30"/>
                <w:highlight w:val="none"/>
              </w:rPr>
              <w:t>车间</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配料</w:t>
            </w:r>
            <w:r>
              <w:rPr>
                <w:rFonts w:hint="eastAsia" w:ascii="仿宋" w:hAnsi="仿宋" w:eastAsia="仿宋" w:cs="仿宋"/>
                <w:color w:val="auto"/>
                <w:kern w:val="0"/>
                <w:sz w:val="30"/>
                <w:szCs w:val="30"/>
                <w:highlight w:val="none"/>
              </w:rPr>
              <w:t>间</w:t>
            </w:r>
          </w:p>
        </w:tc>
        <w:tc>
          <w:tcPr>
            <w:tcW w:w="276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原料仓库、包材仓库、成品库、外包</w:t>
            </w:r>
            <w:r>
              <w:rPr>
                <w:rFonts w:hint="eastAsia" w:ascii="仿宋" w:hAnsi="仿宋" w:eastAsia="仿宋" w:cs="仿宋"/>
                <w:color w:val="auto"/>
                <w:kern w:val="0"/>
                <w:sz w:val="30"/>
                <w:szCs w:val="30"/>
              </w:rPr>
              <w:t>车</w:t>
            </w:r>
            <w:r>
              <w:rPr>
                <w:rFonts w:hint="eastAsia" w:ascii="仿宋" w:hAnsi="仿宋" w:eastAsia="仿宋" w:cs="仿宋"/>
                <w:color w:val="auto"/>
                <w:kern w:val="0"/>
                <w:sz w:val="30"/>
                <w:szCs w:val="30"/>
              </w:rPr>
              <w:t>间</w:t>
            </w:r>
          </w:p>
        </w:tc>
      </w:tr>
    </w:tbl>
    <w:p>
      <w:pPr>
        <w:numPr>
          <w:ilvl w:val="0"/>
          <w:numId w:val="3"/>
        </w:numPr>
        <w:tabs>
          <w:tab w:val="left" w:pos="0"/>
          <w:tab w:val="left" w:pos="425"/>
        </w:tabs>
        <w:spacing w:line="500" w:lineRule="exact"/>
        <w:ind w:firstLine="600" w:firstLineChars="200"/>
        <w:jc w:val="left"/>
        <w:outlineLvl w:val="3"/>
        <w:rPr>
          <w:rFonts w:hint="eastAsia" w:ascii="仿宋" w:hAnsi="仿宋" w:eastAsia="仿宋" w:cs="仿宋"/>
          <w:color w:val="auto"/>
          <w:sz w:val="30"/>
          <w:szCs w:val="30"/>
        </w:rPr>
      </w:pPr>
      <w:r>
        <w:rPr>
          <w:rFonts w:ascii="仿宋" w:hAnsi="仿宋" w:eastAsia="仿宋" w:cs="仿宋"/>
          <w:color w:val="auto"/>
          <w:sz w:val="30"/>
          <w:szCs w:val="30"/>
        </w:rPr>
        <w:t>生产车间地面、墙壁应当易于清洗，保持清洁，设置有效的防尘、防蝇、防虫、防鼠设施</w:t>
      </w:r>
      <w:r>
        <w:rPr>
          <w:rFonts w:hint="eastAsia" w:ascii="仿宋" w:hAnsi="仿宋" w:eastAsia="仿宋" w:cs="仿宋"/>
          <w:color w:val="auto"/>
          <w:sz w:val="30"/>
          <w:szCs w:val="30"/>
        </w:rPr>
        <w:t>。</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ascii="仿宋" w:hAnsi="仿宋" w:eastAsia="仿宋" w:cs="仿宋"/>
          <w:color w:val="auto"/>
          <w:sz w:val="30"/>
          <w:szCs w:val="30"/>
        </w:rPr>
        <w:t>生产场所或生产车间入口处应设置更衣室，配置换鞋（鞋套）及（或）工作鞋靴消毒设施。更衣室应保证工作服与个人服装及其他物品分开放置。应配置足够数量的非手动式洗手设施、消毒设施。清洁作业区入口应设置二次更衣区，洗手、干手和（或）消毒设施，换鞋（穿戴鞋套）或工作鞋靴消毒设施。</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b/>
          <w:bCs/>
          <w:color w:val="auto"/>
          <w:kern w:val="0"/>
          <w:sz w:val="30"/>
          <w:szCs w:val="30"/>
        </w:rPr>
      </w:pPr>
      <w:r>
        <w:rPr>
          <w:rFonts w:ascii="仿宋" w:hAnsi="仿宋" w:eastAsia="仿宋" w:cs="仿宋"/>
          <w:color w:val="auto"/>
          <w:sz w:val="30"/>
          <w:szCs w:val="30"/>
        </w:rPr>
        <w:t>生产车间环境控制应防止或减少微生物的污染和生长繁殖</w:t>
      </w:r>
      <w:r>
        <w:rPr>
          <w:rFonts w:ascii="仿宋" w:hAnsi="仿宋" w:eastAsia="仿宋" w:cs="仿宋"/>
          <w:color w:val="auto"/>
          <w:sz w:val="30"/>
          <w:szCs w:val="30"/>
        </w:rPr>
        <w:t>，满足产品控制要求。准清洁作业区和清洁作业区应相对密闭，清洁作业区需安</w:t>
      </w:r>
      <w:r>
        <w:rPr>
          <w:rFonts w:ascii="仿宋" w:hAnsi="仿宋" w:eastAsia="仿宋" w:cs="仿宋"/>
          <w:color w:val="auto"/>
          <w:sz w:val="30"/>
          <w:szCs w:val="30"/>
          <w:highlight w:val="none"/>
        </w:rPr>
        <w:t>装</w:t>
      </w:r>
      <w:r>
        <w:rPr>
          <w:rFonts w:hint="eastAsia" w:ascii="仿宋" w:hAnsi="仿宋" w:eastAsia="仿宋" w:cs="仿宋"/>
          <w:color w:val="auto"/>
          <w:sz w:val="30"/>
          <w:szCs w:val="30"/>
          <w:highlight w:val="none"/>
        </w:rPr>
        <w:t>十万级</w:t>
      </w:r>
      <w:r>
        <w:rPr>
          <w:rFonts w:ascii="仿宋" w:hAnsi="仿宋" w:eastAsia="仿宋" w:cs="仿宋"/>
          <w:color w:val="auto"/>
          <w:sz w:val="30"/>
          <w:szCs w:val="30"/>
        </w:rPr>
        <w:t>空气净化设备及空气消毒设施。</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ascii="仿宋" w:hAnsi="仿宋" w:eastAsia="仿宋" w:cs="仿宋"/>
          <w:color w:val="auto"/>
          <w:sz w:val="30"/>
          <w:szCs w:val="30"/>
        </w:rPr>
        <w:t>仓库应具有与所生产产品的数量、贮存要求相适应的仓储设备、设施，满足物料和产品的贮存条件，运输应满足产品的储运要求。</w:t>
      </w:r>
    </w:p>
    <w:p>
      <w:pPr>
        <w:tabs>
          <w:tab w:val="left" w:pos="8820"/>
        </w:tabs>
        <w:spacing w:before="240" w:line="500" w:lineRule="exact"/>
        <w:jc w:val="center"/>
        <w:rPr>
          <w:rFonts w:hint="eastAsia" w:ascii="仿宋" w:hAnsi="仿宋" w:eastAsia="仿宋" w:cs="仿宋"/>
          <w:color w:val="auto"/>
          <w:kern w:val="0"/>
          <w:sz w:val="30"/>
          <w:szCs w:val="30"/>
        </w:rPr>
      </w:pPr>
      <w:bookmarkStart w:id="7" w:name="_Toc415228665"/>
      <w:bookmarkStart w:id="8" w:name="_Toc31569"/>
      <w:bookmarkStart w:id="9" w:name="_Toc416939952"/>
      <w:r>
        <w:rPr>
          <w:rFonts w:hint="eastAsia" w:ascii="仿宋" w:hAnsi="仿宋" w:eastAsia="仿宋" w:cs="仿宋"/>
          <w:color w:val="auto"/>
          <w:kern w:val="0"/>
          <w:sz w:val="30"/>
          <w:szCs w:val="30"/>
        </w:rPr>
        <w:t>第三章  设备设施</w:t>
      </w:r>
      <w:bookmarkEnd w:id="7"/>
      <w:bookmarkEnd w:id="8"/>
      <w:bookmarkEnd w:id="9"/>
      <w:bookmarkStart w:id="10" w:name="_Toc415228668"/>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bookmarkStart w:id="11" w:name="_Toc1706"/>
      <w:r>
        <w:rPr>
          <w:rFonts w:ascii="仿宋" w:hAnsi="仿宋" w:eastAsia="仿宋" w:cs="仿宋"/>
          <w:color w:val="auto"/>
          <w:sz w:val="30"/>
          <w:szCs w:val="30"/>
        </w:rPr>
        <w:t>生产企业应根据生产工艺要求，配备相应的生产加工设备设施。常规生产设备设施见</w:t>
      </w:r>
      <w:r>
        <w:rPr>
          <w:rFonts w:ascii="仿宋" w:hAnsi="仿宋" w:eastAsia="仿宋" w:cs="仿宋"/>
          <w:color w:val="auto"/>
          <w:sz w:val="30"/>
          <w:szCs w:val="30"/>
          <w:highlight w:val="none"/>
          <w:u w:val="none"/>
        </w:rPr>
        <w:t>表</w:t>
      </w:r>
      <w:r>
        <w:rPr>
          <w:rFonts w:hint="eastAsia" w:ascii="仿宋" w:hAnsi="仿宋" w:eastAsia="仿宋" w:cs="仿宋"/>
          <w:color w:val="auto"/>
          <w:sz w:val="30"/>
          <w:szCs w:val="30"/>
          <w:highlight w:val="none"/>
          <w:u w:val="none"/>
        </w:rPr>
        <w:t>3</w:t>
      </w:r>
      <w:r>
        <w:rPr>
          <w:rFonts w:hint="eastAsia" w:ascii="仿宋" w:hAnsi="仿宋" w:eastAsia="仿宋" w:cs="仿宋"/>
          <w:color w:val="auto"/>
          <w:sz w:val="30"/>
          <w:szCs w:val="30"/>
        </w:rPr>
        <w:t>。</w:t>
      </w:r>
    </w:p>
    <w:p>
      <w:pPr>
        <w:spacing w:line="576" w:lineRule="exact"/>
        <w:jc w:val="center"/>
        <w:rPr>
          <w:rFonts w:hint="eastAsia" w:ascii="仿宋" w:hAnsi="仿宋" w:eastAsia="仿宋" w:cs="仿宋"/>
          <w:color w:val="auto"/>
          <w:sz w:val="30"/>
          <w:szCs w:val="30"/>
        </w:rPr>
      </w:pPr>
      <w:r>
        <w:rPr>
          <w:rFonts w:ascii="仿宋" w:hAnsi="仿宋" w:eastAsia="仿宋" w:cs="仿宋"/>
          <w:color w:val="auto"/>
          <w:sz w:val="30"/>
          <w:szCs w:val="30"/>
          <w:highlight w:val="none"/>
          <w:u w:val="none"/>
        </w:rPr>
        <w:t>表</w:t>
      </w:r>
      <w:r>
        <w:rPr>
          <w:rFonts w:hint="eastAsia" w:ascii="仿宋" w:hAnsi="仿宋" w:eastAsia="仿宋" w:cs="仿宋"/>
          <w:color w:val="auto"/>
          <w:sz w:val="30"/>
          <w:szCs w:val="30"/>
          <w:highlight w:val="none"/>
          <w:u w:val="none"/>
        </w:rPr>
        <w:t xml:space="preserve">3 </w:t>
      </w:r>
      <w:r>
        <w:rPr>
          <w:rFonts w:ascii="仿宋" w:hAnsi="仿宋" w:eastAsia="仿宋" w:cs="仿宋"/>
          <w:color w:val="auto"/>
          <w:sz w:val="30"/>
          <w:szCs w:val="30"/>
        </w:rPr>
        <w:t>常规生产设备设施</w:t>
      </w:r>
    </w:p>
    <w:tbl>
      <w:tblPr>
        <w:tblStyle w:val="9"/>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74" w:type="dxa"/>
            <w:vAlign w:val="center"/>
          </w:tcPr>
          <w:p>
            <w:pPr>
              <w:spacing w:line="320" w:lineRule="exact"/>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产品</w:t>
            </w:r>
          </w:p>
        </w:tc>
        <w:tc>
          <w:tcPr>
            <w:tcW w:w="6571" w:type="dxa"/>
            <w:vAlign w:val="center"/>
          </w:tcPr>
          <w:p>
            <w:pPr>
              <w:spacing w:line="320" w:lineRule="exact"/>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常规生产设备设施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974" w:type="dxa"/>
            <w:vAlign w:val="center"/>
          </w:tcPr>
          <w:p>
            <w:pPr>
              <w:spacing w:line="320" w:lineRule="exact"/>
              <w:jc w:val="center"/>
              <w:rPr>
                <w:rFonts w:hint="eastAsia" w:ascii="方正仿宋_GBK" w:hAnsi="方正仿宋_GBK" w:eastAsia="方正仿宋_GBK" w:cs="方正仿宋_GBK"/>
                <w:color w:val="auto"/>
                <w:sz w:val="28"/>
                <w:szCs w:val="28"/>
              </w:rPr>
            </w:pPr>
            <w:r>
              <w:rPr>
                <w:rFonts w:hint="eastAsia" w:ascii="仿宋" w:hAnsi="仿宋" w:eastAsia="仿宋" w:cs="仿宋"/>
                <w:color w:val="auto"/>
                <w:kern w:val="0"/>
                <w:sz w:val="30"/>
                <w:szCs w:val="30"/>
              </w:rPr>
              <w:t>磷脂酰丝氨酸</w:t>
            </w:r>
          </w:p>
        </w:tc>
        <w:tc>
          <w:tcPr>
            <w:tcW w:w="6571" w:type="dxa"/>
            <w:vAlign w:val="center"/>
          </w:tcPr>
          <w:p>
            <w:pPr>
              <w:spacing w:line="360" w:lineRule="exact"/>
              <w:rPr>
                <w:rFonts w:hint="eastAsia" w:ascii="仿宋" w:hAnsi="仿宋" w:eastAsia="仿宋" w:cs="仿宋"/>
                <w:color w:val="auto"/>
                <w:sz w:val="30"/>
                <w:szCs w:val="30"/>
              </w:rPr>
            </w:pPr>
            <w:r>
              <w:rPr>
                <w:rFonts w:hint="eastAsia" w:ascii="仿宋" w:hAnsi="仿宋" w:eastAsia="仿宋" w:cs="仿宋"/>
                <w:color w:val="auto"/>
                <w:sz w:val="30"/>
                <w:szCs w:val="30"/>
              </w:rPr>
              <w:t>配料设备（电子秤）、反应罐</w:t>
            </w:r>
            <w:r>
              <w:rPr>
                <w:rFonts w:hint="eastAsia" w:ascii="仿宋" w:hAnsi="仿宋" w:eastAsia="仿宋" w:cs="仿宋"/>
                <w:color w:val="auto"/>
                <w:sz w:val="30"/>
                <w:szCs w:val="30"/>
                <w:highlight w:val="none"/>
              </w:rPr>
              <w:t>（带温控、搅拌功能）</w:t>
            </w:r>
            <w:r>
              <w:rPr>
                <w:rFonts w:hint="eastAsia" w:ascii="仿宋" w:hAnsi="仿宋" w:eastAsia="仿宋" w:cs="仿宋"/>
                <w:color w:val="auto"/>
                <w:sz w:val="30"/>
                <w:szCs w:val="30"/>
              </w:rPr>
              <w:t>、纯化设备、干燥设备、粉碎机、混合机（必要时）、包装设备、金检设备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974" w:type="dxa"/>
            <w:vAlign w:val="center"/>
          </w:tcPr>
          <w:p>
            <w:pPr>
              <w:spacing w:line="320" w:lineRule="exact"/>
              <w:jc w:val="center"/>
              <w:rPr>
                <w:rFonts w:hint="eastAsia" w:ascii="方正仿宋_GBK" w:hAnsi="方正仿宋_GBK" w:eastAsia="方正仿宋_GBK" w:cs="方正仿宋_GBK"/>
                <w:color w:val="auto"/>
                <w:sz w:val="28"/>
                <w:szCs w:val="28"/>
              </w:rPr>
            </w:pPr>
            <w:r>
              <w:rPr>
                <w:rFonts w:hint="eastAsia" w:ascii="仿宋" w:hAnsi="仿宋" w:eastAsia="仿宋" w:cs="仿宋"/>
                <w:color w:val="auto"/>
                <w:kern w:val="0"/>
                <w:sz w:val="30"/>
                <w:szCs w:val="30"/>
              </w:rPr>
              <w:t>磷脂酰丝氨酸油</w:t>
            </w:r>
          </w:p>
        </w:tc>
        <w:tc>
          <w:tcPr>
            <w:tcW w:w="6571" w:type="dxa"/>
            <w:vAlign w:val="center"/>
          </w:tcPr>
          <w:p>
            <w:pPr>
              <w:spacing w:line="360" w:lineRule="exact"/>
              <w:rPr>
                <w:rFonts w:hint="eastAsia" w:ascii="仿宋" w:hAnsi="仿宋" w:eastAsia="仿宋" w:cs="仿宋"/>
                <w:color w:val="auto"/>
                <w:sz w:val="30"/>
                <w:szCs w:val="30"/>
              </w:rPr>
            </w:pPr>
            <w:r>
              <w:rPr>
                <w:rFonts w:hint="eastAsia" w:ascii="仿宋" w:hAnsi="仿宋" w:eastAsia="仿宋" w:cs="仿宋"/>
                <w:color w:val="auto"/>
                <w:sz w:val="30"/>
                <w:szCs w:val="30"/>
              </w:rPr>
              <w:t>配料设备（电子秤）、混合设备、包装设备</w:t>
            </w:r>
          </w:p>
        </w:tc>
      </w:tr>
    </w:tbl>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ascii="仿宋" w:hAnsi="仿宋" w:eastAsia="仿宋" w:cs="仿宋"/>
          <w:color w:val="auto"/>
          <w:sz w:val="30"/>
          <w:szCs w:val="30"/>
        </w:rPr>
        <w:t>生产企业应配备生产设备和工器具的清洁、消毒用设备、设施。清洁、消毒用具应放置在专用场所或区域妥善保管。</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ascii="仿宋" w:hAnsi="仿宋" w:eastAsia="仿宋" w:cs="仿宋"/>
          <w:color w:val="auto"/>
          <w:sz w:val="30"/>
          <w:szCs w:val="30"/>
        </w:rPr>
        <w:t>生产企业应具有与生产的产品、数量相适应的检验设备设施，检验设备的数量应与企业生产能力相适应</w:t>
      </w:r>
      <w:r>
        <w:rPr>
          <w:rFonts w:hint="eastAsia" w:ascii="仿宋" w:hAnsi="仿宋" w:eastAsia="仿宋" w:cs="仿宋"/>
          <w:color w:val="auto"/>
          <w:sz w:val="30"/>
          <w:szCs w:val="30"/>
        </w:rPr>
        <w:t>，</w:t>
      </w:r>
      <w:r>
        <w:rPr>
          <w:rFonts w:hint="eastAsia" w:ascii="仿宋" w:hAnsi="仿宋" w:eastAsia="仿宋" w:cs="仿宋"/>
          <w:color w:val="auto"/>
          <w:sz w:val="30"/>
          <w:szCs w:val="30"/>
        </w:rPr>
        <w:t>检验设备应按照相关规定定期进行校验</w:t>
      </w:r>
      <w:r>
        <w:rPr>
          <w:rFonts w:ascii="仿宋" w:hAnsi="仿宋" w:eastAsia="仿宋" w:cs="仿宋"/>
          <w:color w:val="auto"/>
          <w:sz w:val="30"/>
          <w:szCs w:val="30"/>
        </w:rPr>
        <w:t>。</w:t>
      </w:r>
      <w:r>
        <w:rPr>
          <w:rFonts w:ascii="仿宋" w:hAnsi="仿宋" w:eastAsia="仿宋" w:cs="仿宋"/>
          <w:color w:val="auto"/>
          <w:sz w:val="30"/>
          <w:szCs w:val="30"/>
        </w:rPr>
        <w:t>产品实行自行检验的企业，</w:t>
      </w:r>
      <w:r>
        <w:rPr>
          <w:rFonts w:hint="eastAsia" w:ascii="仿宋" w:hAnsi="仿宋" w:eastAsia="仿宋" w:cs="仿宋"/>
          <w:color w:val="auto"/>
          <w:sz w:val="30"/>
          <w:szCs w:val="30"/>
        </w:rPr>
        <w:t>应具备的</w:t>
      </w:r>
      <w:r>
        <w:rPr>
          <w:rFonts w:ascii="仿宋" w:hAnsi="仿宋" w:eastAsia="仿宋" w:cs="仿宋"/>
          <w:color w:val="auto"/>
          <w:sz w:val="30"/>
          <w:szCs w:val="30"/>
        </w:rPr>
        <w:t>检验设备包括但不限于：分析天平（0.1 mg）、天平（0.1 g）、高效液相色谱、干燥箱、</w:t>
      </w:r>
      <w:r>
        <w:rPr>
          <w:rFonts w:hint="eastAsia" w:ascii="仿宋" w:hAnsi="仿宋" w:eastAsia="仿宋" w:cs="仿宋"/>
          <w:color w:val="auto"/>
          <w:sz w:val="30"/>
          <w:szCs w:val="30"/>
          <w:highlight w:val="none"/>
          <w:u w:val="none"/>
        </w:rPr>
        <w:t>旋转蒸发仪</w:t>
      </w:r>
      <w:r>
        <w:rPr>
          <w:rFonts w:hint="eastAsia" w:ascii="仿宋" w:hAnsi="仿宋" w:eastAsia="仿宋" w:cs="仿宋"/>
          <w:color w:val="auto"/>
          <w:sz w:val="30"/>
          <w:szCs w:val="30"/>
        </w:rPr>
        <w:t>、</w:t>
      </w:r>
      <w:r>
        <w:rPr>
          <w:rFonts w:ascii="仿宋" w:hAnsi="仿宋" w:eastAsia="仿宋" w:cs="仿宋"/>
          <w:color w:val="auto"/>
          <w:sz w:val="30"/>
          <w:szCs w:val="30"/>
        </w:rPr>
        <w:t>滴定管、无菌室（或超净工作台）</w:t>
      </w:r>
      <w:r>
        <w:rPr>
          <w:rFonts w:hint="eastAsia" w:ascii="仿宋" w:hAnsi="仿宋" w:eastAsia="仿宋" w:cs="仿宋"/>
          <w:color w:val="auto"/>
          <w:sz w:val="30"/>
          <w:szCs w:val="30"/>
        </w:rPr>
        <w:t>、</w:t>
      </w:r>
      <w:r>
        <w:rPr>
          <w:rFonts w:ascii="仿宋" w:hAnsi="仿宋" w:eastAsia="仿宋" w:cs="仿宋"/>
          <w:color w:val="auto"/>
          <w:sz w:val="30"/>
          <w:szCs w:val="30"/>
        </w:rPr>
        <w:t>灭菌锅、微生物培养箱、生物显微镜等。</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hint="eastAsia" w:ascii="仿宋" w:hAnsi="仿宋" w:eastAsia="仿宋" w:cs="仿宋"/>
          <w:color w:val="auto"/>
          <w:sz w:val="30"/>
          <w:szCs w:val="30"/>
        </w:rPr>
        <w:t>企业应按照产品执行标准及检验管理制度中规定的检验项目进行检验。自行开展相关检验的企业应配备满足原料、半成品、成品检验所需的检验设备设施，并确保检验设备的性能、精度满足检验要求。检验设备设施的数量应与企业生产能力相适应。检验项目见附录2。</w:t>
      </w:r>
    </w:p>
    <w:p>
      <w:pPr>
        <w:tabs>
          <w:tab w:val="left" w:pos="8820"/>
        </w:tabs>
        <w:spacing w:before="240" w:line="5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rPr>
        <w:t>第四章  设备布局与工艺流程</w:t>
      </w:r>
    </w:p>
    <w:bookmarkEnd w:id="11"/>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ascii="仿宋" w:hAnsi="仿宋" w:eastAsia="仿宋" w:cs="仿宋"/>
          <w:color w:val="auto"/>
          <w:sz w:val="30"/>
          <w:szCs w:val="30"/>
        </w:rPr>
        <w:t>生产设备按工艺流程有序排列，合理布局，应符合工艺、清洗的需要。工艺流程必须科学合理，符合国家卫生行政部门相应</w:t>
      </w:r>
      <w:r>
        <w:rPr>
          <w:rFonts w:ascii="仿宋" w:hAnsi="仿宋" w:eastAsia="仿宋" w:cs="仿宋"/>
          <w:color w:val="auto"/>
          <w:sz w:val="30"/>
          <w:szCs w:val="30"/>
          <w:highlight w:val="none"/>
        </w:rPr>
        <w:t>新食品</w:t>
      </w:r>
      <w:r>
        <w:rPr>
          <w:rFonts w:hint="eastAsia" w:ascii="仿宋" w:hAnsi="仿宋" w:eastAsia="仿宋" w:cs="仿宋"/>
          <w:color w:val="auto"/>
          <w:sz w:val="30"/>
          <w:szCs w:val="30"/>
          <w:highlight w:val="none"/>
        </w:rPr>
        <w:t>原料</w:t>
      </w:r>
      <w:r>
        <w:rPr>
          <w:rFonts w:ascii="仿宋" w:hAnsi="仿宋" w:eastAsia="仿宋" w:cs="仿宋"/>
          <w:color w:val="auto"/>
          <w:sz w:val="30"/>
          <w:szCs w:val="30"/>
        </w:rPr>
        <w:t>的公告要求，并应与产品执行的标准相适应。基本工艺流程</w:t>
      </w:r>
      <w:r>
        <w:rPr>
          <w:rFonts w:hint="eastAsia" w:ascii="仿宋" w:hAnsi="仿宋" w:eastAsia="仿宋" w:cs="仿宋"/>
          <w:color w:val="auto"/>
          <w:sz w:val="30"/>
          <w:szCs w:val="30"/>
          <w:highlight w:val="none"/>
        </w:rPr>
        <w:t>与</w:t>
      </w:r>
      <w:r>
        <w:rPr>
          <w:rFonts w:ascii="仿宋" w:hAnsi="仿宋" w:eastAsia="仿宋" w:cs="仿宋"/>
          <w:color w:val="auto"/>
          <w:sz w:val="30"/>
          <w:szCs w:val="30"/>
        </w:rPr>
        <w:t>关键控制环节见</w:t>
      </w:r>
      <w:r>
        <w:rPr>
          <w:rFonts w:ascii="仿宋" w:hAnsi="仿宋" w:eastAsia="仿宋" w:cs="仿宋"/>
          <w:color w:val="auto"/>
          <w:sz w:val="30"/>
          <w:szCs w:val="30"/>
          <w:highlight w:val="none"/>
        </w:rPr>
        <w:t>表</w:t>
      </w:r>
      <w:r>
        <w:rPr>
          <w:rFonts w:hint="eastAsia" w:ascii="仿宋" w:hAnsi="仿宋" w:eastAsia="仿宋" w:cs="仿宋"/>
          <w:color w:val="auto"/>
          <w:sz w:val="30"/>
          <w:szCs w:val="30"/>
          <w:highlight w:val="none"/>
        </w:rPr>
        <w:t>4</w:t>
      </w:r>
      <w:r>
        <w:rPr>
          <w:rFonts w:ascii="仿宋" w:hAnsi="仿宋" w:eastAsia="仿宋" w:cs="仿宋"/>
          <w:color w:val="auto"/>
          <w:sz w:val="30"/>
          <w:szCs w:val="30"/>
        </w:rPr>
        <w:t>。</w:t>
      </w:r>
    </w:p>
    <w:p>
      <w:pPr>
        <w:spacing w:line="576" w:lineRule="exact"/>
        <w:jc w:val="center"/>
        <w:rPr>
          <w:rFonts w:hint="eastAsia" w:ascii="仿宋" w:hAnsi="仿宋" w:eastAsia="仿宋" w:cs="仿宋"/>
          <w:color w:val="auto"/>
          <w:sz w:val="30"/>
          <w:szCs w:val="30"/>
        </w:rPr>
      </w:pPr>
      <w:r>
        <w:rPr>
          <w:rFonts w:ascii="仿宋" w:hAnsi="仿宋" w:eastAsia="仿宋" w:cs="仿宋"/>
          <w:color w:val="auto"/>
          <w:sz w:val="30"/>
          <w:szCs w:val="30"/>
          <w:highlight w:val="none"/>
        </w:rPr>
        <w:t>表</w:t>
      </w:r>
      <w:r>
        <w:rPr>
          <w:rFonts w:hint="eastAsia" w:ascii="仿宋" w:hAnsi="仿宋" w:eastAsia="仿宋" w:cs="仿宋"/>
          <w:color w:val="auto"/>
          <w:sz w:val="30"/>
          <w:szCs w:val="30"/>
          <w:highlight w:val="none"/>
        </w:rPr>
        <w:t xml:space="preserve">4 </w:t>
      </w:r>
      <w:r>
        <w:rPr>
          <w:rFonts w:ascii="仿宋" w:hAnsi="仿宋" w:eastAsia="仿宋" w:cs="仿宋"/>
          <w:color w:val="auto"/>
          <w:sz w:val="30"/>
          <w:szCs w:val="30"/>
        </w:rPr>
        <w:t>工艺流程和关键控制</w:t>
      </w:r>
      <w:r>
        <w:rPr>
          <w:rFonts w:hint="eastAsia" w:ascii="仿宋" w:hAnsi="仿宋" w:eastAsia="仿宋" w:cs="仿宋"/>
          <w:color w:val="auto"/>
          <w:sz w:val="30"/>
          <w:szCs w:val="30"/>
          <w:highlight w:val="none"/>
        </w:rPr>
        <w:t>工序</w:t>
      </w: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83"/>
        <w:gridCol w:w="4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555" w:type="dxa"/>
            <w:vAlign w:val="center"/>
          </w:tcPr>
          <w:p>
            <w:pPr>
              <w:spacing w:line="576"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产品</w:t>
            </w:r>
          </w:p>
        </w:tc>
        <w:tc>
          <w:tcPr>
            <w:tcW w:w="2683" w:type="dxa"/>
            <w:vAlign w:val="center"/>
          </w:tcPr>
          <w:p>
            <w:pPr>
              <w:spacing w:line="576"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工艺流程</w:t>
            </w:r>
          </w:p>
        </w:tc>
        <w:tc>
          <w:tcPr>
            <w:tcW w:w="4971" w:type="dxa"/>
            <w:vAlign w:val="center"/>
          </w:tcPr>
          <w:p>
            <w:pPr>
              <w:spacing w:line="576"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关键控制</w:t>
            </w:r>
            <w:r>
              <w:rPr>
                <w:rFonts w:hint="eastAsia" w:ascii="仿宋" w:hAnsi="仿宋" w:eastAsia="仿宋" w:cs="仿宋"/>
                <w:color w:val="auto"/>
                <w:sz w:val="30"/>
                <w:szCs w:val="30"/>
                <w:highlight w:val="none"/>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555" w:type="dxa"/>
            <w:vAlign w:val="center"/>
          </w:tcPr>
          <w:p>
            <w:pPr>
              <w:spacing w:line="576" w:lineRule="exact"/>
              <w:jc w:val="center"/>
              <w:rPr>
                <w:rFonts w:hint="eastAsia" w:ascii="仿宋" w:hAnsi="仿宋" w:eastAsia="仿宋" w:cs="仿宋"/>
                <w:color w:val="auto"/>
                <w:sz w:val="30"/>
                <w:szCs w:val="30"/>
              </w:rPr>
            </w:pPr>
            <w:r>
              <w:rPr>
                <w:rFonts w:ascii="仿宋" w:hAnsi="仿宋" w:eastAsia="仿宋" w:cs="仿宋"/>
                <w:color w:val="auto"/>
                <w:sz w:val="30"/>
                <w:szCs w:val="30"/>
              </w:rPr>
              <w:t>磷脂酰丝氨酸</w:t>
            </w:r>
          </w:p>
        </w:tc>
        <w:tc>
          <w:tcPr>
            <w:tcW w:w="2683" w:type="dxa"/>
            <w:vAlign w:val="center"/>
          </w:tcPr>
          <w:p>
            <w:pPr>
              <w:spacing w:line="24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原料验收—投料—酶化—纯化—干燥—粉碎—</w:t>
            </w:r>
            <w:r>
              <w:rPr>
                <w:rFonts w:ascii="仿宋" w:hAnsi="仿宋" w:eastAsia="仿宋" w:cs="仿宋"/>
                <w:color w:val="auto"/>
                <w:sz w:val="30"/>
                <w:szCs w:val="30"/>
                <w:highlight w:val="none"/>
              </w:rPr>
              <w:t>混合（</w:t>
            </w:r>
            <w:r>
              <w:rPr>
                <w:rFonts w:hint="eastAsia" w:ascii="仿宋" w:hAnsi="仿宋" w:eastAsia="仿宋" w:cs="仿宋"/>
                <w:color w:val="auto"/>
                <w:sz w:val="30"/>
                <w:szCs w:val="30"/>
                <w:highlight w:val="none"/>
              </w:rPr>
              <w:t>必要时）—</w:t>
            </w:r>
            <w:r>
              <w:rPr>
                <w:rFonts w:ascii="仿宋" w:hAnsi="仿宋" w:eastAsia="仿宋" w:cs="仿宋"/>
                <w:color w:val="auto"/>
                <w:sz w:val="30"/>
                <w:szCs w:val="30"/>
                <w:highlight w:val="none"/>
              </w:rPr>
              <w:t>内包</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外包</w:t>
            </w:r>
          </w:p>
        </w:tc>
        <w:tc>
          <w:tcPr>
            <w:tcW w:w="4971" w:type="dxa"/>
            <w:vAlign w:val="center"/>
          </w:tcPr>
          <w:p>
            <w:pPr>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ascii="仿宋" w:hAnsi="仿宋" w:eastAsia="仿宋" w:cs="仿宋"/>
                <w:color w:val="auto"/>
                <w:sz w:val="30"/>
                <w:szCs w:val="30"/>
                <w:highlight w:val="none"/>
              </w:rPr>
              <w:t>原料</w:t>
            </w:r>
            <w:r>
              <w:rPr>
                <w:rFonts w:hint="eastAsia" w:ascii="仿宋" w:hAnsi="仿宋" w:eastAsia="仿宋" w:cs="仿宋"/>
                <w:color w:val="auto"/>
                <w:sz w:val="30"/>
                <w:szCs w:val="30"/>
                <w:highlight w:val="none"/>
              </w:rPr>
              <w:t>验收</w:t>
            </w:r>
            <w:r>
              <w:rPr>
                <w:rFonts w:ascii="仿宋" w:hAnsi="仿宋" w:eastAsia="仿宋" w:cs="仿宋"/>
                <w:color w:val="auto"/>
                <w:sz w:val="30"/>
                <w:szCs w:val="30"/>
                <w:highlight w:val="none"/>
              </w:rPr>
              <w:t>；</w:t>
            </w:r>
          </w:p>
          <w:p>
            <w:pPr>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2.酶化工序的温度控制</w:t>
            </w:r>
            <w:r>
              <w:rPr>
                <w:rFonts w:ascii="仿宋" w:hAnsi="仿宋" w:eastAsia="仿宋" w:cs="仿宋"/>
                <w:color w:val="auto"/>
                <w:sz w:val="30"/>
                <w:szCs w:val="30"/>
                <w:highlight w:val="none"/>
              </w:rPr>
              <w:t>；</w:t>
            </w:r>
          </w:p>
          <w:p>
            <w:pPr>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3.干燥工序的</w:t>
            </w:r>
            <w:r>
              <w:rPr>
                <w:rFonts w:ascii="仿宋" w:hAnsi="仿宋" w:eastAsia="仿宋" w:cs="仿宋"/>
                <w:color w:val="auto"/>
                <w:sz w:val="30"/>
                <w:szCs w:val="30"/>
                <w:highlight w:val="none"/>
              </w:rPr>
              <w:t>水分控制；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555" w:type="dxa"/>
            <w:vAlign w:val="center"/>
          </w:tcPr>
          <w:p>
            <w:pPr>
              <w:spacing w:line="576"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磷脂酰丝氨酸油</w:t>
            </w:r>
          </w:p>
        </w:tc>
        <w:tc>
          <w:tcPr>
            <w:tcW w:w="2683" w:type="dxa"/>
            <w:vAlign w:val="center"/>
          </w:tcPr>
          <w:p>
            <w:pPr>
              <w:spacing w:line="24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原料验收—配料—</w:t>
            </w:r>
            <w:r>
              <w:rPr>
                <w:rFonts w:ascii="仿宋" w:hAnsi="仿宋" w:eastAsia="仿宋" w:cs="仿宋"/>
                <w:color w:val="auto"/>
                <w:sz w:val="30"/>
                <w:szCs w:val="30"/>
              </w:rPr>
              <w:t>混合</w:t>
            </w:r>
            <w:r>
              <w:rPr>
                <w:rFonts w:hint="eastAsia" w:ascii="仿宋" w:hAnsi="仿宋" w:eastAsia="仿宋" w:cs="仿宋"/>
                <w:color w:val="auto"/>
                <w:sz w:val="30"/>
                <w:szCs w:val="30"/>
              </w:rPr>
              <w:t>—</w:t>
            </w:r>
            <w:r>
              <w:rPr>
                <w:rFonts w:ascii="仿宋" w:hAnsi="仿宋" w:eastAsia="仿宋" w:cs="仿宋"/>
                <w:color w:val="auto"/>
                <w:sz w:val="30"/>
                <w:szCs w:val="30"/>
              </w:rPr>
              <w:t>内包</w:t>
            </w:r>
            <w:r>
              <w:rPr>
                <w:rFonts w:hint="eastAsia" w:ascii="仿宋" w:hAnsi="仿宋" w:eastAsia="仿宋" w:cs="仿宋"/>
                <w:color w:val="auto"/>
                <w:sz w:val="30"/>
                <w:szCs w:val="30"/>
              </w:rPr>
              <w:t>—</w:t>
            </w:r>
            <w:r>
              <w:rPr>
                <w:rFonts w:ascii="仿宋" w:hAnsi="仿宋" w:eastAsia="仿宋" w:cs="仿宋"/>
                <w:color w:val="auto"/>
                <w:sz w:val="30"/>
                <w:szCs w:val="30"/>
              </w:rPr>
              <w:t>外包</w:t>
            </w:r>
          </w:p>
        </w:tc>
        <w:tc>
          <w:tcPr>
            <w:tcW w:w="4971" w:type="dxa"/>
            <w:vAlign w:val="center"/>
          </w:tcPr>
          <w:p>
            <w:pPr>
              <w:pStyle w:val="16"/>
              <w:numPr>
                <w:ilvl w:val="0"/>
                <w:numId w:val="4"/>
              </w:numPr>
              <w:spacing w:line="240" w:lineRule="auto"/>
              <w:ind w:firstLineChars="0"/>
              <w:jc w:val="left"/>
              <w:rPr>
                <w:rFonts w:hint="eastAsia" w:ascii="仿宋" w:hAnsi="仿宋" w:eastAsia="仿宋" w:cs="仿宋"/>
                <w:color w:val="auto"/>
                <w:sz w:val="30"/>
                <w:szCs w:val="30"/>
              </w:rPr>
            </w:pPr>
            <w:r>
              <w:rPr>
                <w:rFonts w:hint="eastAsia" w:ascii="仿宋" w:hAnsi="仿宋" w:eastAsia="仿宋" w:cs="仿宋"/>
                <w:color w:val="auto"/>
                <w:sz w:val="30"/>
                <w:szCs w:val="30"/>
              </w:rPr>
              <w:t>原料验收；</w:t>
            </w:r>
          </w:p>
          <w:p>
            <w:pPr>
              <w:pStyle w:val="16"/>
              <w:numPr>
                <w:ilvl w:val="0"/>
                <w:numId w:val="4"/>
              </w:numPr>
              <w:spacing w:line="240" w:lineRule="auto"/>
              <w:ind w:firstLineChars="0"/>
              <w:jc w:val="left"/>
              <w:rPr>
                <w:rFonts w:hint="eastAsia" w:ascii="仿宋" w:hAnsi="仿宋" w:eastAsia="仿宋" w:cs="仿宋"/>
                <w:color w:val="auto"/>
                <w:sz w:val="30"/>
                <w:szCs w:val="30"/>
              </w:rPr>
            </w:pPr>
            <w:r>
              <w:rPr>
                <w:rFonts w:hint="eastAsia" w:ascii="仿宋" w:hAnsi="仿宋" w:eastAsia="仿宋" w:cs="仿宋"/>
                <w:color w:val="auto"/>
                <w:sz w:val="30"/>
                <w:szCs w:val="30"/>
              </w:rPr>
              <w:t>混合工序的转速和时间控制。</w:t>
            </w:r>
          </w:p>
        </w:tc>
      </w:tr>
    </w:tbl>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highlight w:val="none"/>
        </w:rPr>
      </w:pPr>
      <w:r>
        <w:rPr>
          <w:rFonts w:ascii="仿宋" w:hAnsi="仿宋" w:eastAsia="仿宋" w:cs="仿宋"/>
          <w:color w:val="auto"/>
          <w:sz w:val="30"/>
          <w:szCs w:val="30"/>
          <w:highlight w:val="none"/>
        </w:rPr>
        <w:t>纯化工艺</w:t>
      </w:r>
      <w:r>
        <w:rPr>
          <w:rFonts w:hint="eastAsia" w:ascii="仿宋" w:hAnsi="仿宋" w:eastAsia="仿宋" w:cs="仿宋"/>
          <w:color w:val="auto"/>
          <w:sz w:val="30"/>
          <w:szCs w:val="30"/>
          <w:highlight w:val="none"/>
        </w:rPr>
        <w:t>过程后续应使用相关规定允许使用的溶剂进行浸泡洗涤以达到灭菌效果。同时应有相应的溶剂回收设备</w:t>
      </w:r>
      <w:r>
        <w:rPr>
          <w:rFonts w:ascii="仿宋" w:hAnsi="仿宋" w:eastAsia="仿宋" w:cs="仿宋"/>
          <w:color w:val="auto"/>
          <w:sz w:val="30"/>
          <w:szCs w:val="30"/>
          <w:highlight w:val="none"/>
        </w:rPr>
        <w:t>，使用溶剂生产区域应符合防爆设计要求，溶剂储存区域应符合危险品库规范要求。</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hint="eastAsia" w:ascii="仿宋" w:hAnsi="仿宋" w:eastAsia="仿宋" w:cs="仿宋"/>
          <w:color w:val="auto"/>
          <w:sz w:val="30"/>
          <w:szCs w:val="30"/>
        </w:rPr>
        <w:t>企业应建立与实际操作相一致的工艺文件、操作规程等生产技术文件。</w:t>
      </w:r>
    </w:p>
    <w:p>
      <w:pPr>
        <w:numPr>
          <w:ilvl w:val="0"/>
          <w:numId w:val="5"/>
        </w:numPr>
        <w:tabs>
          <w:tab w:val="left" w:pos="8820"/>
        </w:tabs>
        <w:spacing w:before="240" w:line="5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人员管理</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ascii="仿宋" w:hAnsi="仿宋" w:eastAsia="仿宋" w:cs="仿宋"/>
          <w:color w:val="auto"/>
          <w:sz w:val="30"/>
          <w:szCs w:val="30"/>
        </w:rPr>
        <w:t>人员要求、人员培训、人员健康管理制度应符合国家市场监管总局 2024 年第 4 号公告、《审查通则》的相关要求。</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ascii="仿宋" w:hAnsi="仿宋" w:eastAsia="仿宋" w:cs="仿宋"/>
          <w:color w:val="auto"/>
          <w:sz w:val="30"/>
          <w:szCs w:val="30"/>
        </w:rPr>
        <w:t xml:space="preserve"> 企业应设置独立的食品质量安全管理机构，按 照《企业落实食品安全主体责任监督管理规定》的要求，对应配备专职的食品安全管理人员，并制定《食品安全总监职责》</w:t>
      </w:r>
      <w:r>
        <w:rPr>
          <w:rFonts w:hint="eastAsia" w:ascii="仿宋" w:hAnsi="仿宋" w:eastAsia="仿宋" w:cs="仿宋"/>
          <w:color w:val="auto"/>
          <w:sz w:val="30"/>
          <w:szCs w:val="30"/>
        </w:rPr>
        <w:t>、</w:t>
      </w:r>
      <w:r>
        <w:rPr>
          <w:rFonts w:ascii="仿宋" w:hAnsi="仿宋" w:eastAsia="仿宋" w:cs="仿宋"/>
          <w:color w:val="auto"/>
          <w:sz w:val="30"/>
          <w:szCs w:val="30"/>
        </w:rPr>
        <w:t xml:space="preserve">《食品安全员守则》，建立、实施和持续改进食品安全管理制度和生产质量管理体系，确保各项制度落实到位。 </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ascii="仿宋" w:hAnsi="仿宋" w:eastAsia="仿宋" w:cs="仿宋"/>
          <w:color w:val="auto"/>
          <w:sz w:val="30"/>
          <w:szCs w:val="30"/>
        </w:rPr>
        <w:t xml:space="preserve"> 企业应建立人员管理制度，各岗位人员的数量和能力应与企业规模、工艺、设备水平相适应</w:t>
      </w:r>
      <w:r>
        <w:rPr>
          <w:rFonts w:hint="eastAsia" w:ascii="仿宋" w:hAnsi="仿宋" w:eastAsia="仿宋" w:cs="仿宋"/>
          <w:color w:val="auto"/>
          <w:sz w:val="30"/>
          <w:szCs w:val="30"/>
        </w:rPr>
        <w:t>。</w:t>
      </w:r>
    </w:p>
    <w:p>
      <w:pPr>
        <w:numPr>
          <w:ilvl w:val="0"/>
          <w:numId w:val="5"/>
        </w:numPr>
        <w:tabs>
          <w:tab w:val="left" w:pos="0"/>
          <w:tab w:val="left" w:pos="425"/>
        </w:tabs>
        <w:spacing w:line="5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rPr>
        <w:t>管理制度</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ascii="仿宋" w:hAnsi="仿宋" w:eastAsia="仿宋" w:cs="仿宋"/>
          <w:color w:val="auto"/>
          <w:sz w:val="30"/>
          <w:szCs w:val="30"/>
        </w:rPr>
        <w:t>企业应建立食品原料、食品添加剂及食品相关产品的采购、验收、运输和贮存管理制度。采购的食品原料、食品添加剂和食品相关产品应当查验供应商的许可证和产品合格证明文件，并定期对供应商进行审核评估</w:t>
      </w:r>
      <w:r>
        <w:rPr>
          <w:rFonts w:hint="eastAsia" w:ascii="仿宋" w:hAnsi="仿宋" w:eastAsia="仿宋" w:cs="仿宋"/>
          <w:color w:val="auto"/>
          <w:sz w:val="30"/>
          <w:szCs w:val="30"/>
        </w:rPr>
        <w:t>。</w:t>
      </w:r>
      <w:r>
        <w:rPr>
          <w:rFonts w:ascii="仿宋" w:hAnsi="仿宋" w:eastAsia="仿宋" w:cs="仿宋"/>
          <w:color w:val="auto"/>
          <w:sz w:val="30"/>
          <w:szCs w:val="30"/>
        </w:rPr>
        <w:t>对无法提供合格证明的食品原料，应按照食品安全标准和企业内控技术要求检验合格</w:t>
      </w:r>
      <w:r>
        <w:rPr>
          <w:rFonts w:hint="eastAsia" w:ascii="仿宋" w:hAnsi="仿宋" w:eastAsia="仿宋" w:cs="仿宋"/>
          <w:color w:val="auto"/>
          <w:sz w:val="30"/>
          <w:szCs w:val="30"/>
        </w:rPr>
        <w:t>。</w:t>
      </w:r>
    </w:p>
    <w:p>
      <w:p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hint="eastAsia" w:ascii="仿宋" w:hAnsi="仿宋" w:eastAsia="仿宋" w:cs="仿宋"/>
          <w:color w:val="auto"/>
          <w:sz w:val="30"/>
          <w:szCs w:val="30"/>
        </w:rPr>
        <w:t xml:space="preserve">以来自公共供水系统的水为生产用源水的，供水系统出入口应增设安全卫生设施，防止异物进入。生产用水应符合GB 5749《生活饮用水卫生标准》中的卫生要求。生产用原辅料符合相关食品安全标准的要求。 </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highlight w:val="none"/>
        </w:rPr>
      </w:pPr>
      <w:r>
        <w:rPr>
          <w:rFonts w:ascii="仿宋" w:hAnsi="仿宋" w:eastAsia="仿宋" w:cs="仿宋"/>
          <w:color w:val="auto"/>
          <w:sz w:val="30"/>
          <w:szCs w:val="30"/>
        </w:rPr>
        <w:t>企业应建立废弃物存放和清除制度。废弃物应定</w:t>
      </w:r>
      <w:r>
        <w:rPr>
          <w:rFonts w:ascii="仿宋" w:hAnsi="仿宋" w:eastAsia="仿宋" w:cs="仿宋"/>
          <w:color w:val="auto"/>
          <w:sz w:val="30"/>
          <w:szCs w:val="30"/>
          <w:highlight w:val="none"/>
        </w:rPr>
        <w:t>期清除，易腐败的废弃物应尽快清除。</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highlight w:val="none"/>
        </w:rPr>
      </w:pPr>
      <w:r>
        <w:rPr>
          <w:rFonts w:ascii="仿宋" w:hAnsi="仿宋" w:eastAsia="仿宋" w:cs="仿宋"/>
          <w:color w:val="auto"/>
          <w:sz w:val="30"/>
          <w:szCs w:val="30"/>
          <w:highlight w:val="none"/>
        </w:rPr>
        <w:t>企业</w:t>
      </w:r>
      <w:r>
        <w:rPr>
          <w:rFonts w:hint="eastAsia" w:ascii="仿宋" w:hAnsi="仿宋" w:eastAsia="仿宋" w:cs="仿宋"/>
          <w:color w:val="auto"/>
          <w:sz w:val="30"/>
          <w:szCs w:val="30"/>
          <w:highlight w:val="none"/>
        </w:rPr>
        <w:t>在过程控制中水分的检测</w:t>
      </w:r>
      <w:r>
        <w:rPr>
          <w:rFonts w:ascii="仿宋" w:hAnsi="仿宋" w:eastAsia="仿宋" w:cs="仿宋"/>
          <w:color w:val="auto"/>
          <w:sz w:val="30"/>
          <w:szCs w:val="30"/>
          <w:highlight w:val="none"/>
        </w:rPr>
        <w:t>可以使用快速</w:t>
      </w:r>
      <w:r>
        <w:rPr>
          <w:rFonts w:hint="eastAsia" w:ascii="仿宋" w:hAnsi="仿宋" w:eastAsia="仿宋" w:cs="仿宋"/>
          <w:color w:val="auto"/>
          <w:sz w:val="30"/>
          <w:szCs w:val="30"/>
          <w:highlight w:val="none"/>
        </w:rPr>
        <w:t>水分测定仪；霉菌和酵母数的出厂检验可以</w:t>
      </w:r>
      <w:r>
        <w:rPr>
          <w:rFonts w:ascii="仿宋" w:hAnsi="仿宋" w:eastAsia="仿宋" w:cs="仿宋"/>
          <w:color w:val="auto"/>
          <w:sz w:val="30"/>
          <w:szCs w:val="30"/>
          <w:highlight w:val="none"/>
        </w:rPr>
        <w:t>使用快速</w:t>
      </w:r>
      <w:r>
        <w:rPr>
          <w:rFonts w:hint="eastAsia" w:ascii="仿宋" w:hAnsi="仿宋" w:eastAsia="仿宋" w:cs="仿宋"/>
          <w:color w:val="auto"/>
          <w:sz w:val="30"/>
          <w:szCs w:val="30"/>
          <w:highlight w:val="none"/>
        </w:rPr>
        <w:t>测试片。快速检测法</w:t>
      </w:r>
      <w:r>
        <w:rPr>
          <w:rFonts w:ascii="仿宋" w:hAnsi="仿宋" w:eastAsia="仿宋" w:cs="仿宋"/>
          <w:color w:val="auto"/>
          <w:sz w:val="30"/>
          <w:szCs w:val="30"/>
          <w:highlight w:val="none"/>
        </w:rPr>
        <w:t>应保证检测结果准确，定期与国家标准规定的检验方法</w:t>
      </w:r>
      <w:r>
        <w:rPr>
          <w:rFonts w:hint="eastAsia" w:ascii="仿宋" w:hAnsi="仿宋" w:eastAsia="仿宋" w:cs="仿宋"/>
          <w:color w:val="auto"/>
          <w:sz w:val="30"/>
          <w:szCs w:val="30"/>
          <w:highlight w:val="none"/>
        </w:rPr>
        <w:t>进行比对</w:t>
      </w:r>
      <w:r>
        <w:rPr>
          <w:rFonts w:ascii="仿宋" w:hAnsi="仿宋" w:eastAsia="仿宋" w:cs="仿宋"/>
          <w:color w:val="auto"/>
          <w:sz w:val="30"/>
          <w:szCs w:val="30"/>
          <w:highlight w:val="none"/>
        </w:rPr>
        <w:t>验证。快速检测结果不合格时，应使用国家标准规定的检验方法进行确认。</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hint="eastAsia" w:ascii="仿宋" w:hAnsi="仿宋" w:eastAsia="仿宋" w:cs="仿宋"/>
          <w:color w:val="auto"/>
          <w:sz w:val="30"/>
          <w:szCs w:val="30"/>
        </w:rPr>
        <w:t>生产过程控制制度、检验及留样管理制度、出厂检验记录制度、运输和交付管理制度、食品安全追溯管理体系、食品安全自查制度、不合格品管理制度及不安全食品召回制度、食品安全事故处置方案等应符合《审查通则》的相关要求。</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hint="eastAsia" w:ascii="仿宋" w:hAnsi="仿宋" w:eastAsia="仿宋" w:cs="仿宋"/>
          <w:color w:val="auto"/>
          <w:sz w:val="30"/>
          <w:szCs w:val="30"/>
        </w:rPr>
        <w:t xml:space="preserve"> 应当建立日管控、周排查、月调度等风险管控制度。企业应当建立基于食品安全风险防控的动态管理机制，充分进行食品安全风险分析，建立并不断完善食品安全风险管控清单，按照《企业落实食品安全主体责任监督管理规定》的规定建立健全日管控、周排查、月调度工作制度和机制。</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ascii="仿宋" w:hAnsi="仿宋" w:eastAsia="仿宋" w:cs="仿宋"/>
          <w:color w:val="auto"/>
          <w:sz w:val="30"/>
          <w:szCs w:val="30"/>
        </w:rPr>
        <w:t>企业应建立文件管理制度，对文件进行有效管理，确保各相关场所使用的文件均为有效版本</w:t>
      </w:r>
      <w:r>
        <w:rPr>
          <w:rFonts w:hint="eastAsia" w:ascii="仿宋" w:hAnsi="仿宋" w:eastAsia="仿宋" w:cs="仿宋"/>
          <w:color w:val="auto"/>
          <w:sz w:val="30"/>
          <w:szCs w:val="30"/>
        </w:rPr>
        <w:t>。</w:t>
      </w:r>
    </w:p>
    <w:p>
      <w:pPr>
        <w:numPr>
          <w:ilvl w:val="0"/>
          <w:numId w:val="5"/>
        </w:numPr>
        <w:tabs>
          <w:tab w:val="left" w:pos="0"/>
          <w:tab w:val="left" w:pos="425"/>
        </w:tabs>
        <w:spacing w:line="500" w:lineRule="exact"/>
        <w:jc w:val="center"/>
        <w:outlineLvl w:val="3"/>
        <w:rPr>
          <w:rFonts w:hint="eastAsia" w:ascii="仿宋" w:hAnsi="仿宋" w:eastAsia="仿宋" w:cs="仿宋"/>
          <w:color w:val="auto"/>
          <w:sz w:val="30"/>
          <w:szCs w:val="30"/>
        </w:rPr>
      </w:pPr>
      <w:r>
        <w:rPr>
          <w:rFonts w:hint="eastAsia" w:ascii="仿宋" w:hAnsi="仿宋" w:eastAsia="仿宋" w:cs="仿宋"/>
          <w:color w:val="auto"/>
          <w:kern w:val="0"/>
          <w:sz w:val="30"/>
          <w:szCs w:val="30"/>
        </w:rPr>
        <w:t>试制产品检验合格报告</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kern w:val="0"/>
          <w:sz w:val="30"/>
          <w:szCs w:val="30"/>
        </w:rPr>
      </w:pPr>
      <w:r>
        <w:rPr>
          <w:rFonts w:hint="eastAsia" w:ascii="仿宋" w:hAnsi="仿宋" w:eastAsia="仿宋" w:cs="仿宋"/>
          <w:color w:val="auto"/>
          <w:sz w:val="30"/>
          <w:szCs w:val="30"/>
        </w:rPr>
        <w:t xml:space="preserve"> 企业提供试制产品的有效第三方检验合格报告，检验项目应包含标准、法律法规及相关部门公告规定的全部项目。</w:t>
      </w:r>
    </w:p>
    <w:p>
      <w:pPr>
        <w:numPr>
          <w:ilvl w:val="0"/>
          <w:numId w:val="5"/>
        </w:numPr>
        <w:tabs>
          <w:tab w:val="left" w:pos="0"/>
          <w:tab w:val="left" w:pos="425"/>
        </w:tabs>
        <w:spacing w:line="500" w:lineRule="exact"/>
        <w:jc w:val="center"/>
        <w:outlineLvl w:val="3"/>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附则</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hint="eastAsia" w:ascii="仿宋" w:hAnsi="仿宋" w:eastAsia="仿宋" w:cs="仿宋"/>
          <w:color w:val="auto"/>
          <w:kern w:val="0"/>
          <w:sz w:val="30"/>
          <w:szCs w:val="30"/>
        </w:rPr>
        <w:t xml:space="preserve"> 本类产品不允许分装。</w:t>
      </w:r>
    </w:p>
    <w:p>
      <w:pPr>
        <w:numPr>
          <w:ilvl w:val="0"/>
          <w:numId w:val="3"/>
        </w:numPr>
        <w:tabs>
          <w:tab w:val="left" w:pos="0"/>
          <w:tab w:val="left" w:pos="425"/>
        </w:tabs>
        <w:spacing w:line="500" w:lineRule="exact"/>
        <w:ind w:left="210" w:firstLine="600" w:firstLineChars="200"/>
        <w:jc w:val="left"/>
        <w:outlineLvl w:val="3"/>
        <w:rPr>
          <w:rFonts w:hint="eastAsia" w:ascii="仿宋" w:hAnsi="仿宋" w:eastAsia="仿宋" w:cs="仿宋"/>
          <w:color w:val="auto"/>
          <w:sz w:val="30"/>
          <w:szCs w:val="30"/>
        </w:rPr>
      </w:pPr>
      <w:r>
        <w:rPr>
          <w:rFonts w:hint="eastAsia" w:ascii="仿宋" w:hAnsi="仿宋" w:eastAsia="仿宋" w:cs="仿宋"/>
          <w:color w:val="auto"/>
          <w:kern w:val="0"/>
          <w:sz w:val="30"/>
          <w:szCs w:val="30"/>
        </w:rPr>
        <w:t xml:space="preserve"> 本方案自    年  月  日起施行。</w:t>
      </w:r>
    </w:p>
    <w:p>
      <w:pPr>
        <w:tabs>
          <w:tab w:val="left" w:pos="0"/>
          <w:tab w:val="left" w:pos="425"/>
        </w:tabs>
        <w:spacing w:line="500" w:lineRule="exact"/>
        <w:ind w:firstLine="600" w:firstLineChars="200"/>
        <w:rPr>
          <w:rFonts w:hint="eastAsia" w:ascii="仿宋" w:hAnsi="仿宋" w:eastAsia="仿宋" w:cs="仿宋"/>
          <w:color w:val="auto"/>
          <w:sz w:val="30"/>
          <w:szCs w:val="30"/>
        </w:rPr>
      </w:pPr>
    </w:p>
    <w:p>
      <w:pPr>
        <w:tabs>
          <w:tab w:val="left" w:pos="0"/>
          <w:tab w:val="left" w:pos="425"/>
        </w:tabs>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附录：1.本方案参考的主要标准 </w:t>
      </w:r>
    </w:p>
    <w:p>
      <w:pPr>
        <w:tabs>
          <w:tab w:val="left" w:pos="0"/>
          <w:tab w:val="left" w:pos="425"/>
        </w:tabs>
        <w:spacing w:line="500" w:lineRule="exact"/>
        <w:ind w:firstLine="1500" w:firstLineChars="5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2.本方案参考的检验项目与方法 </w:t>
      </w:r>
    </w:p>
    <w:bookmarkEnd w:id="3"/>
    <w:bookmarkEnd w:id="10"/>
    <w:p>
      <w:pPr>
        <w:tabs>
          <w:tab w:val="left" w:pos="0"/>
        </w:tabs>
        <w:adjustRightInd w:val="0"/>
        <w:snapToGrid w:val="0"/>
        <w:spacing w:line="360" w:lineRule="exact"/>
        <w:ind w:right="73"/>
        <w:rPr>
          <w:rFonts w:eastAsia="方正仿宋简体"/>
          <w:szCs w:val="21"/>
        </w:rPr>
      </w:pPr>
    </w:p>
    <w:p>
      <w:pPr>
        <w:tabs>
          <w:tab w:val="left" w:pos="0"/>
        </w:tabs>
        <w:adjustRightInd w:val="0"/>
        <w:snapToGrid w:val="0"/>
        <w:spacing w:line="360" w:lineRule="exact"/>
        <w:ind w:right="73"/>
        <w:rPr>
          <w:rFonts w:eastAsia="方正仿宋简体"/>
          <w:szCs w:val="21"/>
        </w:rPr>
      </w:pPr>
    </w:p>
    <w:p>
      <w:pPr>
        <w:tabs>
          <w:tab w:val="left" w:pos="0"/>
        </w:tabs>
        <w:adjustRightInd w:val="0"/>
        <w:snapToGrid w:val="0"/>
        <w:spacing w:line="360" w:lineRule="exact"/>
        <w:ind w:right="73"/>
        <w:rPr>
          <w:rFonts w:eastAsia="方正仿宋简体"/>
          <w:szCs w:val="21"/>
        </w:rPr>
      </w:pPr>
    </w:p>
    <w:p>
      <w:pPr>
        <w:tabs>
          <w:tab w:val="left" w:pos="0"/>
        </w:tabs>
        <w:adjustRightInd w:val="0"/>
        <w:snapToGrid w:val="0"/>
        <w:spacing w:line="360" w:lineRule="exact"/>
        <w:ind w:right="73"/>
        <w:rPr>
          <w:rFonts w:eastAsia="方正仿宋简体"/>
          <w:szCs w:val="21"/>
        </w:rPr>
      </w:pPr>
    </w:p>
    <w:p>
      <w:pPr>
        <w:tabs>
          <w:tab w:val="left" w:pos="0"/>
        </w:tabs>
        <w:adjustRightInd w:val="0"/>
        <w:snapToGrid w:val="0"/>
        <w:spacing w:line="360" w:lineRule="exact"/>
        <w:ind w:right="73"/>
        <w:rPr>
          <w:rFonts w:eastAsia="方正仿宋简体"/>
          <w:szCs w:val="21"/>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tabs>
          <w:tab w:val="left" w:pos="0"/>
        </w:tabs>
        <w:adjustRightInd w:val="0"/>
        <w:snapToGrid w:val="0"/>
        <w:spacing w:line="360" w:lineRule="exact"/>
        <w:ind w:right="73"/>
        <w:rPr>
          <w:rFonts w:eastAsia="方正仿宋简体"/>
          <w:szCs w:val="21"/>
        </w:rPr>
      </w:pPr>
    </w:p>
    <w:p>
      <w:pPr>
        <w:tabs>
          <w:tab w:val="left" w:pos="0"/>
        </w:tabs>
        <w:adjustRightInd w:val="0"/>
        <w:snapToGrid w:val="0"/>
        <w:spacing w:line="360" w:lineRule="exact"/>
        <w:ind w:right="73"/>
        <w:rPr>
          <w:rFonts w:hint="eastAsia" w:ascii="黑体" w:hAnsi="黑体" w:eastAsia="黑体" w:cs="黑体"/>
          <w:sz w:val="32"/>
          <w:szCs w:val="32"/>
        </w:rPr>
      </w:pPr>
      <w:r>
        <w:rPr>
          <w:rFonts w:hint="eastAsia" w:ascii="黑体" w:hAnsi="黑体" w:eastAsia="黑体" w:cs="黑体"/>
          <w:sz w:val="32"/>
          <w:szCs w:val="32"/>
        </w:rPr>
        <w:t>附录1：</w:t>
      </w:r>
    </w:p>
    <w:p>
      <w:pPr>
        <w:adjustRightInd w:val="0"/>
        <w:snapToGrid w:val="0"/>
        <w:spacing w:line="360" w:lineRule="exact"/>
        <w:jc w:val="center"/>
        <w:rPr>
          <w:rFonts w:hint="eastAsia" w:ascii="仿宋" w:hAnsi="仿宋" w:eastAsia="仿宋" w:cs="仿宋"/>
          <w:sz w:val="30"/>
          <w:szCs w:val="30"/>
        </w:rPr>
      </w:pPr>
      <w:r>
        <w:rPr>
          <w:rFonts w:hint="eastAsia" w:ascii="仿宋" w:hAnsi="仿宋" w:eastAsia="仿宋" w:cs="仿宋"/>
          <w:sz w:val="30"/>
          <w:szCs w:val="30"/>
        </w:rPr>
        <w:t>本方案参考的主要标准</w:t>
      </w:r>
    </w:p>
    <w:p>
      <w:pPr>
        <w:adjustRightInd w:val="0"/>
        <w:snapToGrid w:val="0"/>
        <w:spacing w:line="360" w:lineRule="exact"/>
        <w:jc w:val="center"/>
        <w:rPr>
          <w:rFonts w:hint="eastAsia" w:ascii="仿宋" w:hAnsi="仿宋" w:eastAsia="仿宋" w:cs="仿宋"/>
          <w:sz w:val="30"/>
          <w:szCs w:val="30"/>
        </w:rPr>
      </w:pPr>
    </w:p>
    <w:tbl>
      <w:tblPr>
        <w:tblStyle w:val="8"/>
        <w:tblW w:w="8648" w:type="dxa"/>
        <w:jc w:val="center"/>
        <w:tblLayout w:type="fixed"/>
        <w:tblCellMar>
          <w:top w:w="15" w:type="dxa"/>
          <w:left w:w="15" w:type="dxa"/>
          <w:bottom w:w="15" w:type="dxa"/>
          <w:right w:w="15" w:type="dxa"/>
        </w:tblCellMar>
      </w:tblPr>
      <w:tblGrid>
        <w:gridCol w:w="880"/>
        <w:gridCol w:w="1956"/>
        <w:gridCol w:w="5812"/>
      </w:tblGrid>
      <w:tr>
        <w:tblPrEx>
          <w:tblCellMar>
            <w:top w:w="15" w:type="dxa"/>
            <w:left w:w="15" w:type="dxa"/>
            <w:bottom w:w="15" w:type="dxa"/>
            <w:right w:w="15" w:type="dxa"/>
          </w:tblCellMar>
        </w:tblPrEx>
        <w:trPr>
          <w:trHeight w:val="28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序号</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标准号</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标准名称</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1</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kern w:val="0"/>
                <w:sz w:val="28"/>
                <w:szCs w:val="28"/>
              </w:rPr>
              <w:t>QB/T 5821</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kern w:val="0"/>
                <w:sz w:val="28"/>
                <w:szCs w:val="28"/>
              </w:rPr>
              <w:t>磷脂酰丝氨酸</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2</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kern w:val="0"/>
                <w:sz w:val="28"/>
                <w:szCs w:val="28"/>
              </w:rPr>
            </w:pPr>
            <w:r>
              <w:rPr>
                <w:rFonts w:hint="eastAsia" w:ascii="仿宋" w:hAnsi="仿宋" w:eastAsia="仿宋" w:cs="仿宋"/>
                <w:kern w:val="0"/>
                <w:sz w:val="28"/>
                <w:szCs w:val="28"/>
              </w:rPr>
              <w:t>SC/T 3502</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kern w:val="0"/>
                <w:sz w:val="28"/>
                <w:szCs w:val="28"/>
              </w:rPr>
            </w:pPr>
            <w:r>
              <w:rPr>
                <w:rFonts w:ascii="仿宋" w:hAnsi="仿宋" w:eastAsia="仿宋" w:cs="仿宋"/>
                <w:kern w:val="0"/>
                <w:sz w:val="28"/>
                <w:szCs w:val="28"/>
              </w:rPr>
              <w:t>鱼油</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3</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kern w:val="0"/>
                <w:sz w:val="28"/>
                <w:szCs w:val="28"/>
              </w:rPr>
            </w:pPr>
            <w:r>
              <w:rPr>
                <w:rFonts w:hint="eastAsia" w:ascii="仿宋" w:hAnsi="仿宋" w:eastAsia="仿宋" w:cs="仿宋"/>
                <w:kern w:val="0"/>
                <w:sz w:val="28"/>
                <w:szCs w:val="28"/>
              </w:rPr>
              <w:t>LS/T 3243</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kern w:val="0"/>
                <w:sz w:val="28"/>
                <w:szCs w:val="28"/>
              </w:rPr>
            </w:pPr>
            <w:r>
              <w:rPr>
                <w:rFonts w:ascii="仿宋" w:hAnsi="仿宋" w:eastAsia="仿宋" w:cs="仿宋"/>
                <w:kern w:val="0"/>
                <w:sz w:val="28"/>
                <w:szCs w:val="28"/>
              </w:rPr>
              <w:t>DHA藻油</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4</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GB/T</w:t>
            </w:r>
            <w:r>
              <w:rPr>
                <w:rFonts w:hint="eastAsia" w:ascii="仿宋" w:hAnsi="仿宋" w:eastAsia="仿宋" w:cs="仿宋"/>
                <w:sz w:val="30"/>
                <w:szCs w:val="30"/>
              </w:rPr>
              <w:t xml:space="preserve"> </w:t>
            </w:r>
            <w:r>
              <w:rPr>
                <w:rFonts w:ascii="仿宋" w:hAnsi="仿宋" w:eastAsia="仿宋" w:cs="仿宋"/>
                <w:sz w:val="30"/>
                <w:szCs w:val="30"/>
              </w:rPr>
              <w:t>191</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包装储运图示标识</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5</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bookmarkStart w:id="12" w:name="OLE_LINK1"/>
            <w:r>
              <w:rPr>
                <w:rFonts w:hint="eastAsia" w:ascii="仿宋" w:hAnsi="仿宋" w:eastAsia="仿宋" w:cs="仿宋"/>
                <w:sz w:val="30"/>
                <w:szCs w:val="30"/>
              </w:rPr>
              <w:t>GB 1886.358</w:t>
            </w:r>
            <w:bookmarkEnd w:id="12"/>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食品安全国家标准 食品添加剂 磷脂</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6</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 271</w:t>
            </w:r>
            <w:r>
              <w:rPr>
                <w:rFonts w:hint="eastAsia" w:ascii="仿宋" w:hAnsi="仿宋" w:eastAsia="仿宋" w:cs="仿宋"/>
                <w:sz w:val="30"/>
                <w:szCs w:val="30"/>
              </w:rPr>
              <w:t>6</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 xml:space="preserve">食品安全国家标准 </w:t>
            </w:r>
            <w:r>
              <w:rPr>
                <w:rFonts w:hint="eastAsia" w:ascii="仿宋" w:hAnsi="仿宋" w:eastAsia="仿宋" w:cs="仿宋"/>
                <w:sz w:val="30"/>
                <w:szCs w:val="30"/>
              </w:rPr>
              <w:t>植物油</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7</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w:t>
            </w:r>
            <w:r>
              <w:rPr>
                <w:rFonts w:hint="eastAsia" w:ascii="仿宋" w:hAnsi="仿宋" w:eastAsia="仿宋" w:cs="仿宋"/>
                <w:sz w:val="30"/>
                <w:szCs w:val="30"/>
              </w:rPr>
              <w:t xml:space="preserve"> </w:t>
            </w:r>
            <w:r>
              <w:rPr>
                <w:rFonts w:ascii="仿宋" w:hAnsi="仿宋" w:eastAsia="仿宋" w:cs="仿宋"/>
                <w:sz w:val="30"/>
                <w:szCs w:val="30"/>
              </w:rPr>
              <w:t>2760</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食品安全国家标准 食品添加剂使用标准</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8</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GB 2761</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食品安全国家标准 食品中真菌毒素限量</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9</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GB 2762</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食品安全国家标准 食品中污染物限量</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10</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w:t>
            </w:r>
            <w:r>
              <w:rPr>
                <w:rFonts w:hint="eastAsia" w:ascii="仿宋" w:hAnsi="仿宋" w:eastAsia="仿宋" w:cs="仿宋"/>
                <w:sz w:val="30"/>
                <w:szCs w:val="30"/>
              </w:rPr>
              <w:t xml:space="preserve"> </w:t>
            </w:r>
            <w:r>
              <w:rPr>
                <w:rFonts w:ascii="仿宋" w:hAnsi="仿宋" w:eastAsia="仿宋" w:cs="仿宋"/>
                <w:sz w:val="30"/>
                <w:szCs w:val="30"/>
              </w:rPr>
              <w:t>4789.1</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食品安全国家标准 食品微生物学检验 总则</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11</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w:t>
            </w:r>
            <w:r>
              <w:rPr>
                <w:rFonts w:hint="eastAsia" w:ascii="仿宋" w:hAnsi="仿宋" w:eastAsia="仿宋" w:cs="仿宋"/>
                <w:sz w:val="30"/>
                <w:szCs w:val="30"/>
              </w:rPr>
              <w:t xml:space="preserve"> </w:t>
            </w:r>
            <w:r>
              <w:rPr>
                <w:rFonts w:ascii="仿宋" w:hAnsi="仿宋" w:eastAsia="仿宋" w:cs="仿宋"/>
                <w:sz w:val="30"/>
                <w:szCs w:val="30"/>
              </w:rPr>
              <w:t>4789.2</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食品安全国家标准 食品微生物学检验 菌落总数测定</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12</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w:t>
            </w:r>
            <w:r>
              <w:rPr>
                <w:rFonts w:hint="eastAsia" w:ascii="仿宋" w:hAnsi="仿宋" w:eastAsia="仿宋" w:cs="仿宋"/>
                <w:sz w:val="30"/>
                <w:szCs w:val="30"/>
              </w:rPr>
              <w:t xml:space="preserve"> </w:t>
            </w:r>
            <w:r>
              <w:rPr>
                <w:rFonts w:ascii="仿宋" w:hAnsi="仿宋" w:eastAsia="仿宋" w:cs="仿宋"/>
                <w:sz w:val="30"/>
                <w:szCs w:val="30"/>
              </w:rPr>
              <w:t>4789.</w:t>
            </w:r>
            <w:r>
              <w:rPr>
                <w:rFonts w:hint="eastAsia" w:ascii="仿宋" w:hAnsi="仿宋" w:eastAsia="仿宋" w:cs="仿宋"/>
                <w:sz w:val="30"/>
                <w:szCs w:val="30"/>
              </w:rPr>
              <w:t>3</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食品安全国家标准 食品微生物学检验 大肠菌群计数</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color w:val="FF0000"/>
                <w:sz w:val="30"/>
                <w:szCs w:val="30"/>
              </w:rPr>
            </w:pPr>
            <w:r>
              <w:rPr>
                <w:rFonts w:hint="eastAsia" w:ascii="仿宋" w:hAnsi="仿宋" w:eastAsia="仿宋" w:cs="仿宋"/>
                <w:sz w:val="30"/>
                <w:szCs w:val="30"/>
              </w:rPr>
              <w:t>13</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 4789.4</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color w:val="FF0000"/>
                <w:sz w:val="30"/>
                <w:szCs w:val="30"/>
              </w:rPr>
            </w:pPr>
            <w:r>
              <w:rPr>
                <w:rFonts w:ascii="仿宋" w:hAnsi="仿宋" w:eastAsia="仿宋" w:cs="仿宋"/>
                <w:sz w:val="30"/>
                <w:szCs w:val="30"/>
              </w:rPr>
              <w:t>食品安全国家标准 食品微生物学检验 沙门氏菌检验</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14</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GB 4789.10</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食品安全国家标准 食品微生物学检验 金黄色葡萄球菌检验</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15</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w:t>
            </w:r>
            <w:r>
              <w:rPr>
                <w:rFonts w:hint="eastAsia" w:ascii="仿宋" w:hAnsi="仿宋" w:eastAsia="仿宋" w:cs="仿宋"/>
                <w:sz w:val="30"/>
                <w:szCs w:val="30"/>
              </w:rPr>
              <w:t xml:space="preserve"> </w:t>
            </w:r>
            <w:r>
              <w:rPr>
                <w:rFonts w:ascii="仿宋" w:hAnsi="仿宋" w:eastAsia="仿宋" w:cs="仿宋"/>
                <w:sz w:val="30"/>
                <w:szCs w:val="30"/>
              </w:rPr>
              <w:t>4789.15</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食品安全国家标准 食品微生物学检验 霉菌和酵母计数</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16</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 xml:space="preserve">GB </w:t>
            </w:r>
            <w:bookmarkStart w:id="13" w:name="OLE_LINK3"/>
            <w:r>
              <w:rPr>
                <w:rFonts w:hint="eastAsia" w:ascii="仿宋" w:hAnsi="仿宋" w:eastAsia="仿宋" w:cs="仿宋"/>
                <w:sz w:val="30"/>
                <w:szCs w:val="30"/>
              </w:rPr>
              <w:t>4806.7</w:t>
            </w:r>
            <w:bookmarkEnd w:id="13"/>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食品安全国家标准 食品接触用塑料材料及制品</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17</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 4806.13</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食品安全国家标准 食品接触用复合材料及制品</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18</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w:t>
            </w:r>
            <w:r>
              <w:rPr>
                <w:rFonts w:hint="eastAsia" w:ascii="仿宋" w:hAnsi="仿宋" w:eastAsia="仿宋" w:cs="仿宋"/>
                <w:sz w:val="30"/>
                <w:szCs w:val="30"/>
              </w:rPr>
              <w:t xml:space="preserve"> </w:t>
            </w:r>
            <w:r>
              <w:rPr>
                <w:rFonts w:ascii="仿宋" w:hAnsi="仿宋" w:eastAsia="仿宋" w:cs="仿宋"/>
                <w:sz w:val="30"/>
                <w:szCs w:val="30"/>
              </w:rPr>
              <w:t>5009.</w:t>
            </w:r>
            <w:r>
              <w:rPr>
                <w:rFonts w:hint="eastAsia" w:ascii="仿宋" w:hAnsi="仿宋" w:eastAsia="仿宋" w:cs="仿宋"/>
                <w:sz w:val="30"/>
                <w:szCs w:val="30"/>
              </w:rPr>
              <w:t>3</w:t>
            </w:r>
            <w:r>
              <w:rPr>
                <w:rFonts w:ascii="仿宋" w:hAnsi="仿宋" w:eastAsia="仿宋" w:cs="仿宋"/>
                <w:sz w:val="30"/>
                <w:szCs w:val="30"/>
              </w:rPr>
              <w:t xml:space="preserve">  </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食品安全国家标准 食品中水分的测定</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18</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w:t>
            </w:r>
            <w:r>
              <w:rPr>
                <w:rFonts w:hint="eastAsia" w:ascii="仿宋" w:hAnsi="仿宋" w:eastAsia="仿宋" w:cs="仿宋"/>
                <w:sz w:val="30"/>
                <w:szCs w:val="30"/>
              </w:rPr>
              <w:t xml:space="preserve"> </w:t>
            </w:r>
            <w:r>
              <w:rPr>
                <w:rFonts w:ascii="仿宋" w:hAnsi="仿宋" w:eastAsia="仿宋" w:cs="仿宋"/>
                <w:sz w:val="30"/>
                <w:szCs w:val="30"/>
              </w:rPr>
              <w:t xml:space="preserve">5009.11  </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食品安全国家标准 食品中总砷及无机砷的测定</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19</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w:t>
            </w:r>
            <w:r>
              <w:rPr>
                <w:rFonts w:hint="eastAsia" w:ascii="仿宋" w:hAnsi="仿宋" w:eastAsia="仿宋" w:cs="仿宋"/>
                <w:sz w:val="30"/>
                <w:szCs w:val="30"/>
              </w:rPr>
              <w:t xml:space="preserve"> </w:t>
            </w:r>
            <w:r>
              <w:rPr>
                <w:rFonts w:ascii="仿宋" w:hAnsi="仿宋" w:eastAsia="仿宋" w:cs="仿宋"/>
                <w:sz w:val="30"/>
                <w:szCs w:val="30"/>
              </w:rPr>
              <w:t xml:space="preserve">5009.12  </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食品安全国家标准 食品中铅的测定</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21</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GB 5009.227</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食品安全国家标准 食品中过氧化值的测定</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22</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GB 5009.262</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食品安全国家标准 食品中溶剂残留量的测定</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23</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w:t>
            </w:r>
            <w:r>
              <w:rPr>
                <w:rFonts w:hint="eastAsia" w:ascii="仿宋" w:hAnsi="仿宋" w:eastAsia="仿宋" w:cs="仿宋"/>
                <w:sz w:val="30"/>
                <w:szCs w:val="30"/>
              </w:rPr>
              <w:t xml:space="preserve"> </w:t>
            </w:r>
            <w:r>
              <w:rPr>
                <w:rFonts w:ascii="仿宋" w:hAnsi="仿宋" w:eastAsia="仿宋" w:cs="仿宋"/>
                <w:sz w:val="30"/>
                <w:szCs w:val="30"/>
              </w:rPr>
              <w:t>5749</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生活饮用水卫生标准</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24</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w:t>
            </w:r>
            <w:r>
              <w:rPr>
                <w:rFonts w:hint="eastAsia" w:ascii="仿宋" w:hAnsi="仿宋" w:eastAsia="仿宋" w:cs="仿宋"/>
                <w:sz w:val="30"/>
                <w:szCs w:val="30"/>
              </w:rPr>
              <w:t xml:space="preserve"> </w:t>
            </w:r>
            <w:r>
              <w:rPr>
                <w:rFonts w:ascii="仿宋" w:hAnsi="仿宋" w:eastAsia="仿宋" w:cs="仿宋"/>
                <w:sz w:val="30"/>
                <w:szCs w:val="30"/>
              </w:rPr>
              <w:t>7718</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食品安全国家标准  预包装食品标签通则</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highlight w:val="yellow"/>
              </w:rPr>
            </w:pPr>
            <w:r>
              <w:rPr>
                <w:rFonts w:hint="eastAsia" w:ascii="仿宋" w:hAnsi="仿宋" w:eastAsia="仿宋" w:cs="仿宋"/>
                <w:sz w:val="30"/>
                <w:szCs w:val="30"/>
              </w:rPr>
              <w:t>25</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GB/T 18454</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液体食品无菌包装用复合袋</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26</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GB 14880</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食品安全国家标准 食品营养强化剂使用标准</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27</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GB</w:t>
            </w:r>
            <w:r>
              <w:rPr>
                <w:rFonts w:hint="eastAsia" w:ascii="仿宋" w:hAnsi="仿宋" w:eastAsia="仿宋" w:cs="仿宋"/>
                <w:sz w:val="30"/>
                <w:szCs w:val="30"/>
              </w:rPr>
              <w:t xml:space="preserve"> </w:t>
            </w:r>
            <w:r>
              <w:rPr>
                <w:rFonts w:ascii="仿宋" w:hAnsi="仿宋" w:eastAsia="仿宋" w:cs="仿宋"/>
                <w:sz w:val="30"/>
                <w:szCs w:val="30"/>
              </w:rPr>
              <w:t>1</w:t>
            </w:r>
            <w:r>
              <w:rPr>
                <w:rFonts w:hint="eastAsia" w:ascii="仿宋" w:hAnsi="仿宋" w:eastAsia="仿宋" w:cs="仿宋"/>
                <w:sz w:val="30"/>
                <w:szCs w:val="30"/>
              </w:rPr>
              <w:t>4881</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食品安全国家标准 食品生产通用卫生规范</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28</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GB 28050</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食品安全国家标准 预包装食品营养标签通则</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highlight w:val="yellow"/>
              </w:rPr>
            </w:pPr>
            <w:r>
              <w:rPr>
                <w:rFonts w:hint="eastAsia" w:ascii="仿宋" w:hAnsi="仿宋" w:eastAsia="仿宋" w:cs="仿宋"/>
                <w:sz w:val="30"/>
                <w:szCs w:val="30"/>
              </w:rPr>
              <w:t>29</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GB/T 28118</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食品包装用塑料与铝箔复合膜、袋</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30</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GB 29921</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食品安全国家标准 预包装食品中致病菌限量</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31</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GB/T 30642</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食品抽样检验通用导则</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32</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SN/T 0802.2</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进出口磷脂 丙酮不溶物检验方法</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33</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JJF</w:t>
            </w:r>
            <w:r>
              <w:rPr>
                <w:rFonts w:hint="eastAsia" w:ascii="仿宋" w:hAnsi="仿宋" w:eastAsia="仿宋" w:cs="仿宋"/>
                <w:sz w:val="30"/>
                <w:szCs w:val="30"/>
              </w:rPr>
              <w:t xml:space="preserve"> </w:t>
            </w:r>
            <w:r>
              <w:rPr>
                <w:rFonts w:ascii="仿宋" w:hAnsi="仿宋" w:eastAsia="仿宋" w:cs="仿宋"/>
                <w:sz w:val="30"/>
                <w:szCs w:val="30"/>
              </w:rPr>
              <w:t>1070</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定量包装商品净含量计量检验规则</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34</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bookmarkStart w:id="14" w:name="OLE_LINK2"/>
            <w:r>
              <w:rPr>
                <w:rFonts w:hint="eastAsia" w:ascii="仿宋" w:hAnsi="仿宋" w:eastAsia="仿宋" w:cs="仿宋"/>
                <w:sz w:val="30"/>
                <w:szCs w:val="30"/>
              </w:rPr>
              <w:t>国家卫健委、国家市场监督管理总局2023年第11号</w:t>
            </w:r>
            <w:bookmarkEnd w:id="14"/>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hint="eastAsia" w:ascii="仿宋" w:hAnsi="仿宋" w:eastAsia="仿宋" w:cs="仿宋"/>
                <w:sz w:val="30"/>
                <w:szCs w:val="30"/>
              </w:rPr>
              <w:t>关于特殊膳食用食品中氨基酸管理的公告</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35</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国家市场监督管理总局令第70号</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定量包装商品计量监督管理办法</w:t>
            </w:r>
          </w:p>
        </w:tc>
      </w:tr>
      <w:tr>
        <w:tblPrEx>
          <w:tblCellMar>
            <w:top w:w="15" w:type="dxa"/>
            <w:left w:w="15" w:type="dxa"/>
            <w:bottom w:w="15" w:type="dxa"/>
            <w:right w:w="15" w:type="dxa"/>
          </w:tblCellMar>
        </w:tblPrEx>
        <w:trPr>
          <w:trHeight w:val="3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36</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国家质量监督检验检疫总局令第123号</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sz w:val="30"/>
                <w:szCs w:val="30"/>
              </w:rPr>
            </w:pPr>
            <w:r>
              <w:rPr>
                <w:rFonts w:ascii="仿宋" w:hAnsi="仿宋" w:eastAsia="仿宋" w:cs="仿宋"/>
                <w:sz w:val="30"/>
                <w:szCs w:val="30"/>
              </w:rPr>
              <w:t>国家质量监督检验检疫总局关于修改《食品标识管理规定》的决定</w:t>
            </w:r>
          </w:p>
        </w:tc>
      </w:tr>
    </w:tbl>
    <w:p>
      <w:pPr>
        <w:adjustRightInd w:val="0"/>
        <w:snapToGrid w:val="0"/>
        <w:spacing w:line="360" w:lineRule="exact"/>
        <w:rPr>
          <w:rFonts w:hint="eastAsia" w:ascii="仿宋" w:hAnsi="仿宋" w:eastAsia="仿宋" w:cs="仿宋"/>
          <w:sz w:val="30"/>
          <w:szCs w:val="30"/>
        </w:rPr>
      </w:pPr>
    </w:p>
    <w:p>
      <w:pPr>
        <w:adjustRightInd w:val="0"/>
        <w:snapToGrid w:val="0"/>
        <w:spacing w:line="360" w:lineRule="exact"/>
        <w:rPr>
          <w:rFonts w:hint="eastAsia" w:ascii="仿宋" w:hAnsi="仿宋" w:eastAsia="仿宋" w:cs="仿宋"/>
          <w:sz w:val="30"/>
          <w:szCs w:val="30"/>
        </w:rPr>
        <w:sectPr>
          <w:pgSz w:w="11906" w:h="16838"/>
          <w:pgMar w:top="1440" w:right="1800" w:bottom="1440" w:left="1800" w:header="851" w:footer="992" w:gutter="0"/>
          <w:cols w:space="425" w:num="1"/>
          <w:docGrid w:type="lines" w:linePitch="312" w:charSpace="0"/>
        </w:sectPr>
      </w:pPr>
    </w:p>
    <w:p>
      <w:pPr>
        <w:adjustRightInd w:val="0"/>
        <w:snapToGrid w:val="0"/>
        <w:spacing w:line="360" w:lineRule="exact"/>
        <w:rPr>
          <w:rFonts w:hint="eastAsia" w:ascii="仿宋" w:hAnsi="仿宋" w:eastAsia="仿宋" w:cs="仿宋"/>
          <w:sz w:val="30"/>
          <w:szCs w:val="30"/>
        </w:rPr>
      </w:pPr>
    </w:p>
    <w:p>
      <w:pPr>
        <w:adjustRightInd w:val="0"/>
        <w:snapToGrid w:val="0"/>
        <w:spacing w:line="360" w:lineRule="exact"/>
        <w:rPr>
          <w:rFonts w:hint="eastAsia" w:ascii="仿宋" w:hAnsi="仿宋" w:eastAsia="仿宋" w:cs="仿宋"/>
          <w:sz w:val="30"/>
          <w:szCs w:val="30"/>
        </w:rPr>
      </w:pPr>
      <w:r>
        <w:rPr>
          <w:rFonts w:hint="eastAsia" w:ascii="黑体" w:hAnsi="黑体" w:eastAsia="黑体" w:cs="黑体"/>
          <w:b w:val="0"/>
          <w:bCs w:val="0"/>
          <w:sz w:val="32"/>
          <w:szCs w:val="32"/>
        </w:rPr>
        <w:t>附录2：</w:t>
      </w:r>
      <w:r>
        <w:rPr>
          <w:rFonts w:ascii="仿宋" w:hAnsi="仿宋" w:eastAsia="仿宋" w:cs="仿宋"/>
          <w:sz w:val="30"/>
          <w:szCs w:val="30"/>
        </w:rPr>
        <w:t xml:space="preserve">        </w:t>
      </w:r>
    </w:p>
    <w:p>
      <w:pPr>
        <w:adjustRightInd w:val="0"/>
        <w:snapToGrid w:val="0"/>
        <w:spacing w:line="360" w:lineRule="exact"/>
        <w:jc w:val="center"/>
        <w:rPr>
          <w:rFonts w:hint="eastAsia" w:ascii="仿宋" w:hAnsi="仿宋" w:eastAsia="仿宋" w:cs="仿宋"/>
          <w:sz w:val="30"/>
          <w:szCs w:val="30"/>
        </w:rPr>
      </w:pPr>
      <w:r>
        <w:rPr>
          <w:rFonts w:hint="eastAsia" w:ascii="仿宋" w:hAnsi="仿宋" w:eastAsia="仿宋" w:cs="仿宋"/>
          <w:sz w:val="30"/>
          <w:szCs w:val="30"/>
        </w:rPr>
        <w:t>磷脂酰丝氨酸、磷脂酰丝氨酸油</w:t>
      </w:r>
      <w:r>
        <w:rPr>
          <w:rFonts w:ascii="仿宋" w:hAnsi="仿宋" w:eastAsia="仿宋" w:cs="仿宋"/>
          <w:sz w:val="30"/>
          <w:szCs w:val="30"/>
        </w:rPr>
        <w:t>检验项目表</w:t>
      </w:r>
    </w:p>
    <w:p>
      <w:pPr>
        <w:spacing w:line="360" w:lineRule="exact"/>
        <w:rPr>
          <w:rFonts w:hint="eastAsia" w:ascii="仿宋" w:hAnsi="仿宋" w:eastAsia="仿宋" w:cs="仿宋"/>
          <w:sz w:val="30"/>
          <w:szCs w:val="30"/>
        </w:rPr>
      </w:pPr>
    </w:p>
    <w:tbl>
      <w:tblPr>
        <w:tblStyle w:val="8"/>
        <w:tblW w:w="865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3"/>
        <w:gridCol w:w="3969"/>
        <w:gridCol w:w="851"/>
        <w:gridCol w:w="70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序号</w:t>
            </w:r>
          </w:p>
        </w:tc>
        <w:tc>
          <w:tcPr>
            <w:tcW w:w="3969"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检验项目</w:t>
            </w:r>
          </w:p>
        </w:tc>
        <w:tc>
          <w:tcPr>
            <w:tcW w:w="851"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监督</w:t>
            </w:r>
          </w:p>
        </w:tc>
        <w:tc>
          <w:tcPr>
            <w:tcW w:w="708"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出厂</w:t>
            </w:r>
          </w:p>
        </w:tc>
        <w:tc>
          <w:tcPr>
            <w:tcW w:w="2552"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1</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感官</w:t>
            </w:r>
          </w:p>
        </w:tc>
        <w:tc>
          <w:tcPr>
            <w:tcW w:w="851"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2552" w:type="dxa"/>
          </w:tcPr>
          <w:p>
            <w:pPr>
              <w:widowControl/>
              <w:spacing w:line="360" w:lineRule="exact"/>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2</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水分</w:t>
            </w:r>
          </w:p>
        </w:tc>
        <w:tc>
          <w:tcPr>
            <w:tcW w:w="851" w:type="dxa"/>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w:t>
            </w:r>
          </w:p>
        </w:tc>
        <w:tc>
          <w:tcPr>
            <w:tcW w:w="708" w:type="dxa"/>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w:t>
            </w:r>
          </w:p>
        </w:tc>
        <w:tc>
          <w:tcPr>
            <w:tcW w:w="2552" w:type="dxa"/>
          </w:tcPr>
          <w:p>
            <w:pPr>
              <w:widowControl/>
              <w:spacing w:line="360" w:lineRule="exact"/>
              <w:jc w:val="left"/>
              <w:rPr>
                <w:rFonts w:hint="eastAsia" w:ascii="仿宋" w:hAnsi="仿宋" w:eastAsia="仿宋" w:cs="仿宋"/>
                <w:sz w:val="30"/>
                <w:szCs w:val="30"/>
              </w:rPr>
            </w:pPr>
            <w:r>
              <w:rPr>
                <w:rFonts w:ascii="Calibri" w:hAnsi="Calibri" w:eastAsia="仿宋" w:cs="Calibri"/>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3</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磷脂酰丝氨酸含量</w:t>
            </w:r>
          </w:p>
        </w:tc>
        <w:tc>
          <w:tcPr>
            <w:tcW w:w="851" w:type="dxa"/>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w:t>
            </w:r>
          </w:p>
        </w:tc>
        <w:tc>
          <w:tcPr>
            <w:tcW w:w="708" w:type="dxa"/>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w:t>
            </w:r>
          </w:p>
        </w:tc>
        <w:tc>
          <w:tcPr>
            <w:tcW w:w="2552" w:type="dxa"/>
          </w:tcPr>
          <w:p>
            <w:pPr>
              <w:widowControl/>
              <w:spacing w:line="360" w:lineRule="exact"/>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4</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丙酮不溶物</w:t>
            </w:r>
          </w:p>
        </w:tc>
        <w:tc>
          <w:tcPr>
            <w:tcW w:w="851"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2552" w:type="dxa"/>
          </w:tcPr>
          <w:p>
            <w:pPr>
              <w:widowControl/>
              <w:spacing w:line="360" w:lineRule="exact"/>
              <w:jc w:val="left"/>
              <w:rPr>
                <w:rFonts w:hint="eastAsia" w:ascii="仿宋" w:hAnsi="仿宋" w:eastAsia="仿宋" w:cs="仿宋"/>
                <w:sz w:val="30"/>
                <w:szCs w:val="30"/>
              </w:rPr>
            </w:pPr>
            <w:r>
              <w:rPr>
                <w:rFonts w:hint="eastAsia" w:ascii="仿宋" w:hAnsi="仿宋" w:eastAsia="仿宋" w:cs="仿宋"/>
                <w:sz w:val="30"/>
                <w:szCs w:val="30"/>
              </w:rPr>
              <w:t>磷脂酰丝氨酸测定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5</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过氧化值</w:t>
            </w:r>
          </w:p>
        </w:tc>
        <w:tc>
          <w:tcPr>
            <w:tcW w:w="851"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2552" w:type="dxa"/>
          </w:tcPr>
          <w:p>
            <w:pPr>
              <w:widowControl/>
              <w:spacing w:line="360" w:lineRule="exact"/>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6</w:t>
            </w:r>
          </w:p>
        </w:tc>
        <w:tc>
          <w:tcPr>
            <w:tcW w:w="3969" w:type="dxa"/>
            <w:vAlign w:val="center"/>
          </w:tcPr>
          <w:p>
            <w:pPr>
              <w:widowControl/>
              <w:spacing w:line="360" w:lineRule="exact"/>
              <w:jc w:val="left"/>
              <w:rPr>
                <w:rFonts w:hint="eastAsia" w:ascii="仿宋" w:hAnsi="仿宋" w:eastAsia="仿宋" w:cs="仿宋"/>
                <w:sz w:val="30"/>
                <w:szCs w:val="30"/>
              </w:rPr>
            </w:pPr>
            <w:r>
              <w:rPr>
                <w:rFonts w:hint="eastAsia" w:ascii="仿宋" w:hAnsi="仿宋" w:eastAsia="仿宋" w:cs="仿宋"/>
                <w:sz w:val="30"/>
                <w:szCs w:val="30"/>
              </w:rPr>
              <w:t>溶剂残留（正己烷、异丙醇）</w:t>
            </w:r>
          </w:p>
        </w:tc>
        <w:tc>
          <w:tcPr>
            <w:tcW w:w="851"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sz w:val="30"/>
                <w:szCs w:val="30"/>
              </w:rPr>
            </w:pPr>
          </w:p>
        </w:tc>
        <w:tc>
          <w:tcPr>
            <w:tcW w:w="2552" w:type="dxa"/>
          </w:tcPr>
          <w:p>
            <w:pPr>
              <w:widowControl/>
              <w:spacing w:line="360" w:lineRule="exact"/>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7</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铅</w:t>
            </w:r>
          </w:p>
        </w:tc>
        <w:tc>
          <w:tcPr>
            <w:tcW w:w="851"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sz w:val="30"/>
                <w:szCs w:val="30"/>
              </w:rPr>
            </w:pPr>
          </w:p>
        </w:tc>
        <w:tc>
          <w:tcPr>
            <w:tcW w:w="2552" w:type="dxa"/>
          </w:tcPr>
          <w:p>
            <w:pPr>
              <w:widowControl/>
              <w:spacing w:line="360" w:lineRule="exact"/>
              <w:jc w:val="left"/>
              <w:rPr>
                <w:rFonts w:hint="eastAsia" w:ascii="仿宋" w:hAnsi="仿宋" w:eastAsia="仿宋" w:cs="仿宋"/>
                <w:sz w:val="30"/>
                <w:szCs w:val="30"/>
              </w:rPr>
            </w:pPr>
            <w:r>
              <w:rPr>
                <w:rFonts w:ascii="Calibri" w:hAnsi="Calibri" w:eastAsia="仿宋" w:cs="Calibri"/>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8</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总砷</w:t>
            </w:r>
          </w:p>
        </w:tc>
        <w:tc>
          <w:tcPr>
            <w:tcW w:w="851"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sz w:val="30"/>
                <w:szCs w:val="30"/>
              </w:rPr>
            </w:pPr>
          </w:p>
        </w:tc>
        <w:tc>
          <w:tcPr>
            <w:tcW w:w="2552" w:type="dxa"/>
            <w:tcBorders>
              <w:bottom w:val="single" w:color="auto" w:sz="4" w:space="0"/>
            </w:tcBorders>
          </w:tcPr>
          <w:p>
            <w:pPr>
              <w:widowControl/>
              <w:spacing w:line="360" w:lineRule="exact"/>
              <w:jc w:val="left"/>
              <w:rPr>
                <w:rFonts w:hint="eastAsia" w:ascii="仿宋" w:hAnsi="仿宋" w:eastAsia="仿宋" w:cs="仿宋"/>
                <w:sz w:val="30"/>
                <w:szCs w:val="30"/>
              </w:rPr>
            </w:pPr>
            <w:r>
              <w:rPr>
                <w:rFonts w:ascii="Calibri" w:hAnsi="Calibri" w:eastAsia="仿宋" w:cs="Calibri"/>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9</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菌落总数</w:t>
            </w:r>
          </w:p>
        </w:tc>
        <w:tc>
          <w:tcPr>
            <w:tcW w:w="851" w:type="dxa"/>
          </w:tcPr>
          <w:p>
            <w:pPr>
              <w:widowControl/>
              <w:spacing w:line="360" w:lineRule="exact"/>
              <w:jc w:val="center"/>
              <w:rPr>
                <w:rFonts w:hint="eastAsia" w:ascii="仿宋" w:hAnsi="仿宋" w:eastAsia="仿宋" w:cs="仿宋"/>
                <w:color w:val="FF0000"/>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color w:val="FF0000"/>
                <w:sz w:val="30"/>
                <w:szCs w:val="30"/>
              </w:rPr>
            </w:pPr>
            <w:r>
              <w:rPr>
                <w:rFonts w:ascii="仿宋" w:hAnsi="仿宋" w:eastAsia="仿宋" w:cs="仿宋"/>
                <w:sz w:val="30"/>
                <w:szCs w:val="30"/>
              </w:rPr>
              <w:t>√</w:t>
            </w:r>
          </w:p>
        </w:tc>
        <w:tc>
          <w:tcPr>
            <w:tcW w:w="2552" w:type="dxa"/>
            <w:tcBorders>
              <w:bottom w:val="single" w:color="auto" w:sz="4" w:space="0"/>
            </w:tcBorders>
          </w:tcPr>
          <w:p>
            <w:pPr>
              <w:widowControl/>
              <w:spacing w:line="360" w:lineRule="exact"/>
              <w:jc w:val="left"/>
              <w:rPr>
                <w:rFonts w:hint="eastAsia" w:ascii="仿宋" w:hAnsi="仿宋" w:eastAsia="仿宋" w:cs="仿宋"/>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10</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大肠菌群</w:t>
            </w:r>
          </w:p>
        </w:tc>
        <w:tc>
          <w:tcPr>
            <w:tcW w:w="851" w:type="dxa"/>
          </w:tcPr>
          <w:p>
            <w:pPr>
              <w:widowControl/>
              <w:spacing w:line="360" w:lineRule="exact"/>
              <w:jc w:val="center"/>
              <w:rPr>
                <w:rFonts w:hint="eastAsia" w:ascii="仿宋" w:hAnsi="仿宋" w:eastAsia="仿宋" w:cs="仿宋"/>
                <w:color w:val="FF0000"/>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color w:val="FF0000"/>
                <w:sz w:val="30"/>
                <w:szCs w:val="30"/>
              </w:rPr>
            </w:pPr>
            <w:r>
              <w:rPr>
                <w:rFonts w:ascii="仿宋" w:hAnsi="仿宋" w:eastAsia="仿宋" w:cs="仿宋"/>
                <w:sz w:val="30"/>
                <w:szCs w:val="30"/>
              </w:rPr>
              <w:t>√</w:t>
            </w:r>
          </w:p>
        </w:tc>
        <w:tc>
          <w:tcPr>
            <w:tcW w:w="2552" w:type="dxa"/>
            <w:tcBorders>
              <w:bottom w:val="single" w:color="auto" w:sz="4" w:space="0"/>
            </w:tcBorders>
          </w:tcPr>
          <w:p>
            <w:pPr>
              <w:widowControl/>
              <w:spacing w:line="360" w:lineRule="exact"/>
              <w:jc w:val="left"/>
              <w:rPr>
                <w:rFonts w:hint="eastAsia" w:ascii="仿宋" w:hAnsi="仿宋" w:eastAsia="仿宋" w:cs="仿宋"/>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11</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霉菌和酵母菌</w:t>
            </w:r>
          </w:p>
        </w:tc>
        <w:tc>
          <w:tcPr>
            <w:tcW w:w="851" w:type="dxa"/>
          </w:tcPr>
          <w:p>
            <w:pPr>
              <w:widowControl/>
              <w:spacing w:line="360" w:lineRule="exact"/>
              <w:jc w:val="center"/>
              <w:rPr>
                <w:rFonts w:hint="eastAsia" w:ascii="仿宋" w:hAnsi="仿宋" w:eastAsia="仿宋" w:cs="仿宋"/>
                <w:color w:val="FF0000"/>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color w:val="FF0000"/>
                <w:sz w:val="30"/>
                <w:szCs w:val="30"/>
              </w:rPr>
            </w:pPr>
            <w:r>
              <w:rPr>
                <w:rFonts w:ascii="仿宋" w:hAnsi="仿宋" w:eastAsia="仿宋" w:cs="仿宋"/>
                <w:sz w:val="30"/>
                <w:szCs w:val="30"/>
              </w:rPr>
              <w:t>√</w:t>
            </w:r>
          </w:p>
        </w:tc>
        <w:tc>
          <w:tcPr>
            <w:tcW w:w="2552" w:type="dxa"/>
            <w:tcBorders>
              <w:bottom w:val="single" w:color="auto" w:sz="4" w:space="0"/>
            </w:tcBorders>
          </w:tcPr>
          <w:p>
            <w:pPr>
              <w:widowControl/>
              <w:spacing w:line="360" w:lineRule="exact"/>
              <w:jc w:val="left"/>
              <w:rPr>
                <w:rFonts w:hint="eastAsia" w:ascii="仿宋" w:hAnsi="仿宋" w:eastAsia="仿宋" w:cs="仿宋"/>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12</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金黄色葡萄球菌</w:t>
            </w:r>
          </w:p>
        </w:tc>
        <w:tc>
          <w:tcPr>
            <w:tcW w:w="851" w:type="dxa"/>
          </w:tcPr>
          <w:p>
            <w:pPr>
              <w:widowControl/>
              <w:spacing w:line="360" w:lineRule="exact"/>
              <w:jc w:val="center"/>
              <w:rPr>
                <w:rFonts w:hint="eastAsia" w:ascii="仿宋" w:hAnsi="仿宋" w:eastAsia="仿宋" w:cs="仿宋"/>
                <w:color w:val="FF0000"/>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color w:val="FF0000"/>
                <w:sz w:val="30"/>
                <w:szCs w:val="30"/>
              </w:rPr>
            </w:pPr>
          </w:p>
        </w:tc>
        <w:tc>
          <w:tcPr>
            <w:tcW w:w="2552" w:type="dxa"/>
            <w:tcBorders>
              <w:bottom w:val="single" w:color="auto" w:sz="4" w:space="0"/>
            </w:tcBorders>
          </w:tcPr>
          <w:p>
            <w:pPr>
              <w:widowControl/>
              <w:spacing w:line="360" w:lineRule="exact"/>
              <w:jc w:val="left"/>
              <w:rPr>
                <w:rFonts w:hint="eastAsia" w:ascii="仿宋" w:hAnsi="仿宋" w:eastAsia="仿宋" w:cs="仿宋"/>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13</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沙门氏菌</w:t>
            </w:r>
          </w:p>
        </w:tc>
        <w:tc>
          <w:tcPr>
            <w:tcW w:w="851" w:type="dxa"/>
          </w:tcPr>
          <w:p>
            <w:pPr>
              <w:widowControl/>
              <w:spacing w:line="360" w:lineRule="exact"/>
              <w:jc w:val="center"/>
              <w:rPr>
                <w:rFonts w:hint="eastAsia" w:ascii="仿宋" w:hAnsi="仿宋" w:eastAsia="仿宋" w:cs="仿宋"/>
                <w:color w:val="FF0000"/>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color w:val="FF0000"/>
                <w:sz w:val="30"/>
                <w:szCs w:val="30"/>
              </w:rPr>
            </w:pPr>
          </w:p>
        </w:tc>
        <w:tc>
          <w:tcPr>
            <w:tcW w:w="2552" w:type="dxa"/>
            <w:tcBorders>
              <w:bottom w:val="single" w:color="auto" w:sz="4" w:space="0"/>
            </w:tcBorders>
          </w:tcPr>
          <w:p>
            <w:pPr>
              <w:widowControl/>
              <w:spacing w:line="360" w:lineRule="exact"/>
              <w:jc w:val="left"/>
              <w:rPr>
                <w:rFonts w:hint="eastAsia" w:ascii="仿宋" w:hAnsi="仿宋" w:eastAsia="仿宋" w:cs="仿宋"/>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14</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净含量</w:t>
            </w:r>
          </w:p>
        </w:tc>
        <w:tc>
          <w:tcPr>
            <w:tcW w:w="851" w:type="dxa"/>
          </w:tcPr>
          <w:p>
            <w:pPr>
              <w:widowControl/>
              <w:spacing w:line="360" w:lineRule="exact"/>
              <w:jc w:val="center"/>
              <w:rPr>
                <w:rFonts w:hint="eastAsia" w:ascii="仿宋" w:hAnsi="仿宋" w:eastAsia="仿宋" w:cs="仿宋"/>
                <w:color w:val="FF0000"/>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color w:val="FF0000"/>
                <w:sz w:val="30"/>
                <w:szCs w:val="30"/>
              </w:rPr>
            </w:pPr>
            <w:r>
              <w:rPr>
                <w:rFonts w:ascii="仿宋" w:hAnsi="仿宋" w:eastAsia="仿宋" w:cs="仿宋"/>
                <w:sz w:val="30"/>
                <w:szCs w:val="30"/>
              </w:rPr>
              <w:t>√</w:t>
            </w:r>
          </w:p>
        </w:tc>
        <w:tc>
          <w:tcPr>
            <w:tcW w:w="2552" w:type="dxa"/>
          </w:tcPr>
          <w:p>
            <w:pPr>
              <w:widowControl/>
              <w:spacing w:line="360" w:lineRule="exact"/>
              <w:jc w:val="left"/>
              <w:rPr>
                <w:rFonts w:hint="eastAsia" w:ascii="仿宋" w:hAnsi="仿宋" w:eastAsia="仿宋" w:cs="仿宋"/>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15</w:t>
            </w:r>
          </w:p>
        </w:tc>
        <w:tc>
          <w:tcPr>
            <w:tcW w:w="3969" w:type="dxa"/>
            <w:vAlign w:val="center"/>
          </w:tcPr>
          <w:p>
            <w:pPr>
              <w:widowControl/>
              <w:spacing w:line="360" w:lineRule="exact"/>
              <w:jc w:val="left"/>
              <w:rPr>
                <w:rFonts w:hint="eastAsia" w:ascii="仿宋" w:hAnsi="仿宋" w:eastAsia="仿宋" w:cs="仿宋"/>
                <w:sz w:val="30"/>
                <w:szCs w:val="30"/>
              </w:rPr>
            </w:pPr>
            <w:r>
              <w:rPr>
                <w:rFonts w:ascii="仿宋" w:hAnsi="仿宋" w:eastAsia="仿宋" w:cs="仿宋"/>
                <w:sz w:val="30"/>
                <w:szCs w:val="30"/>
              </w:rPr>
              <w:t>标签</w:t>
            </w:r>
          </w:p>
        </w:tc>
        <w:tc>
          <w:tcPr>
            <w:tcW w:w="851"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2552" w:type="dxa"/>
            <w:vAlign w:val="center"/>
          </w:tcPr>
          <w:p>
            <w:pPr>
              <w:widowControl/>
              <w:spacing w:line="360" w:lineRule="exact"/>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16</w:t>
            </w:r>
          </w:p>
        </w:tc>
        <w:tc>
          <w:tcPr>
            <w:tcW w:w="3969" w:type="dxa"/>
            <w:vAlign w:val="center"/>
          </w:tcPr>
          <w:p>
            <w:pPr>
              <w:widowControl/>
              <w:spacing w:line="360" w:lineRule="exact"/>
              <w:jc w:val="left"/>
              <w:rPr>
                <w:rFonts w:hint="eastAsia" w:ascii="仿宋" w:hAnsi="仿宋" w:eastAsia="仿宋" w:cs="仿宋"/>
                <w:sz w:val="30"/>
                <w:szCs w:val="30"/>
              </w:rPr>
            </w:pPr>
            <w:r>
              <w:rPr>
                <w:rFonts w:hint="eastAsia" w:ascii="仿宋" w:hAnsi="仿宋" w:eastAsia="仿宋" w:cs="仿宋"/>
                <w:sz w:val="30"/>
                <w:szCs w:val="30"/>
              </w:rPr>
              <w:t>食品添加剂</w:t>
            </w:r>
          </w:p>
        </w:tc>
        <w:tc>
          <w:tcPr>
            <w:tcW w:w="851"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sz w:val="30"/>
                <w:szCs w:val="30"/>
              </w:rPr>
            </w:pPr>
          </w:p>
        </w:tc>
        <w:tc>
          <w:tcPr>
            <w:tcW w:w="2552" w:type="dxa"/>
          </w:tcPr>
          <w:p>
            <w:pPr>
              <w:widowControl/>
              <w:spacing w:line="360" w:lineRule="exact"/>
              <w:jc w:val="left"/>
              <w:rPr>
                <w:rFonts w:hint="eastAsia" w:ascii="仿宋" w:hAnsi="仿宋" w:eastAsia="仿宋" w:cs="仿宋"/>
                <w:sz w:val="30"/>
                <w:szCs w:val="30"/>
              </w:rPr>
            </w:pPr>
            <w:r>
              <w:rPr>
                <w:rFonts w:hint="eastAsia" w:ascii="仿宋" w:hAnsi="仿宋" w:eastAsia="仿宋" w:cs="仿宋"/>
                <w:sz w:val="30"/>
                <w:szCs w:val="30"/>
              </w:rPr>
              <w:t>根据产品标签标识及食品添加剂使用情况确定检验项目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3" w:type="dxa"/>
            <w:vAlign w:val="center"/>
          </w:tcPr>
          <w:p>
            <w:pPr>
              <w:widowControl/>
              <w:spacing w:line="360" w:lineRule="exact"/>
              <w:jc w:val="center"/>
              <w:rPr>
                <w:rFonts w:hint="eastAsia" w:ascii="仿宋" w:hAnsi="仿宋" w:eastAsia="仿宋" w:cs="仿宋"/>
                <w:sz w:val="30"/>
                <w:szCs w:val="30"/>
              </w:rPr>
            </w:pPr>
            <w:r>
              <w:rPr>
                <w:rFonts w:hint="eastAsia" w:ascii="仿宋" w:hAnsi="仿宋" w:eastAsia="仿宋" w:cs="仿宋"/>
                <w:sz w:val="30"/>
                <w:szCs w:val="30"/>
              </w:rPr>
              <w:t>17</w:t>
            </w:r>
          </w:p>
        </w:tc>
        <w:tc>
          <w:tcPr>
            <w:tcW w:w="3969" w:type="dxa"/>
            <w:vAlign w:val="center"/>
          </w:tcPr>
          <w:p>
            <w:pPr>
              <w:widowControl/>
              <w:spacing w:line="360" w:lineRule="exact"/>
              <w:jc w:val="left"/>
              <w:rPr>
                <w:rFonts w:hint="eastAsia" w:ascii="仿宋" w:hAnsi="仿宋" w:eastAsia="仿宋" w:cs="仿宋"/>
                <w:sz w:val="30"/>
                <w:szCs w:val="30"/>
              </w:rPr>
            </w:pPr>
            <w:r>
              <w:rPr>
                <w:rFonts w:hint="eastAsia" w:ascii="仿宋" w:hAnsi="仿宋" w:eastAsia="仿宋" w:cs="仿宋"/>
                <w:sz w:val="30"/>
                <w:szCs w:val="30"/>
              </w:rPr>
              <w:t>其他检验项目</w:t>
            </w:r>
          </w:p>
        </w:tc>
        <w:tc>
          <w:tcPr>
            <w:tcW w:w="851" w:type="dxa"/>
          </w:tcPr>
          <w:p>
            <w:pPr>
              <w:widowControl/>
              <w:spacing w:line="360" w:lineRule="exact"/>
              <w:jc w:val="center"/>
              <w:rPr>
                <w:rFonts w:hint="eastAsia" w:ascii="仿宋" w:hAnsi="仿宋" w:eastAsia="仿宋" w:cs="仿宋"/>
                <w:sz w:val="30"/>
                <w:szCs w:val="30"/>
              </w:rPr>
            </w:pPr>
            <w:r>
              <w:rPr>
                <w:rFonts w:ascii="仿宋" w:hAnsi="仿宋" w:eastAsia="仿宋" w:cs="仿宋"/>
                <w:sz w:val="30"/>
                <w:szCs w:val="30"/>
              </w:rPr>
              <w:t>√</w:t>
            </w:r>
          </w:p>
        </w:tc>
        <w:tc>
          <w:tcPr>
            <w:tcW w:w="708" w:type="dxa"/>
          </w:tcPr>
          <w:p>
            <w:pPr>
              <w:widowControl/>
              <w:spacing w:line="360" w:lineRule="exact"/>
              <w:jc w:val="center"/>
              <w:rPr>
                <w:rFonts w:hint="eastAsia" w:ascii="仿宋" w:hAnsi="仿宋" w:eastAsia="仿宋" w:cs="仿宋"/>
                <w:sz w:val="30"/>
                <w:szCs w:val="30"/>
              </w:rPr>
            </w:pPr>
          </w:p>
        </w:tc>
        <w:tc>
          <w:tcPr>
            <w:tcW w:w="2552" w:type="dxa"/>
          </w:tcPr>
          <w:p>
            <w:pPr>
              <w:widowControl/>
              <w:spacing w:line="360" w:lineRule="exact"/>
              <w:jc w:val="left"/>
              <w:rPr>
                <w:rFonts w:hint="eastAsia" w:ascii="仿宋" w:hAnsi="仿宋" w:eastAsia="仿宋" w:cs="仿宋"/>
                <w:sz w:val="30"/>
                <w:szCs w:val="30"/>
              </w:rPr>
            </w:pPr>
            <w:r>
              <w:rPr>
                <w:rFonts w:hint="eastAsia" w:ascii="仿宋" w:hAnsi="仿宋" w:eastAsia="仿宋" w:cs="仿宋"/>
                <w:sz w:val="30"/>
                <w:szCs w:val="30"/>
              </w:rPr>
              <w:t>根据产品执行的食品安全标准的规定执行</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1220B"/>
    <w:multiLevelType w:val="singleLevel"/>
    <w:tmpl w:val="8761220B"/>
    <w:lvl w:ilvl="0" w:tentative="0">
      <w:start w:val="1"/>
      <w:numFmt w:val="chineseCounting"/>
      <w:suff w:val="space"/>
      <w:lvlText w:val="第%1章"/>
      <w:lvlJc w:val="left"/>
      <w:rPr>
        <w:rFonts w:hint="eastAsia"/>
      </w:rPr>
    </w:lvl>
  </w:abstractNum>
  <w:abstractNum w:abstractNumId="1">
    <w:nsid w:val="9B03C157"/>
    <w:multiLevelType w:val="singleLevel"/>
    <w:tmpl w:val="9B03C157"/>
    <w:lvl w:ilvl="0" w:tentative="0">
      <w:start w:val="1"/>
      <w:numFmt w:val="chineseCounting"/>
      <w:suff w:val="space"/>
      <w:lvlText w:val="第%1条"/>
      <w:lvlJc w:val="left"/>
      <w:rPr>
        <w:rFonts w:hint="eastAsia"/>
        <w:b/>
        <w:bCs/>
      </w:rPr>
    </w:lvl>
  </w:abstractNum>
  <w:abstractNum w:abstractNumId="2">
    <w:nsid w:val="DAFEDCB0"/>
    <w:multiLevelType w:val="singleLevel"/>
    <w:tmpl w:val="DAFEDCB0"/>
    <w:lvl w:ilvl="0" w:tentative="0">
      <w:start w:val="5"/>
      <w:numFmt w:val="chineseCounting"/>
      <w:suff w:val="space"/>
      <w:lvlText w:val="第%1章"/>
      <w:lvlJc w:val="left"/>
      <w:rPr>
        <w:rFonts w:hint="eastAsia"/>
      </w:rPr>
    </w:lvl>
  </w:abstractNum>
  <w:abstractNum w:abstractNumId="3">
    <w:nsid w:val="4A8934EE"/>
    <w:multiLevelType w:val="singleLevel"/>
    <w:tmpl w:val="4A8934EE"/>
    <w:lvl w:ilvl="0" w:tentative="0">
      <w:start w:val="7"/>
      <w:numFmt w:val="chineseCounting"/>
      <w:suff w:val="space"/>
      <w:lvlText w:val="第%1条"/>
      <w:lvlJc w:val="left"/>
      <w:rPr>
        <w:rFonts w:hint="eastAsia"/>
        <w:b/>
        <w:bCs/>
      </w:rPr>
    </w:lvl>
  </w:abstractNum>
  <w:abstractNum w:abstractNumId="4">
    <w:nsid w:val="64BD6D16"/>
    <w:multiLevelType w:val="multilevel"/>
    <w:tmpl w:val="64BD6D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0NGZhNzFkNzlhMmE5NmM3MjA0OGMzYjM5ZmI1NTkifQ=="/>
  </w:docVars>
  <w:rsids>
    <w:rsidRoot w:val="0054115B"/>
    <w:rsid w:val="00001499"/>
    <w:rsid w:val="00015803"/>
    <w:rsid w:val="0002123E"/>
    <w:rsid w:val="00022C2E"/>
    <w:rsid w:val="00026A54"/>
    <w:rsid w:val="0002783C"/>
    <w:rsid w:val="00044698"/>
    <w:rsid w:val="0004575B"/>
    <w:rsid w:val="00052A39"/>
    <w:rsid w:val="0005441A"/>
    <w:rsid w:val="00072313"/>
    <w:rsid w:val="0008331E"/>
    <w:rsid w:val="00087795"/>
    <w:rsid w:val="00087D82"/>
    <w:rsid w:val="00090AC3"/>
    <w:rsid w:val="00091DC0"/>
    <w:rsid w:val="000955FE"/>
    <w:rsid w:val="000A04AE"/>
    <w:rsid w:val="000A4A51"/>
    <w:rsid w:val="000A6635"/>
    <w:rsid w:val="000B1F4F"/>
    <w:rsid w:val="000B5150"/>
    <w:rsid w:val="000C4450"/>
    <w:rsid w:val="000D388D"/>
    <w:rsid w:val="000D5784"/>
    <w:rsid w:val="000E24F6"/>
    <w:rsid w:val="000E3A3B"/>
    <w:rsid w:val="000E4293"/>
    <w:rsid w:val="000E760C"/>
    <w:rsid w:val="000E7BA4"/>
    <w:rsid w:val="000F1761"/>
    <w:rsid w:val="000F24E7"/>
    <w:rsid w:val="001072E5"/>
    <w:rsid w:val="00110B7F"/>
    <w:rsid w:val="001112DE"/>
    <w:rsid w:val="001124BF"/>
    <w:rsid w:val="0011377E"/>
    <w:rsid w:val="001203C6"/>
    <w:rsid w:val="00122399"/>
    <w:rsid w:val="00122871"/>
    <w:rsid w:val="0012543E"/>
    <w:rsid w:val="001415C4"/>
    <w:rsid w:val="0015492E"/>
    <w:rsid w:val="0016121A"/>
    <w:rsid w:val="001656BC"/>
    <w:rsid w:val="001676F9"/>
    <w:rsid w:val="00173267"/>
    <w:rsid w:val="001759B0"/>
    <w:rsid w:val="001810C2"/>
    <w:rsid w:val="00185494"/>
    <w:rsid w:val="00187F7E"/>
    <w:rsid w:val="00191AEE"/>
    <w:rsid w:val="00193B0B"/>
    <w:rsid w:val="00193C64"/>
    <w:rsid w:val="001A73E7"/>
    <w:rsid w:val="001B3E5A"/>
    <w:rsid w:val="001B79F0"/>
    <w:rsid w:val="001C0720"/>
    <w:rsid w:val="001C301F"/>
    <w:rsid w:val="001E48FC"/>
    <w:rsid w:val="001E6A6E"/>
    <w:rsid w:val="001F3297"/>
    <w:rsid w:val="001F49B1"/>
    <w:rsid w:val="001F5091"/>
    <w:rsid w:val="002019F9"/>
    <w:rsid w:val="00207436"/>
    <w:rsid w:val="00211287"/>
    <w:rsid w:val="002141C9"/>
    <w:rsid w:val="00222362"/>
    <w:rsid w:val="002224D6"/>
    <w:rsid w:val="00231772"/>
    <w:rsid w:val="0023304E"/>
    <w:rsid w:val="00240777"/>
    <w:rsid w:val="00240DD1"/>
    <w:rsid w:val="00245512"/>
    <w:rsid w:val="00257A73"/>
    <w:rsid w:val="00261235"/>
    <w:rsid w:val="00263F1C"/>
    <w:rsid w:val="00280EDD"/>
    <w:rsid w:val="002912DD"/>
    <w:rsid w:val="00291F96"/>
    <w:rsid w:val="0029326E"/>
    <w:rsid w:val="002A656A"/>
    <w:rsid w:val="002A7BD4"/>
    <w:rsid w:val="002B3C9A"/>
    <w:rsid w:val="002B3E4B"/>
    <w:rsid w:val="002C3968"/>
    <w:rsid w:val="002C7CC6"/>
    <w:rsid w:val="002D1FD4"/>
    <w:rsid w:val="002D41C2"/>
    <w:rsid w:val="002D4986"/>
    <w:rsid w:val="002D7137"/>
    <w:rsid w:val="002D7BE5"/>
    <w:rsid w:val="002D7EF6"/>
    <w:rsid w:val="002E00E0"/>
    <w:rsid w:val="002E1E54"/>
    <w:rsid w:val="002E5A9B"/>
    <w:rsid w:val="002E7786"/>
    <w:rsid w:val="002F0671"/>
    <w:rsid w:val="002F0FB5"/>
    <w:rsid w:val="002F557E"/>
    <w:rsid w:val="003124E5"/>
    <w:rsid w:val="00320510"/>
    <w:rsid w:val="003207E3"/>
    <w:rsid w:val="00325C5B"/>
    <w:rsid w:val="003327BD"/>
    <w:rsid w:val="00337160"/>
    <w:rsid w:val="00342C37"/>
    <w:rsid w:val="0037134F"/>
    <w:rsid w:val="003714D3"/>
    <w:rsid w:val="003778C2"/>
    <w:rsid w:val="00386226"/>
    <w:rsid w:val="00394370"/>
    <w:rsid w:val="003952A4"/>
    <w:rsid w:val="00397D40"/>
    <w:rsid w:val="003A318B"/>
    <w:rsid w:val="003B7E33"/>
    <w:rsid w:val="003C4BF8"/>
    <w:rsid w:val="003D3B4C"/>
    <w:rsid w:val="003E7A33"/>
    <w:rsid w:val="00417193"/>
    <w:rsid w:val="00422696"/>
    <w:rsid w:val="0042341F"/>
    <w:rsid w:val="00433A6C"/>
    <w:rsid w:val="004371BA"/>
    <w:rsid w:val="00452766"/>
    <w:rsid w:val="0045642F"/>
    <w:rsid w:val="00460733"/>
    <w:rsid w:val="00465E65"/>
    <w:rsid w:val="0046647F"/>
    <w:rsid w:val="00483D40"/>
    <w:rsid w:val="0049056B"/>
    <w:rsid w:val="00490B91"/>
    <w:rsid w:val="004953EE"/>
    <w:rsid w:val="00495679"/>
    <w:rsid w:val="00497B4D"/>
    <w:rsid w:val="004A4DD6"/>
    <w:rsid w:val="004B2B21"/>
    <w:rsid w:val="004D1182"/>
    <w:rsid w:val="004D4C31"/>
    <w:rsid w:val="004F381D"/>
    <w:rsid w:val="00502625"/>
    <w:rsid w:val="00502A5C"/>
    <w:rsid w:val="00502CAC"/>
    <w:rsid w:val="0050592C"/>
    <w:rsid w:val="00513C95"/>
    <w:rsid w:val="0051407C"/>
    <w:rsid w:val="005167AE"/>
    <w:rsid w:val="0052003D"/>
    <w:rsid w:val="00525F5A"/>
    <w:rsid w:val="00530F46"/>
    <w:rsid w:val="00531C73"/>
    <w:rsid w:val="00534824"/>
    <w:rsid w:val="00535E2D"/>
    <w:rsid w:val="0054115B"/>
    <w:rsid w:val="00543B2F"/>
    <w:rsid w:val="0054581F"/>
    <w:rsid w:val="0054689E"/>
    <w:rsid w:val="005540C5"/>
    <w:rsid w:val="00565AD4"/>
    <w:rsid w:val="00567DF1"/>
    <w:rsid w:val="005811EA"/>
    <w:rsid w:val="00583EE6"/>
    <w:rsid w:val="00591266"/>
    <w:rsid w:val="00591866"/>
    <w:rsid w:val="00592FFD"/>
    <w:rsid w:val="00596CCB"/>
    <w:rsid w:val="005A5550"/>
    <w:rsid w:val="005A5628"/>
    <w:rsid w:val="005A79C9"/>
    <w:rsid w:val="005B16FF"/>
    <w:rsid w:val="005B6E0C"/>
    <w:rsid w:val="005C16C0"/>
    <w:rsid w:val="005C706B"/>
    <w:rsid w:val="005D5F6F"/>
    <w:rsid w:val="005E031C"/>
    <w:rsid w:val="005F1BE5"/>
    <w:rsid w:val="006026F0"/>
    <w:rsid w:val="00605340"/>
    <w:rsid w:val="00615EB3"/>
    <w:rsid w:val="00617A20"/>
    <w:rsid w:val="00620234"/>
    <w:rsid w:val="00620B56"/>
    <w:rsid w:val="00634D69"/>
    <w:rsid w:val="006356A3"/>
    <w:rsid w:val="006370A4"/>
    <w:rsid w:val="00641C00"/>
    <w:rsid w:val="0064222C"/>
    <w:rsid w:val="00653D91"/>
    <w:rsid w:val="00656CF4"/>
    <w:rsid w:val="006579EA"/>
    <w:rsid w:val="00664FA7"/>
    <w:rsid w:val="00667B8A"/>
    <w:rsid w:val="00672F35"/>
    <w:rsid w:val="0067572D"/>
    <w:rsid w:val="00677DC5"/>
    <w:rsid w:val="0068403E"/>
    <w:rsid w:val="0068425F"/>
    <w:rsid w:val="006A1165"/>
    <w:rsid w:val="006A7159"/>
    <w:rsid w:val="006A7FCC"/>
    <w:rsid w:val="006D374C"/>
    <w:rsid w:val="006E279D"/>
    <w:rsid w:val="006E6DA4"/>
    <w:rsid w:val="006F3490"/>
    <w:rsid w:val="006F4DCA"/>
    <w:rsid w:val="006F666E"/>
    <w:rsid w:val="00701B06"/>
    <w:rsid w:val="00712B02"/>
    <w:rsid w:val="00713E37"/>
    <w:rsid w:val="00722A7A"/>
    <w:rsid w:val="007259F5"/>
    <w:rsid w:val="00734E87"/>
    <w:rsid w:val="00735C75"/>
    <w:rsid w:val="007448D7"/>
    <w:rsid w:val="00744DFE"/>
    <w:rsid w:val="0075384A"/>
    <w:rsid w:val="0075419C"/>
    <w:rsid w:val="007674E9"/>
    <w:rsid w:val="0077255D"/>
    <w:rsid w:val="00786CFC"/>
    <w:rsid w:val="00792C3D"/>
    <w:rsid w:val="00793EE7"/>
    <w:rsid w:val="00796689"/>
    <w:rsid w:val="007A0393"/>
    <w:rsid w:val="007A21B9"/>
    <w:rsid w:val="007A73F6"/>
    <w:rsid w:val="007B19F7"/>
    <w:rsid w:val="007B3F2B"/>
    <w:rsid w:val="007C11B9"/>
    <w:rsid w:val="007C6C77"/>
    <w:rsid w:val="007D28E3"/>
    <w:rsid w:val="007D2C2A"/>
    <w:rsid w:val="007D3BC6"/>
    <w:rsid w:val="007E1F1A"/>
    <w:rsid w:val="007E4396"/>
    <w:rsid w:val="007E78AC"/>
    <w:rsid w:val="007F3878"/>
    <w:rsid w:val="00806941"/>
    <w:rsid w:val="00816385"/>
    <w:rsid w:val="0081727B"/>
    <w:rsid w:val="008310A9"/>
    <w:rsid w:val="008341F9"/>
    <w:rsid w:val="00835363"/>
    <w:rsid w:val="008412C6"/>
    <w:rsid w:val="00845139"/>
    <w:rsid w:val="00847503"/>
    <w:rsid w:val="0085158B"/>
    <w:rsid w:val="00852975"/>
    <w:rsid w:val="0085360D"/>
    <w:rsid w:val="0087498C"/>
    <w:rsid w:val="00897F19"/>
    <w:rsid w:val="008A36CC"/>
    <w:rsid w:val="008C0E96"/>
    <w:rsid w:val="008D160B"/>
    <w:rsid w:val="008D19AB"/>
    <w:rsid w:val="008D1C1B"/>
    <w:rsid w:val="008D3FA1"/>
    <w:rsid w:val="008D5B6C"/>
    <w:rsid w:val="008D7A4D"/>
    <w:rsid w:val="008E706E"/>
    <w:rsid w:val="008F6C5C"/>
    <w:rsid w:val="00901A2F"/>
    <w:rsid w:val="009047B9"/>
    <w:rsid w:val="0090681B"/>
    <w:rsid w:val="0091167E"/>
    <w:rsid w:val="009121DB"/>
    <w:rsid w:val="009266F7"/>
    <w:rsid w:val="00933452"/>
    <w:rsid w:val="0093601A"/>
    <w:rsid w:val="00936691"/>
    <w:rsid w:val="009541DE"/>
    <w:rsid w:val="009561CC"/>
    <w:rsid w:val="009607A6"/>
    <w:rsid w:val="00973E27"/>
    <w:rsid w:val="00977431"/>
    <w:rsid w:val="009828D5"/>
    <w:rsid w:val="009A30E6"/>
    <w:rsid w:val="009A5C51"/>
    <w:rsid w:val="009A7D99"/>
    <w:rsid w:val="009B25B0"/>
    <w:rsid w:val="009B3D74"/>
    <w:rsid w:val="009B44C6"/>
    <w:rsid w:val="009B4695"/>
    <w:rsid w:val="009B4B2F"/>
    <w:rsid w:val="009B4B36"/>
    <w:rsid w:val="009B72FE"/>
    <w:rsid w:val="009D0AE6"/>
    <w:rsid w:val="009D1036"/>
    <w:rsid w:val="009D6275"/>
    <w:rsid w:val="009E5211"/>
    <w:rsid w:val="009E6A33"/>
    <w:rsid w:val="009E7594"/>
    <w:rsid w:val="009E7671"/>
    <w:rsid w:val="009F3A37"/>
    <w:rsid w:val="00A021F0"/>
    <w:rsid w:val="00A30FAA"/>
    <w:rsid w:val="00A347BD"/>
    <w:rsid w:val="00A34EE0"/>
    <w:rsid w:val="00A45C62"/>
    <w:rsid w:val="00A54248"/>
    <w:rsid w:val="00A57D11"/>
    <w:rsid w:val="00A6160E"/>
    <w:rsid w:val="00A643E0"/>
    <w:rsid w:val="00A64DF5"/>
    <w:rsid w:val="00A755F8"/>
    <w:rsid w:val="00A75758"/>
    <w:rsid w:val="00A81358"/>
    <w:rsid w:val="00AB3D7A"/>
    <w:rsid w:val="00AB4572"/>
    <w:rsid w:val="00AC05E8"/>
    <w:rsid w:val="00AC5E35"/>
    <w:rsid w:val="00AD38ED"/>
    <w:rsid w:val="00AD7352"/>
    <w:rsid w:val="00AD7A7E"/>
    <w:rsid w:val="00AE0794"/>
    <w:rsid w:val="00AE205D"/>
    <w:rsid w:val="00AF5ADF"/>
    <w:rsid w:val="00AF7184"/>
    <w:rsid w:val="00B06F8A"/>
    <w:rsid w:val="00B23C75"/>
    <w:rsid w:val="00B251D1"/>
    <w:rsid w:val="00B264BB"/>
    <w:rsid w:val="00B32473"/>
    <w:rsid w:val="00B337D0"/>
    <w:rsid w:val="00B4659E"/>
    <w:rsid w:val="00B46E63"/>
    <w:rsid w:val="00B46EC5"/>
    <w:rsid w:val="00B50650"/>
    <w:rsid w:val="00B60C56"/>
    <w:rsid w:val="00B61C25"/>
    <w:rsid w:val="00B61D13"/>
    <w:rsid w:val="00B62406"/>
    <w:rsid w:val="00B63003"/>
    <w:rsid w:val="00B65DD6"/>
    <w:rsid w:val="00B66D88"/>
    <w:rsid w:val="00B8001C"/>
    <w:rsid w:val="00B86F74"/>
    <w:rsid w:val="00B935E5"/>
    <w:rsid w:val="00BA0173"/>
    <w:rsid w:val="00BA3553"/>
    <w:rsid w:val="00BA7D1C"/>
    <w:rsid w:val="00BA7FE3"/>
    <w:rsid w:val="00BB1E75"/>
    <w:rsid w:val="00BB2B77"/>
    <w:rsid w:val="00BB38B2"/>
    <w:rsid w:val="00BD44DB"/>
    <w:rsid w:val="00BE010C"/>
    <w:rsid w:val="00BE0C61"/>
    <w:rsid w:val="00BE3057"/>
    <w:rsid w:val="00BF20F9"/>
    <w:rsid w:val="00C20730"/>
    <w:rsid w:val="00C21149"/>
    <w:rsid w:val="00C22C4D"/>
    <w:rsid w:val="00C25896"/>
    <w:rsid w:val="00C25F32"/>
    <w:rsid w:val="00C34DAD"/>
    <w:rsid w:val="00C56F28"/>
    <w:rsid w:val="00C74988"/>
    <w:rsid w:val="00C779EA"/>
    <w:rsid w:val="00C84F11"/>
    <w:rsid w:val="00C8529C"/>
    <w:rsid w:val="00C86776"/>
    <w:rsid w:val="00C916B3"/>
    <w:rsid w:val="00CB59FC"/>
    <w:rsid w:val="00CB6AD2"/>
    <w:rsid w:val="00CB6ED7"/>
    <w:rsid w:val="00CB72A9"/>
    <w:rsid w:val="00CC652C"/>
    <w:rsid w:val="00CD3421"/>
    <w:rsid w:val="00CD5375"/>
    <w:rsid w:val="00CD55E1"/>
    <w:rsid w:val="00CE18B7"/>
    <w:rsid w:val="00CE7333"/>
    <w:rsid w:val="00CF0173"/>
    <w:rsid w:val="00CF6536"/>
    <w:rsid w:val="00D01D3F"/>
    <w:rsid w:val="00D10E49"/>
    <w:rsid w:val="00D136D8"/>
    <w:rsid w:val="00D22219"/>
    <w:rsid w:val="00D261D9"/>
    <w:rsid w:val="00D40FFD"/>
    <w:rsid w:val="00D50204"/>
    <w:rsid w:val="00D52834"/>
    <w:rsid w:val="00D70BA1"/>
    <w:rsid w:val="00D741BC"/>
    <w:rsid w:val="00D81103"/>
    <w:rsid w:val="00D84F65"/>
    <w:rsid w:val="00D924A5"/>
    <w:rsid w:val="00D93149"/>
    <w:rsid w:val="00D95588"/>
    <w:rsid w:val="00DA71BB"/>
    <w:rsid w:val="00DA7A75"/>
    <w:rsid w:val="00DC27BD"/>
    <w:rsid w:val="00DD557C"/>
    <w:rsid w:val="00DD6E3F"/>
    <w:rsid w:val="00DE4A51"/>
    <w:rsid w:val="00DE4AC5"/>
    <w:rsid w:val="00DF4403"/>
    <w:rsid w:val="00DF500F"/>
    <w:rsid w:val="00E10D4B"/>
    <w:rsid w:val="00E1104F"/>
    <w:rsid w:val="00E134C7"/>
    <w:rsid w:val="00E20F52"/>
    <w:rsid w:val="00E34F4B"/>
    <w:rsid w:val="00E36281"/>
    <w:rsid w:val="00E37B5A"/>
    <w:rsid w:val="00E43127"/>
    <w:rsid w:val="00E44A88"/>
    <w:rsid w:val="00E457E4"/>
    <w:rsid w:val="00E470AE"/>
    <w:rsid w:val="00E546F6"/>
    <w:rsid w:val="00E5791D"/>
    <w:rsid w:val="00E77570"/>
    <w:rsid w:val="00E81899"/>
    <w:rsid w:val="00E82310"/>
    <w:rsid w:val="00E912FC"/>
    <w:rsid w:val="00E94B93"/>
    <w:rsid w:val="00E94C19"/>
    <w:rsid w:val="00E97732"/>
    <w:rsid w:val="00EA44B1"/>
    <w:rsid w:val="00EB0020"/>
    <w:rsid w:val="00EB197E"/>
    <w:rsid w:val="00EC5891"/>
    <w:rsid w:val="00ED176F"/>
    <w:rsid w:val="00EE1190"/>
    <w:rsid w:val="00EE2D52"/>
    <w:rsid w:val="00EE6CAF"/>
    <w:rsid w:val="00EF2697"/>
    <w:rsid w:val="00EF4418"/>
    <w:rsid w:val="00F13C6F"/>
    <w:rsid w:val="00F14868"/>
    <w:rsid w:val="00F1658E"/>
    <w:rsid w:val="00F16A52"/>
    <w:rsid w:val="00F21987"/>
    <w:rsid w:val="00F21E11"/>
    <w:rsid w:val="00F23C2D"/>
    <w:rsid w:val="00F42BDF"/>
    <w:rsid w:val="00F451C2"/>
    <w:rsid w:val="00F46C7D"/>
    <w:rsid w:val="00F570B3"/>
    <w:rsid w:val="00F571E5"/>
    <w:rsid w:val="00F5749E"/>
    <w:rsid w:val="00F60E1D"/>
    <w:rsid w:val="00F67042"/>
    <w:rsid w:val="00F70D95"/>
    <w:rsid w:val="00F71904"/>
    <w:rsid w:val="00F71DD6"/>
    <w:rsid w:val="00F72936"/>
    <w:rsid w:val="00F81308"/>
    <w:rsid w:val="00F8336B"/>
    <w:rsid w:val="00F866F2"/>
    <w:rsid w:val="00F871AA"/>
    <w:rsid w:val="00F87C51"/>
    <w:rsid w:val="00F95716"/>
    <w:rsid w:val="00FA3F84"/>
    <w:rsid w:val="00FA7E07"/>
    <w:rsid w:val="00FB3454"/>
    <w:rsid w:val="00FB5366"/>
    <w:rsid w:val="00FC2D45"/>
    <w:rsid w:val="00FD4C08"/>
    <w:rsid w:val="00FD5FBB"/>
    <w:rsid w:val="00FE10B9"/>
    <w:rsid w:val="00FF5B4D"/>
    <w:rsid w:val="01DB1C83"/>
    <w:rsid w:val="03286C88"/>
    <w:rsid w:val="03D34A61"/>
    <w:rsid w:val="04986A95"/>
    <w:rsid w:val="04B0389B"/>
    <w:rsid w:val="05483AD3"/>
    <w:rsid w:val="05616943"/>
    <w:rsid w:val="05F257ED"/>
    <w:rsid w:val="0664493D"/>
    <w:rsid w:val="0A244F02"/>
    <w:rsid w:val="0A856C30"/>
    <w:rsid w:val="0B386398"/>
    <w:rsid w:val="0B507759"/>
    <w:rsid w:val="0BC1638D"/>
    <w:rsid w:val="0CEE1EC4"/>
    <w:rsid w:val="0CF167FE"/>
    <w:rsid w:val="0DB6301F"/>
    <w:rsid w:val="0EE418C4"/>
    <w:rsid w:val="102B2027"/>
    <w:rsid w:val="14261483"/>
    <w:rsid w:val="149B480A"/>
    <w:rsid w:val="14B02772"/>
    <w:rsid w:val="16007AB2"/>
    <w:rsid w:val="163F682C"/>
    <w:rsid w:val="17D611D0"/>
    <w:rsid w:val="186D1CFF"/>
    <w:rsid w:val="1A2C63EC"/>
    <w:rsid w:val="1A392129"/>
    <w:rsid w:val="1CEE4B08"/>
    <w:rsid w:val="1E3D18A3"/>
    <w:rsid w:val="1F90348E"/>
    <w:rsid w:val="1FE37845"/>
    <w:rsid w:val="20C77B4A"/>
    <w:rsid w:val="20E32646"/>
    <w:rsid w:val="21050673"/>
    <w:rsid w:val="21C65231"/>
    <w:rsid w:val="2217065D"/>
    <w:rsid w:val="22C34341"/>
    <w:rsid w:val="23217972"/>
    <w:rsid w:val="2413315A"/>
    <w:rsid w:val="25072C0B"/>
    <w:rsid w:val="26240F8B"/>
    <w:rsid w:val="26BD5C77"/>
    <w:rsid w:val="27191B86"/>
    <w:rsid w:val="27E2526A"/>
    <w:rsid w:val="28773C04"/>
    <w:rsid w:val="2B604E23"/>
    <w:rsid w:val="2CEF6F36"/>
    <w:rsid w:val="2E137DBC"/>
    <w:rsid w:val="31046251"/>
    <w:rsid w:val="31715C13"/>
    <w:rsid w:val="32EB515D"/>
    <w:rsid w:val="339E023F"/>
    <w:rsid w:val="34C208FD"/>
    <w:rsid w:val="35CF1861"/>
    <w:rsid w:val="35F201A1"/>
    <w:rsid w:val="36851BE2"/>
    <w:rsid w:val="37054AD1"/>
    <w:rsid w:val="37BB0C7E"/>
    <w:rsid w:val="386D4964"/>
    <w:rsid w:val="38A7627D"/>
    <w:rsid w:val="38AD71CE"/>
    <w:rsid w:val="39665CFB"/>
    <w:rsid w:val="39BA1E5A"/>
    <w:rsid w:val="3A062564"/>
    <w:rsid w:val="3DBD3298"/>
    <w:rsid w:val="3F9D7F9C"/>
    <w:rsid w:val="41D13372"/>
    <w:rsid w:val="42F15B89"/>
    <w:rsid w:val="42FE0D52"/>
    <w:rsid w:val="447A4D50"/>
    <w:rsid w:val="45034D45"/>
    <w:rsid w:val="45B20519"/>
    <w:rsid w:val="468A6DA0"/>
    <w:rsid w:val="46A71700"/>
    <w:rsid w:val="477C6AB3"/>
    <w:rsid w:val="478F466E"/>
    <w:rsid w:val="47DA7FF2"/>
    <w:rsid w:val="4C2757F1"/>
    <w:rsid w:val="4C7622A1"/>
    <w:rsid w:val="4C9E35A6"/>
    <w:rsid w:val="4CD353FA"/>
    <w:rsid w:val="4CD355BB"/>
    <w:rsid w:val="4CFC01F9"/>
    <w:rsid w:val="4EB86BA1"/>
    <w:rsid w:val="4F610FE6"/>
    <w:rsid w:val="518C60C3"/>
    <w:rsid w:val="51B55619"/>
    <w:rsid w:val="56194812"/>
    <w:rsid w:val="56A95021"/>
    <w:rsid w:val="580C3AB9"/>
    <w:rsid w:val="58EA477A"/>
    <w:rsid w:val="59AF0EEB"/>
    <w:rsid w:val="5B026B5F"/>
    <w:rsid w:val="5BF16F7C"/>
    <w:rsid w:val="5D4A130C"/>
    <w:rsid w:val="5EC2182D"/>
    <w:rsid w:val="612400C6"/>
    <w:rsid w:val="6166248C"/>
    <w:rsid w:val="61D3118B"/>
    <w:rsid w:val="628F4DE1"/>
    <w:rsid w:val="64931193"/>
    <w:rsid w:val="65BB7DB8"/>
    <w:rsid w:val="679D472E"/>
    <w:rsid w:val="67B81568"/>
    <w:rsid w:val="682D7860"/>
    <w:rsid w:val="6A51024C"/>
    <w:rsid w:val="6A9F256B"/>
    <w:rsid w:val="6B5F6577"/>
    <w:rsid w:val="6B8C2AEF"/>
    <w:rsid w:val="6C375151"/>
    <w:rsid w:val="6CA843CD"/>
    <w:rsid w:val="6D1B291D"/>
    <w:rsid w:val="6FD341E3"/>
    <w:rsid w:val="71816E6E"/>
    <w:rsid w:val="723C0EBC"/>
    <w:rsid w:val="73F531FC"/>
    <w:rsid w:val="745148D6"/>
    <w:rsid w:val="747F5976"/>
    <w:rsid w:val="74A16D28"/>
    <w:rsid w:val="755E6196"/>
    <w:rsid w:val="75644ADD"/>
    <w:rsid w:val="75E43528"/>
    <w:rsid w:val="76483E34"/>
    <w:rsid w:val="766C3C49"/>
    <w:rsid w:val="782B3690"/>
    <w:rsid w:val="78826B1A"/>
    <w:rsid w:val="78941235"/>
    <w:rsid w:val="7967694A"/>
    <w:rsid w:val="7E90598D"/>
    <w:rsid w:val="7F324625"/>
    <w:rsid w:val="7FB36445"/>
    <w:rsid w:val="8F8257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w:basedOn w:val="1"/>
    <w:link w:val="15"/>
    <w:unhideWhenUsed/>
    <w:qFormat/>
    <w:uiPriority w:val="0"/>
    <w:pPr>
      <w:spacing w:after="120" w:line="240" w:lineRule="auto"/>
    </w:pPr>
    <w:rPr>
      <w:rFonts w:ascii="Calibri" w:hAnsi="Calibri" w:eastAsia="宋体" w:cs="Times New Roman"/>
    </w:rPr>
  </w:style>
  <w:style w:type="paragraph" w:styleId="4">
    <w:name w:val="Balloon Text"/>
    <w:basedOn w:val="1"/>
    <w:link w:val="17"/>
    <w:semiHidden/>
    <w:unhideWhenUsed/>
    <w:qFormat/>
    <w:uiPriority w:val="99"/>
    <w:pPr>
      <w:spacing w:line="240" w:lineRule="auto"/>
    </w:pPr>
    <w:rPr>
      <w:sz w:val="18"/>
      <w:szCs w:val="18"/>
    </w:rPr>
  </w:style>
  <w:style w:type="paragraph" w:styleId="5">
    <w:name w:val="footer"/>
    <w:basedOn w:val="1"/>
    <w:link w:val="14"/>
    <w:unhideWhenUsed/>
    <w:qFormat/>
    <w:uiPriority w:val="0"/>
    <w:pPr>
      <w:tabs>
        <w:tab w:val="center" w:pos="4153"/>
        <w:tab w:val="right" w:pos="8306"/>
      </w:tabs>
      <w:snapToGrid w:val="0"/>
      <w:spacing w:line="240" w:lineRule="auto"/>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0"/>
    <w:rPr>
      <w:sz w:val="18"/>
      <w:szCs w:val="18"/>
    </w:rPr>
  </w:style>
  <w:style w:type="character" w:customStyle="1" w:styleId="14">
    <w:name w:val="页脚 字符"/>
    <w:basedOn w:val="10"/>
    <w:link w:val="5"/>
    <w:qFormat/>
    <w:uiPriority w:val="0"/>
    <w:rPr>
      <w:sz w:val="18"/>
      <w:szCs w:val="18"/>
    </w:rPr>
  </w:style>
  <w:style w:type="character" w:customStyle="1" w:styleId="15">
    <w:name w:val="正文文本 字符"/>
    <w:basedOn w:val="10"/>
    <w:link w:val="3"/>
    <w:qFormat/>
    <w:uiPriority w:val="0"/>
    <w:rPr>
      <w:rFonts w:ascii="Calibri" w:hAnsi="Calibri" w:eastAsia="宋体" w:cs="Times New Roman"/>
    </w:rPr>
  </w:style>
  <w:style w:type="paragraph" w:styleId="16">
    <w:name w:val="List Paragraph"/>
    <w:basedOn w:val="1"/>
    <w:unhideWhenUsed/>
    <w:qFormat/>
    <w:uiPriority w:val="99"/>
    <w:pPr>
      <w:ind w:firstLine="420" w:firstLineChars="200"/>
    </w:pPr>
  </w:style>
  <w:style w:type="character" w:customStyle="1" w:styleId="17">
    <w:name w:val="批注框文本 字符"/>
    <w:basedOn w:val="10"/>
    <w:link w:val="4"/>
    <w:semiHidden/>
    <w:qFormat/>
    <w:uiPriority w:val="99"/>
    <w:rPr>
      <w:rFonts w:asciiTheme="minorHAnsi" w:hAnsiTheme="minorHAnsi" w:eastAsiaTheme="minorEastAsia" w:cstheme="minorBidi"/>
      <w:kern w:val="2"/>
      <w:sz w:val="18"/>
      <w:szCs w:val="18"/>
    </w:rPr>
  </w:style>
  <w:style w:type="character" w:customStyle="1" w:styleId="18">
    <w:name w:val="批注文字 字符"/>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749</Words>
  <Characters>4275</Characters>
  <Lines>35</Lines>
  <Paragraphs>10</Paragraphs>
  <TotalTime>23</TotalTime>
  <ScaleCrop>false</ScaleCrop>
  <LinksUpToDate>false</LinksUpToDate>
  <CharactersWithSpaces>5014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2024-11-22T20:44:00Z</dcterms:created>
  <dc:creator>张婷</dc:creator>
  <cp:lastModifiedBy>kylin</cp:lastModifiedBy>
  <cp:lastPrinted>2024-08-01T10:52:00Z</cp:lastPrinted>
  <dcterms:modified xsi:type="dcterms:W3CDTF">2024-12-18T09:50:32Z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F95F85FA4918417F8E27D289528DB86E_13</vt:lpwstr>
  </property>
</Properties>
</file>