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800" w:lineRule="exact"/>
        <w:jc w:val="center"/>
        <w:rPr>
          <w:rFonts w:ascii="方正小标宋简体" w:hAnsi="仿宋" w:eastAsia="方正小标宋简体" w:cs="宋体"/>
          <w:color w:val="000000"/>
          <w:kern w:val="0"/>
          <w:sz w:val="44"/>
          <w:szCs w:val="44"/>
        </w:rPr>
      </w:pPr>
      <w:r>
        <w:rPr>
          <w:rFonts w:hint="eastAsia" w:ascii="方正小标宋简体" w:hAnsi="仿宋" w:eastAsia="方正小标宋简体" w:cs="宋体"/>
          <w:color w:val="000000"/>
          <w:kern w:val="0"/>
          <w:sz w:val="44"/>
          <w:szCs w:val="44"/>
        </w:rPr>
        <w:t>关于《乐清市生态环境分区管控动态更新方案》起草说明</w:t>
      </w:r>
    </w:p>
    <w:p>
      <w:pPr>
        <w:pStyle w:val="3"/>
        <w:numPr>
          <w:ilvl w:val="0"/>
          <w:numId w:val="0"/>
        </w:numPr>
        <w:spacing w:line="360" w:lineRule="auto"/>
        <w:ind w:left="105" w:leftChars="50" w:firstLine="640" w:firstLineChars="200"/>
        <w:rPr>
          <w:rFonts w:ascii="Times New Roman" w:hAnsi="Times New Roman" w:eastAsia="仿宋_GB2312" w:cs="Times New Roman"/>
          <w:b w:val="0"/>
          <w:color w:val="000000"/>
          <w:kern w:val="0"/>
          <w:szCs w:val="32"/>
        </w:rPr>
      </w:pPr>
      <w:bookmarkStart w:id="0" w:name="_Toc149296745"/>
      <w:bookmarkStart w:id="1" w:name="_Toc17659"/>
      <w:r>
        <w:rPr>
          <w:rFonts w:hint="eastAsia" w:ascii="Times New Roman" w:hAnsi="Times New Roman" w:eastAsia="仿宋_GB2312" w:cs="Times New Roman"/>
          <w:b w:val="0"/>
          <w:color w:val="000000"/>
          <w:kern w:val="0"/>
          <w:szCs w:val="32"/>
        </w:rPr>
        <w:t>现就《乐清市生态环境分区管控动态更新方案》起草情况说明如下：</w:t>
      </w:r>
    </w:p>
    <w:p>
      <w:pPr>
        <w:pStyle w:val="3"/>
        <w:numPr>
          <w:ilvl w:val="0"/>
          <w:numId w:val="0"/>
        </w:numPr>
        <w:spacing w:line="360" w:lineRule="auto"/>
        <w:ind w:left="575" w:hanging="575"/>
        <w:rPr>
          <w:rFonts w:ascii="Times New Roman" w:hAnsi="Times New Roman" w:eastAsia="仿宋_GB2312" w:cs="Times New Roman"/>
          <w:b w:val="0"/>
          <w:color w:val="000000"/>
          <w:kern w:val="0"/>
          <w:szCs w:val="32"/>
        </w:rPr>
      </w:pPr>
      <w:r>
        <w:rPr>
          <w:rFonts w:hint="eastAsia" w:ascii="Times New Roman" w:hAnsi="Times New Roman" w:eastAsia="仿宋_GB2312" w:cs="Times New Roman"/>
          <w:b w:val="0"/>
          <w:color w:val="000000"/>
          <w:kern w:val="0"/>
          <w:szCs w:val="32"/>
        </w:rPr>
        <w:t>一、工作背景</w:t>
      </w:r>
      <w:bookmarkEnd w:id="0"/>
    </w:p>
    <w:p>
      <w:pPr>
        <w:widowControl/>
        <w:tabs>
          <w:tab w:val="left" w:pos="6720"/>
        </w:tabs>
        <w:kinsoku w:val="0"/>
        <w:autoSpaceDE w:val="0"/>
        <w:autoSpaceDN w:val="0"/>
        <w:adjustRightInd w:val="0"/>
        <w:snapToGrid w:val="0"/>
        <w:spacing w:line="360" w:lineRule="auto"/>
        <w:ind w:firstLine="640" w:firstLineChars="200"/>
        <w:textAlignment w:val="baseline"/>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2020年，经乐清市人民政府同意，温州市生态环境局乐清分局发布实施《乐清市“三线一单”生态环境分区管控方案》。《方案》实施以来，在空间规划、项目选址、产业布局、执法监管等方面发挥了重要作用。</w:t>
      </w:r>
    </w:p>
    <w:p>
      <w:pPr>
        <w:widowControl/>
        <w:tabs>
          <w:tab w:val="left" w:pos="6720"/>
        </w:tabs>
        <w:kinsoku w:val="0"/>
        <w:autoSpaceDE w:val="0"/>
        <w:autoSpaceDN w:val="0"/>
        <w:adjustRightInd w:val="0"/>
        <w:snapToGrid w:val="0"/>
        <w:spacing w:line="360" w:lineRule="auto"/>
        <w:ind w:firstLine="640" w:firstLineChars="200"/>
        <w:textAlignment w:val="baseline"/>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2022年，乐清市</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三区三线</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划定成果启用，乐清市生态红线保护面积由164.31平方千米提高到236.25平方千米，此外，原产业集聚重点管控区内永久基本农田的调出导致产业集聚区面积有所减少，万人千吨水源地保护区的划定饮用水水源保护区范围也发生一定变化。现行方案与目前实际情况差距较大，不能满足生态保护空间环境保护需求。</w:t>
      </w:r>
    </w:p>
    <w:p>
      <w:pPr>
        <w:widowControl/>
        <w:tabs>
          <w:tab w:val="left" w:pos="6720"/>
        </w:tabs>
        <w:kinsoku w:val="0"/>
        <w:autoSpaceDE w:val="0"/>
        <w:autoSpaceDN w:val="0"/>
        <w:adjustRightInd w:val="0"/>
        <w:snapToGrid w:val="0"/>
        <w:spacing w:line="360" w:lineRule="auto"/>
        <w:ind w:firstLine="640" w:firstLineChars="200"/>
        <w:jc w:val="left"/>
        <w:textAlignment w:val="baseline"/>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根据《生态环境部关于印发</w:t>
      </w:r>
      <w:r>
        <w:rPr>
          <w:rFonts w:ascii="Times New Roman" w:hAnsi="Times New Roman" w:eastAsia="仿宋_GB2312" w:cs="Times New Roman"/>
          <w:color w:val="000000"/>
          <w:kern w:val="0"/>
          <w:sz w:val="32"/>
          <w:szCs w:val="32"/>
        </w:rPr>
        <w:t>&lt;2023</w:t>
      </w:r>
      <w:r>
        <w:rPr>
          <w:rFonts w:hint="eastAsia" w:ascii="Times New Roman" w:hAnsi="Times New Roman" w:eastAsia="仿宋_GB2312" w:cs="Times New Roman"/>
          <w:color w:val="000000"/>
          <w:kern w:val="0"/>
          <w:sz w:val="32"/>
          <w:szCs w:val="32"/>
        </w:rPr>
        <w:t>年生态环境分区管控成果动态更新工作方案</w:t>
      </w:r>
      <w:r>
        <w:rPr>
          <w:rFonts w:ascii="Times New Roman" w:hAnsi="Times New Roman" w:eastAsia="仿宋_GB2312" w:cs="Times New Roman"/>
          <w:color w:val="000000"/>
          <w:kern w:val="0"/>
          <w:sz w:val="32"/>
          <w:szCs w:val="32"/>
        </w:rPr>
        <w:t>&gt;</w:t>
      </w:r>
      <w:r>
        <w:rPr>
          <w:rFonts w:hint="eastAsia" w:ascii="Times New Roman" w:hAnsi="Times New Roman" w:eastAsia="仿宋_GB2312" w:cs="Times New Roman"/>
          <w:color w:val="000000"/>
          <w:kern w:val="0"/>
          <w:sz w:val="32"/>
          <w:szCs w:val="32"/>
        </w:rPr>
        <w:t>的通知》（环办环评函〔</w:t>
      </w:r>
      <w:r>
        <w:rPr>
          <w:rFonts w:ascii="Times New Roman" w:hAnsi="Times New Roman" w:eastAsia="仿宋_GB2312" w:cs="Times New Roman"/>
          <w:color w:val="000000"/>
          <w:kern w:val="0"/>
          <w:sz w:val="32"/>
          <w:szCs w:val="32"/>
        </w:rPr>
        <w:t>2023</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81</w:t>
      </w:r>
      <w:r>
        <w:rPr>
          <w:rFonts w:hint="eastAsia" w:ascii="Times New Roman" w:hAnsi="Times New Roman" w:eastAsia="仿宋_GB2312" w:cs="Times New Roman"/>
          <w:color w:val="000000"/>
          <w:kern w:val="0"/>
          <w:sz w:val="32"/>
          <w:szCs w:val="32"/>
        </w:rPr>
        <w:t>号）、《浙江省生态环境厅关开展</w:t>
      </w:r>
      <w:r>
        <w:rPr>
          <w:rFonts w:ascii="Times New Roman" w:hAnsi="Times New Roman" w:eastAsia="仿宋_GB2312" w:cs="Times New Roman"/>
          <w:color w:val="000000"/>
          <w:kern w:val="0"/>
          <w:sz w:val="32"/>
          <w:szCs w:val="32"/>
        </w:rPr>
        <w:t>2023</w:t>
      </w:r>
      <w:r>
        <w:rPr>
          <w:rFonts w:hint="eastAsia" w:ascii="Times New Roman" w:hAnsi="Times New Roman" w:eastAsia="仿宋_GB2312" w:cs="Times New Roman"/>
          <w:color w:val="000000"/>
          <w:kern w:val="0"/>
          <w:sz w:val="32"/>
          <w:szCs w:val="32"/>
        </w:rPr>
        <w:t>年全省生态环境分区管控成果动态更新工作的通知》（浙环便函〔</w:t>
      </w:r>
      <w:r>
        <w:rPr>
          <w:rFonts w:ascii="Times New Roman" w:hAnsi="Times New Roman" w:eastAsia="仿宋_GB2312" w:cs="Times New Roman"/>
          <w:color w:val="000000"/>
          <w:kern w:val="0"/>
          <w:sz w:val="32"/>
          <w:szCs w:val="32"/>
        </w:rPr>
        <w:t>2023</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137</w:t>
      </w:r>
      <w:r>
        <w:rPr>
          <w:rFonts w:hint="eastAsia" w:ascii="Times New Roman" w:hAnsi="Times New Roman" w:eastAsia="仿宋_GB2312" w:cs="Times New Roman"/>
          <w:color w:val="000000"/>
          <w:kern w:val="0"/>
          <w:sz w:val="32"/>
          <w:szCs w:val="32"/>
        </w:rPr>
        <w:t>号）要求，乐清市按程序对</w:t>
      </w:r>
      <w:r>
        <w:rPr>
          <w:rFonts w:ascii="Times New Roman" w:hAnsi="Times New Roman" w:eastAsia="仿宋_GB2312" w:cs="Times New Roman"/>
          <w:color w:val="000000"/>
          <w:kern w:val="0"/>
          <w:sz w:val="32"/>
          <w:szCs w:val="32"/>
        </w:rPr>
        <w:t xml:space="preserve"> “</w:t>
      </w:r>
      <w:r>
        <w:rPr>
          <w:rFonts w:hint="eastAsia" w:ascii="Times New Roman" w:hAnsi="Times New Roman" w:eastAsia="仿宋_GB2312" w:cs="Times New Roman"/>
          <w:color w:val="000000"/>
          <w:kern w:val="0"/>
          <w:sz w:val="32"/>
          <w:szCs w:val="32"/>
        </w:rPr>
        <w:t>三线一单</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生态环境分区管控方案进行修编，最终按上级统一命名，形成《乐清市生态环境分区管控动态更新方案》。</w:t>
      </w:r>
    </w:p>
    <w:bookmarkEnd w:id="1"/>
    <w:p>
      <w:pPr>
        <w:pStyle w:val="3"/>
        <w:numPr>
          <w:ilvl w:val="0"/>
          <w:numId w:val="0"/>
        </w:numPr>
        <w:spacing w:line="360" w:lineRule="auto"/>
        <w:ind w:left="575" w:hanging="575"/>
        <w:rPr>
          <w:rFonts w:ascii="Times New Roman" w:hAnsi="Times New Roman" w:eastAsia="仿宋_GB2312" w:cs="Times New Roman"/>
          <w:b w:val="0"/>
          <w:color w:val="000000"/>
          <w:kern w:val="0"/>
          <w:szCs w:val="32"/>
        </w:rPr>
      </w:pPr>
      <w:bookmarkStart w:id="2" w:name="_Toc149296748"/>
      <w:r>
        <w:rPr>
          <w:rFonts w:hint="eastAsia" w:ascii="Times New Roman" w:hAnsi="Times New Roman" w:eastAsia="仿宋_GB2312" w:cs="Times New Roman"/>
          <w:b w:val="0"/>
          <w:color w:val="000000"/>
          <w:kern w:val="0"/>
          <w:szCs w:val="32"/>
        </w:rPr>
        <w:t>二、工作过程</w:t>
      </w:r>
      <w:bookmarkEnd w:id="2"/>
    </w:p>
    <w:p>
      <w:pPr>
        <w:widowControl/>
        <w:tabs>
          <w:tab w:val="left" w:pos="6720"/>
        </w:tabs>
        <w:kinsoku w:val="0"/>
        <w:autoSpaceDE w:val="0"/>
        <w:autoSpaceDN w:val="0"/>
        <w:adjustRightInd w:val="0"/>
        <w:snapToGrid w:val="0"/>
        <w:spacing w:line="360" w:lineRule="auto"/>
        <w:ind w:firstLine="640" w:firstLineChars="200"/>
        <w:textAlignment w:val="baseline"/>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2023</w:t>
      </w:r>
      <w:r>
        <w:rPr>
          <w:rFonts w:hint="eastAsia" w:ascii="Times New Roman" w:hAnsi="Times New Roman" w:eastAsia="仿宋_GB2312" w:cs="Times New Roman"/>
          <w:color w:val="000000"/>
          <w:kern w:val="0"/>
          <w:sz w:val="32"/>
          <w:szCs w:val="32"/>
        </w:rPr>
        <w:t>年5月，温州市生态环境局乐清分局于启动生态环境分区管控动态更新工作。</w:t>
      </w:r>
    </w:p>
    <w:p>
      <w:pPr>
        <w:widowControl/>
        <w:tabs>
          <w:tab w:val="left" w:pos="6720"/>
        </w:tabs>
        <w:kinsoku w:val="0"/>
        <w:autoSpaceDE w:val="0"/>
        <w:autoSpaceDN w:val="0"/>
        <w:adjustRightInd w:val="0"/>
        <w:snapToGrid w:val="0"/>
        <w:spacing w:line="360" w:lineRule="auto"/>
        <w:ind w:firstLine="640" w:firstLineChars="200"/>
        <w:textAlignment w:val="baseline"/>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2023</w:t>
      </w:r>
      <w:r>
        <w:rPr>
          <w:rFonts w:hint="eastAsia" w:ascii="Times New Roman" w:hAnsi="Times New Roman" w:eastAsia="仿宋_GB2312" w:cs="Times New Roman"/>
          <w:color w:val="000000"/>
          <w:kern w:val="0"/>
          <w:sz w:val="32"/>
          <w:szCs w:val="32"/>
        </w:rPr>
        <w:t>年6月初，温州市生态环境局乐清分局与</w:t>
      </w:r>
      <w:r>
        <w:rPr>
          <w:rFonts w:hint="eastAsia" w:ascii="Times New Roman" w:hAnsi="Times New Roman" w:eastAsia="仿宋_GB2312" w:cs="Times New Roman"/>
          <w:color w:val="000000"/>
          <w:kern w:val="0"/>
          <w:sz w:val="32"/>
          <w:szCs w:val="32"/>
          <w:lang w:eastAsia="zh-CN"/>
        </w:rPr>
        <w:t>乐清市</w:t>
      </w:r>
      <w:r>
        <w:rPr>
          <w:rFonts w:hint="eastAsia" w:ascii="Times New Roman" w:hAnsi="Times New Roman" w:eastAsia="仿宋_GB2312" w:cs="Times New Roman"/>
          <w:color w:val="000000"/>
          <w:kern w:val="0"/>
          <w:sz w:val="32"/>
          <w:szCs w:val="32"/>
        </w:rPr>
        <w:t>自然资源</w:t>
      </w:r>
      <w:r>
        <w:rPr>
          <w:rFonts w:hint="eastAsia" w:ascii="Times New Roman" w:hAnsi="Times New Roman" w:eastAsia="仿宋_GB2312" w:cs="Times New Roman"/>
          <w:color w:val="000000"/>
          <w:kern w:val="0"/>
          <w:sz w:val="32"/>
          <w:szCs w:val="32"/>
          <w:lang w:eastAsia="zh-CN"/>
        </w:rPr>
        <w:t>和</w:t>
      </w:r>
      <w:r>
        <w:rPr>
          <w:rFonts w:hint="eastAsia" w:ascii="Times New Roman" w:hAnsi="Times New Roman" w:eastAsia="仿宋_GB2312" w:cs="Times New Roman"/>
          <w:color w:val="000000"/>
          <w:kern w:val="0"/>
          <w:sz w:val="32"/>
          <w:szCs w:val="32"/>
        </w:rPr>
        <w:t>规划局、乐清市经信局、乐清市水利局等相关部门充分对接沟通，并获取、核对相关资料数据。</w:t>
      </w:r>
    </w:p>
    <w:p>
      <w:pPr>
        <w:widowControl/>
        <w:tabs>
          <w:tab w:val="left" w:pos="6720"/>
        </w:tabs>
        <w:kinsoku w:val="0"/>
        <w:autoSpaceDE w:val="0"/>
        <w:autoSpaceDN w:val="0"/>
        <w:adjustRightInd w:val="0"/>
        <w:snapToGrid w:val="0"/>
        <w:spacing w:line="360" w:lineRule="auto"/>
        <w:ind w:firstLine="640" w:firstLineChars="200"/>
        <w:textAlignment w:val="baseline"/>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2023</w:t>
      </w:r>
      <w:r>
        <w:rPr>
          <w:rFonts w:hint="eastAsia" w:ascii="Times New Roman" w:hAnsi="Times New Roman" w:eastAsia="仿宋_GB2312" w:cs="Times New Roman"/>
          <w:color w:val="000000"/>
          <w:kern w:val="0"/>
          <w:sz w:val="32"/>
          <w:szCs w:val="32"/>
        </w:rPr>
        <w:t>年8月，形成《乐清市</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三线一单</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生态环境分区管控动态更新方案（</w:t>
      </w:r>
      <w:bookmarkStart w:id="13" w:name="_GoBack"/>
      <w:r>
        <w:rPr>
          <w:rFonts w:hint="eastAsia" w:ascii="Times New Roman" w:hAnsi="Times New Roman" w:eastAsia="仿宋_GB2312" w:cs="Times New Roman"/>
          <w:color w:val="000000"/>
          <w:kern w:val="0"/>
          <w:sz w:val="32"/>
          <w:szCs w:val="32"/>
        </w:rPr>
        <w:t>初稿</w:t>
      </w:r>
      <w:bookmarkEnd w:id="13"/>
      <w:r>
        <w:rPr>
          <w:rFonts w:hint="eastAsia" w:ascii="Times New Roman" w:hAnsi="Times New Roman" w:eastAsia="仿宋_GB2312" w:cs="Times New Roman"/>
          <w:color w:val="000000"/>
          <w:kern w:val="0"/>
          <w:sz w:val="32"/>
          <w:szCs w:val="32"/>
        </w:rPr>
        <w:t>）》后，通过OA向乐清市各相关部门和各乡镇、街道征求意见，并于8月24日召开部门与相关乡镇征求意见会议。</w:t>
      </w:r>
    </w:p>
    <w:p>
      <w:pPr>
        <w:widowControl/>
        <w:tabs>
          <w:tab w:val="left" w:pos="6720"/>
        </w:tabs>
        <w:kinsoku w:val="0"/>
        <w:autoSpaceDE w:val="0"/>
        <w:autoSpaceDN w:val="0"/>
        <w:adjustRightInd w:val="0"/>
        <w:snapToGrid w:val="0"/>
        <w:spacing w:line="360" w:lineRule="auto"/>
        <w:ind w:firstLine="640" w:firstLineChars="200"/>
        <w:textAlignment w:val="baseline"/>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2023年9月，针对各相关部门和各乡镇街道的反馈意见，完成方案修改，形成《乐清市</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三线一单</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生态环境分区管控动态更新方案（送审稿）》。</w:t>
      </w:r>
    </w:p>
    <w:p>
      <w:pPr>
        <w:widowControl/>
        <w:tabs>
          <w:tab w:val="left" w:pos="6720"/>
        </w:tabs>
        <w:kinsoku w:val="0"/>
        <w:autoSpaceDE w:val="0"/>
        <w:autoSpaceDN w:val="0"/>
        <w:adjustRightInd w:val="0"/>
        <w:snapToGrid w:val="0"/>
        <w:spacing w:line="360" w:lineRule="auto"/>
        <w:ind w:firstLine="640" w:firstLineChars="200"/>
        <w:textAlignment w:val="baseline"/>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2023年10月底，与乐清市府办对接上报审查事宜，并对接司法局后，10月31日于乐清市人民政府网站发布征求意见公告；同时，委托生态环境局法律顾问开展合法性审查。11月8日，已出具《法律意见书》认为《方案（送审稿）》符合我国现行法律法规政策的规定。</w:t>
      </w:r>
    </w:p>
    <w:p>
      <w:pPr>
        <w:widowControl/>
        <w:tabs>
          <w:tab w:val="left" w:pos="6720"/>
        </w:tabs>
        <w:kinsoku w:val="0"/>
        <w:autoSpaceDE w:val="0"/>
        <w:autoSpaceDN w:val="0"/>
        <w:adjustRightInd w:val="0"/>
        <w:snapToGrid w:val="0"/>
        <w:spacing w:line="360" w:lineRule="auto"/>
        <w:ind w:firstLine="640" w:firstLineChars="200"/>
        <w:textAlignment w:val="baseline"/>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2023年11月11日，温州市政府通过OA征求乐清市政府意见，乐清分局主要领导审核，并报经分管副市长陈万钦审阅后上报温州市生态环境局汇总后报省生态环境厅。2023年12月1日，省环保厅在杭州召开《温州市生态环境分区管控动态更新方案》专家评审会议。2024年3月28日《浙江省生态环境分区管控动态更新方案》发布实施。</w:t>
      </w:r>
    </w:p>
    <w:p>
      <w:pPr>
        <w:spacing w:line="560" w:lineRule="exact"/>
        <w:rPr>
          <w:rFonts w:ascii="Times New Roman" w:hAnsi="Times New Roman" w:eastAsia="仿宋_GB2312" w:cs="Times New Roman"/>
          <w:color w:val="000000"/>
          <w:kern w:val="0"/>
          <w:sz w:val="32"/>
          <w:szCs w:val="32"/>
        </w:rPr>
      </w:pPr>
      <w:bookmarkStart w:id="3" w:name="_Toc149296749"/>
      <w:r>
        <w:rPr>
          <w:rFonts w:hint="eastAsia" w:ascii="Times New Roman" w:hAnsi="Times New Roman" w:eastAsia="仿宋_GB2312" w:cs="Times New Roman"/>
          <w:color w:val="000000"/>
          <w:kern w:val="0"/>
          <w:sz w:val="32"/>
          <w:szCs w:val="32"/>
        </w:rPr>
        <w:t>三</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方案</w:t>
      </w:r>
      <w:r>
        <w:rPr>
          <w:rFonts w:ascii="Times New Roman" w:hAnsi="Times New Roman" w:eastAsia="仿宋_GB2312" w:cs="Times New Roman"/>
          <w:color w:val="000000"/>
          <w:kern w:val="0"/>
          <w:sz w:val="32"/>
          <w:szCs w:val="32"/>
        </w:rPr>
        <w:t>涉法内容说明（制定依据）</w:t>
      </w:r>
    </w:p>
    <w:p>
      <w:pPr>
        <w:tabs>
          <w:tab w:val="left" w:pos="2955"/>
        </w:tabs>
        <w:adjustRightInd w:val="0"/>
        <w:spacing w:line="560" w:lineRule="exact"/>
        <w:ind w:firstLine="640" w:firstLineChars="200"/>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该方案依据《环境保护法》、《长江经济带战略环境评价“三线一单”编制工作实施方案》（环办环评函〔2018〕14 号）、《浙江省生态环境分区管控动态更新方案》（浙环发〔2024〕18 号）、《浙江省生态环境厅关于开展2023年全省生态环境分区管控成果动态更新工作的通知》制定。</w:t>
      </w:r>
    </w:p>
    <w:p>
      <w:pPr>
        <w:spacing w:line="560" w:lineRule="exact"/>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该</w:t>
      </w:r>
      <w:r>
        <w:rPr>
          <w:rFonts w:hint="eastAsia" w:ascii="Times New Roman" w:hAnsi="Times New Roman" w:eastAsia="仿宋_GB2312" w:cs="Times New Roman"/>
          <w:color w:val="000000"/>
          <w:kern w:val="0"/>
          <w:sz w:val="32"/>
          <w:szCs w:val="32"/>
        </w:rPr>
        <w:t>方案</w:t>
      </w:r>
      <w:r>
        <w:rPr>
          <w:rFonts w:ascii="Times New Roman" w:hAnsi="Times New Roman" w:eastAsia="仿宋_GB2312" w:cs="Times New Roman"/>
          <w:color w:val="000000"/>
          <w:kern w:val="0"/>
          <w:sz w:val="32"/>
          <w:szCs w:val="32"/>
        </w:rPr>
        <w:t>涉及公民、法人或其他组织权利义务的内容主要有：</w:t>
      </w:r>
      <w:r>
        <w:rPr>
          <w:rFonts w:hint="eastAsia" w:ascii="Times New Roman" w:hAnsi="Times New Roman" w:eastAsia="仿宋_GB2312" w:cs="Times New Roman"/>
          <w:color w:val="000000"/>
          <w:kern w:val="0"/>
          <w:sz w:val="32"/>
          <w:szCs w:val="32"/>
        </w:rPr>
        <w:t>《方案》</w:t>
      </w:r>
      <w:r>
        <w:rPr>
          <w:rFonts w:ascii="Times New Roman" w:hAnsi="Times New Roman" w:eastAsia="仿宋_GB2312" w:cs="Times New Roman"/>
          <w:color w:val="000000"/>
          <w:kern w:val="0"/>
          <w:sz w:val="32"/>
          <w:szCs w:val="32"/>
        </w:rPr>
        <w:t>第</w:t>
      </w:r>
      <w:r>
        <w:rPr>
          <w:rFonts w:hint="eastAsia" w:ascii="Times New Roman" w:hAnsi="Times New Roman" w:eastAsia="仿宋_GB2312" w:cs="Times New Roman"/>
          <w:color w:val="000000"/>
          <w:kern w:val="0"/>
          <w:sz w:val="32"/>
          <w:szCs w:val="32"/>
        </w:rPr>
        <w:t>6.2章节，对市域空间进行管控单元划分，并制定不同单元的管控措施，对不同行业准入提出禁止、限制等管控要求。主要法律依据《中华人民共和国环境保护法》第十三条，县级以上人民政府应当将环境保护工作纳入国民经济和社会发展规划。县级以上地方人民政府环境保护主管部门会同有关部门，根据国家环境保护规划的要求，编制本行政区域的环境保护规划，报同级人民政府批准并公布实施。环境保护规划的内容应当包括生态保护和污染防治的目标、任务、保障措施等，并与主体功能区规划、土地利用总体规划和城乡规划等相衔接。</w:t>
      </w:r>
    </w:p>
    <w:p>
      <w:pPr>
        <w:pStyle w:val="3"/>
        <w:numPr>
          <w:ilvl w:val="0"/>
          <w:numId w:val="0"/>
        </w:numPr>
        <w:spacing w:line="360" w:lineRule="auto"/>
        <w:ind w:left="575" w:hanging="575"/>
        <w:rPr>
          <w:rFonts w:ascii="Times New Roman" w:hAnsi="Times New Roman" w:eastAsia="仿宋_GB2312" w:cs="Times New Roman"/>
          <w:b w:val="0"/>
          <w:color w:val="000000"/>
          <w:kern w:val="0"/>
          <w:szCs w:val="32"/>
        </w:rPr>
      </w:pPr>
      <w:r>
        <w:rPr>
          <w:rFonts w:hint="eastAsia" w:ascii="Times New Roman" w:hAnsi="Times New Roman" w:eastAsia="仿宋_GB2312" w:cs="Times New Roman"/>
          <w:b w:val="0"/>
          <w:color w:val="000000"/>
          <w:kern w:val="0"/>
          <w:szCs w:val="32"/>
        </w:rPr>
        <w:t>四、方案</w:t>
      </w:r>
      <w:r>
        <w:rPr>
          <w:rFonts w:ascii="Times New Roman" w:hAnsi="Times New Roman" w:eastAsia="仿宋_GB2312" w:cs="Times New Roman"/>
          <w:b w:val="0"/>
          <w:color w:val="000000"/>
          <w:kern w:val="0"/>
          <w:szCs w:val="32"/>
        </w:rPr>
        <w:t>成果</w:t>
      </w:r>
      <w:r>
        <w:rPr>
          <w:rFonts w:hint="eastAsia" w:ascii="Times New Roman" w:hAnsi="Times New Roman" w:eastAsia="仿宋_GB2312" w:cs="Times New Roman"/>
          <w:b w:val="0"/>
          <w:color w:val="000000"/>
          <w:kern w:val="0"/>
          <w:szCs w:val="32"/>
        </w:rPr>
        <w:t>及</w:t>
      </w:r>
      <w:r>
        <w:rPr>
          <w:rFonts w:ascii="Times New Roman" w:hAnsi="Times New Roman" w:eastAsia="仿宋_GB2312" w:cs="Times New Roman"/>
          <w:b w:val="0"/>
          <w:color w:val="000000"/>
          <w:kern w:val="0"/>
          <w:szCs w:val="32"/>
        </w:rPr>
        <w:t>动态更新情况</w:t>
      </w:r>
      <w:bookmarkEnd w:id="3"/>
    </w:p>
    <w:p>
      <w:pPr>
        <w:kinsoku w:val="0"/>
        <w:overflowPunct w:val="0"/>
        <w:autoSpaceDE w:val="0"/>
        <w:autoSpaceDN w:val="0"/>
        <w:adjustRightInd w:val="0"/>
        <w:snapToGrid w:val="0"/>
        <w:spacing w:line="360" w:lineRule="auto"/>
        <w:textAlignment w:val="baseline"/>
        <w:rPr>
          <w:rFonts w:ascii="Times New Roman" w:hAnsi="Times New Roman" w:eastAsia="仿宋_GB2312" w:cs="Times New Roman"/>
          <w:color w:val="000000"/>
          <w:kern w:val="0"/>
          <w:sz w:val="32"/>
          <w:szCs w:val="32"/>
        </w:rPr>
      </w:pPr>
      <w:bookmarkStart w:id="4" w:name="_Toc149296752"/>
      <w:bookmarkStart w:id="5" w:name="_Toc149296750"/>
      <w:r>
        <w:rPr>
          <w:rFonts w:hint="eastAsia" w:ascii="Times New Roman" w:hAnsi="Times New Roman" w:eastAsia="仿宋_GB2312" w:cs="Times New Roman"/>
          <w:color w:val="000000"/>
          <w:kern w:val="0"/>
          <w:sz w:val="32"/>
          <w:szCs w:val="32"/>
        </w:rPr>
        <w:t>（1）生态保护红线</w:t>
      </w:r>
      <w:bookmarkEnd w:id="4"/>
    </w:p>
    <w:p>
      <w:pPr>
        <w:kinsoku w:val="0"/>
        <w:overflowPunct w:val="0"/>
        <w:autoSpaceDE w:val="0"/>
        <w:autoSpaceDN w:val="0"/>
        <w:adjustRightInd w:val="0"/>
        <w:snapToGrid w:val="0"/>
        <w:spacing w:line="360" w:lineRule="auto"/>
        <w:ind w:firstLine="640" w:firstLineChars="200"/>
        <w:textAlignment w:val="baseline"/>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直接引用</w:t>
      </w:r>
      <w:r>
        <w:rPr>
          <w:rFonts w:hint="eastAsia" w:ascii="Times New Roman" w:hAnsi="Times New Roman" w:eastAsia="仿宋_GB2312" w:cs="Times New Roman"/>
          <w:color w:val="000000"/>
          <w:kern w:val="0"/>
          <w:sz w:val="32"/>
          <w:szCs w:val="32"/>
        </w:rPr>
        <w:t>2022年市自然资源</w:t>
      </w:r>
      <w:r>
        <w:rPr>
          <w:rFonts w:hint="eastAsia" w:ascii="Times New Roman" w:hAnsi="Times New Roman" w:eastAsia="仿宋_GB2312" w:cs="Times New Roman"/>
          <w:color w:val="000000"/>
          <w:kern w:val="0"/>
          <w:sz w:val="32"/>
          <w:szCs w:val="32"/>
          <w:lang w:eastAsia="zh-CN"/>
        </w:rPr>
        <w:t>和</w:t>
      </w:r>
      <w:r>
        <w:rPr>
          <w:rFonts w:hint="eastAsia" w:ascii="Times New Roman" w:hAnsi="Times New Roman" w:eastAsia="仿宋_GB2312" w:cs="Times New Roman"/>
          <w:color w:val="000000"/>
          <w:kern w:val="0"/>
          <w:sz w:val="32"/>
          <w:szCs w:val="32"/>
        </w:rPr>
        <w:t>规划局</w:t>
      </w:r>
      <w:r>
        <w:rPr>
          <w:rFonts w:ascii="Times New Roman" w:hAnsi="Times New Roman" w:eastAsia="仿宋_GB2312" w:cs="Times New Roman"/>
          <w:color w:val="000000"/>
          <w:kern w:val="0"/>
          <w:sz w:val="32"/>
          <w:szCs w:val="32"/>
        </w:rPr>
        <w:t>“三区三线”生态保护红线最新成果。根据《</w:t>
      </w:r>
      <w:r>
        <w:rPr>
          <w:rFonts w:hint="eastAsia" w:ascii="Times New Roman" w:hAnsi="Times New Roman" w:eastAsia="仿宋_GB2312" w:cs="Times New Roman"/>
          <w:color w:val="000000"/>
          <w:kern w:val="0"/>
          <w:sz w:val="32"/>
          <w:szCs w:val="32"/>
        </w:rPr>
        <w:t>乐清市</w:t>
      </w:r>
      <w:r>
        <w:rPr>
          <w:rFonts w:ascii="Times New Roman" w:hAnsi="Times New Roman" w:eastAsia="仿宋_GB2312" w:cs="Times New Roman"/>
          <w:color w:val="000000"/>
          <w:kern w:val="0"/>
          <w:sz w:val="32"/>
          <w:szCs w:val="32"/>
        </w:rPr>
        <w:t>三区三线划定成果》，</w:t>
      </w:r>
      <w:r>
        <w:rPr>
          <w:rFonts w:hint="eastAsia" w:ascii="Times New Roman" w:hAnsi="Times New Roman" w:eastAsia="仿宋_GB2312" w:cs="Times New Roman"/>
          <w:color w:val="000000"/>
          <w:kern w:val="0"/>
          <w:sz w:val="32"/>
          <w:szCs w:val="32"/>
        </w:rPr>
        <w:t>乐清市</w:t>
      </w:r>
      <w:r>
        <w:rPr>
          <w:rFonts w:ascii="Times New Roman" w:hAnsi="Times New Roman" w:eastAsia="仿宋_GB2312" w:cs="Times New Roman"/>
          <w:color w:val="000000"/>
          <w:kern w:val="0"/>
          <w:sz w:val="32"/>
          <w:szCs w:val="32"/>
        </w:rPr>
        <w:t>共划定</w:t>
      </w:r>
      <w:r>
        <w:rPr>
          <w:rFonts w:hint="eastAsia" w:ascii="Times New Roman" w:hAnsi="Times New Roman" w:eastAsia="仿宋_GB2312" w:cs="Times New Roman"/>
          <w:color w:val="000000"/>
          <w:kern w:val="0"/>
          <w:sz w:val="32"/>
          <w:szCs w:val="32"/>
        </w:rPr>
        <w:t>陆域</w:t>
      </w:r>
      <w:r>
        <w:rPr>
          <w:rFonts w:ascii="Times New Roman" w:hAnsi="Times New Roman" w:eastAsia="仿宋_GB2312" w:cs="Times New Roman"/>
          <w:color w:val="000000"/>
          <w:kern w:val="0"/>
          <w:sz w:val="32"/>
          <w:szCs w:val="32"/>
        </w:rPr>
        <w:t>生态保护红线面积</w:t>
      </w:r>
      <w:r>
        <w:rPr>
          <w:rFonts w:hint="eastAsia" w:ascii="Times New Roman" w:hAnsi="Times New Roman" w:eastAsia="仿宋_GB2312" w:cs="Times New Roman"/>
          <w:color w:val="000000"/>
          <w:kern w:val="0"/>
          <w:sz w:val="32"/>
          <w:szCs w:val="32"/>
        </w:rPr>
        <w:t>204.15平方千米</w:t>
      </w:r>
      <w:r>
        <w:rPr>
          <w:rFonts w:ascii="Times New Roman" w:hAnsi="Times New Roman" w:eastAsia="仿宋_GB2312" w:cs="Times New Roman"/>
          <w:color w:val="000000"/>
          <w:kern w:val="0"/>
          <w:sz w:val="32"/>
          <w:szCs w:val="32"/>
        </w:rPr>
        <w:t>，占全</w:t>
      </w:r>
      <w:r>
        <w:rPr>
          <w:rFonts w:hint="eastAsia" w:ascii="Times New Roman" w:hAnsi="Times New Roman" w:eastAsia="仿宋_GB2312" w:cs="Times New Roman"/>
          <w:color w:val="000000"/>
          <w:kern w:val="0"/>
          <w:sz w:val="32"/>
          <w:szCs w:val="32"/>
        </w:rPr>
        <w:t>市陆域</w:t>
      </w:r>
      <w:r>
        <w:rPr>
          <w:rFonts w:ascii="Times New Roman" w:hAnsi="Times New Roman" w:eastAsia="仿宋_GB2312" w:cs="Times New Roman"/>
          <w:color w:val="000000"/>
          <w:kern w:val="0"/>
          <w:sz w:val="32"/>
          <w:szCs w:val="32"/>
        </w:rPr>
        <w:t>国土面积的</w:t>
      </w:r>
      <w:r>
        <w:rPr>
          <w:rFonts w:hint="eastAsia" w:ascii="Times New Roman" w:hAnsi="Times New Roman" w:eastAsia="仿宋_GB2312" w:cs="Times New Roman"/>
          <w:color w:val="000000"/>
          <w:kern w:val="0"/>
          <w:sz w:val="32"/>
          <w:szCs w:val="32"/>
        </w:rPr>
        <w:t>16.26</w:t>
      </w:r>
      <w:r>
        <w:rPr>
          <w:rFonts w:ascii="Times New Roman" w:hAnsi="Times New Roman" w:eastAsia="仿宋_GB2312" w:cs="Times New Roman"/>
          <w:color w:val="000000"/>
          <w:kern w:val="0"/>
          <w:sz w:val="32"/>
          <w:szCs w:val="32"/>
        </w:rPr>
        <w:t>%。生态保护红线主要包括水源涵养、生物多样性维护、水土保持和其他生态功能重要区生态保护红线等四种类型。</w:t>
      </w:r>
    </w:p>
    <w:p>
      <w:pPr>
        <w:pStyle w:val="3"/>
        <w:numPr>
          <w:ilvl w:val="0"/>
          <w:numId w:val="0"/>
        </w:numPr>
        <w:spacing w:line="360" w:lineRule="auto"/>
        <w:ind w:left="575" w:hanging="575"/>
        <w:rPr>
          <w:rFonts w:ascii="Times New Roman" w:hAnsi="Times New Roman" w:eastAsia="仿宋_GB2312" w:cs="Times New Roman"/>
          <w:b w:val="0"/>
          <w:color w:val="000000"/>
          <w:kern w:val="0"/>
          <w:szCs w:val="32"/>
        </w:rPr>
      </w:pPr>
      <w:r>
        <w:rPr>
          <w:rFonts w:hint="eastAsia" w:ascii="Times New Roman" w:hAnsi="Times New Roman" w:eastAsia="仿宋_GB2312" w:cs="Times New Roman"/>
          <w:b w:val="0"/>
          <w:color w:val="000000"/>
          <w:kern w:val="0"/>
          <w:szCs w:val="32"/>
        </w:rPr>
        <w:t>（2）</w:t>
      </w:r>
      <w:r>
        <w:rPr>
          <w:rFonts w:ascii="Times New Roman" w:hAnsi="Times New Roman" w:eastAsia="仿宋_GB2312" w:cs="Times New Roman"/>
          <w:b w:val="0"/>
          <w:color w:val="000000"/>
          <w:kern w:val="0"/>
          <w:szCs w:val="32"/>
        </w:rPr>
        <w:t>环境质量底线</w:t>
      </w:r>
      <w:bookmarkEnd w:id="5"/>
    </w:p>
    <w:p>
      <w:pPr>
        <w:widowControl/>
        <w:tabs>
          <w:tab w:val="left" w:pos="6720"/>
        </w:tabs>
        <w:kinsoku w:val="0"/>
        <w:autoSpaceDE w:val="0"/>
        <w:autoSpaceDN w:val="0"/>
        <w:adjustRightInd w:val="0"/>
        <w:snapToGrid w:val="0"/>
        <w:spacing w:line="360" w:lineRule="auto"/>
        <w:ind w:firstLine="640" w:firstLineChars="200"/>
        <w:textAlignment w:val="baseline"/>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【地表水控制断面底线】</w:t>
      </w:r>
    </w:p>
    <w:p>
      <w:pPr>
        <w:widowControl/>
        <w:tabs>
          <w:tab w:val="left" w:pos="6720"/>
        </w:tabs>
        <w:kinsoku w:val="0"/>
        <w:autoSpaceDE w:val="0"/>
        <w:autoSpaceDN w:val="0"/>
        <w:adjustRightInd w:val="0"/>
        <w:snapToGrid w:val="0"/>
        <w:spacing w:line="360" w:lineRule="auto"/>
        <w:ind w:firstLine="640" w:firstLineChars="200"/>
        <w:textAlignment w:val="baseline"/>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根据“水十条”实施方案制定目标、环境功能区划目标、水污染防治目标责任书目标，制定各断面2025年、2030年和2035年的环境质量底线目标如下表：</w:t>
      </w:r>
    </w:p>
    <w:tbl>
      <w:tblPr>
        <w:tblStyle w:val="19"/>
        <w:tblW w:w="5032"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29"/>
        <w:gridCol w:w="567"/>
        <w:gridCol w:w="1278"/>
        <w:gridCol w:w="1417"/>
        <w:gridCol w:w="992"/>
        <w:gridCol w:w="852"/>
        <w:gridCol w:w="994"/>
        <w:gridCol w:w="929"/>
        <w:gridCol w:w="90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6" w:type="pct"/>
            <w:vMerge w:val="restart"/>
            <w:tcBorders>
              <w:bottom w:val="nil"/>
            </w:tcBorders>
          </w:tcPr>
          <w:p>
            <w:pPr>
              <w:overflowPunct w:val="0"/>
              <w:spacing w:beforeLines="50"/>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序号</w:t>
            </w:r>
          </w:p>
        </w:tc>
        <w:tc>
          <w:tcPr>
            <w:tcW w:w="339" w:type="pct"/>
            <w:vMerge w:val="restart"/>
            <w:tcBorders>
              <w:bottom w:val="nil"/>
            </w:tcBorders>
            <w:textDirection w:val="tbLrV"/>
          </w:tcPr>
          <w:p>
            <w:pPr>
              <w:overflowPunct w:val="0"/>
              <w:spacing w:beforeLines="50"/>
              <w:ind w:right="113"/>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流域</w:t>
            </w:r>
          </w:p>
        </w:tc>
        <w:tc>
          <w:tcPr>
            <w:tcW w:w="764" w:type="pct"/>
            <w:vMerge w:val="restart"/>
            <w:tcBorders>
              <w:bottom w:val="nil"/>
            </w:tcBorders>
            <w:vAlign w:val="center"/>
          </w:tcPr>
          <w:p>
            <w:pPr>
              <w:overflowPunct w:val="0"/>
              <w:ind w:left="163" w:right="154" w:firstLine="137"/>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“水十条”控制单元</w:t>
            </w:r>
          </w:p>
        </w:tc>
        <w:tc>
          <w:tcPr>
            <w:tcW w:w="847" w:type="pct"/>
            <w:vMerge w:val="restart"/>
            <w:tcBorders>
              <w:bottom w:val="nil"/>
            </w:tcBorders>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断面</w:t>
            </w:r>
          </w:p>
        </w:tc>
        <w:tc>
          <w:tcPr>
            <w:tcW w:w="1102" w:type="pct"/>
            <w:gridSpan w:val="2"/>
            <w:vMerge w:val="restart"/>
            <w:tcBorders>
              <w:bottom w:val="nil"/>
            </w:tcBorders>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所在水体</w:t>
            </w:r>
          </w:p>
        </w:tc>
        <w:tc>
          <w:tcPr>
            <w:tcW w:w="1693" w:type="pct"/>
            <w:gridSpan w:val="3"/>
            <w:tcBorders>
              <w:right w:val="single" w:color="auto" w:sz="4" w:space="0"/>
            </w:tcBorders>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水质目标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6" w:type="pct"/>
            <w:vMerge w:val="continue"/>
            <w:tcBorders>
              <w:top w:val="nil"/>
            </w:tcBorders>
          </w:tcPr>
          <w:p>
            <w:pPr>
              <w:overflowPunct w:val="0"/>
              <w:spacing w:beforeLines="50"/>
              <w:jc w:val="center"/>
              <w:rPr>
                <w:rFonts w:ascii="Times New Roman" w:hAnsi="Times New Roman" w:eastAsia="仿宋_GB2312" w:cs="Times New Roman"/>
                <w:color w:val="000000"/>
                <w:kern w:val="0"/>
                <w:sz w:val="24"/>
              </w:rPr>
            </w:pPr>
          </w:p>
        </w:tc>
        <w:tc>
          <w:tcPr>
            <w:tcW w:w="339" w:type="pct"/>
            <w:vMerge w:val="continue"/>
            <w:tcBorders>
              <w:top w:val="nil"/>
            </w:tcBorders>
            <w:textDirection w:val="tbLrV"/>
          </w:tcPr>
          <w:p>
            <w:pPr>
              <w:overflowPunct w:val="0"/>
              <w:spacing w:beforeLines="50"/>
              <w:ind w:left="232" w:right="113"/>
              <w:jc w:val="center"/>
              <w:rPr>
                <w:rFonts w:ascii="Times New Roman" w:hAnsi="Times New Roman" w:eastAsia="仿宋_GB2312" w:cs="Times New Roman"/>
                <w:color w:val="000000"/>
                <w:kern w:val="0"/>
                <w:sz w:val="24"/>
              </w:rPr>
            </w:pPr>
          </w:p>
        </w:tc>
        <w:tc>
          <w:tcPr>
            <w:tcW w:w="764" w:type="pct"/>
            <w:vMerge w:val="continue"/>
            <w:tcBorders>
              <w:top w:val="nil"/>
            </w:tcBorders>
            <w:vAlign w:val="center"/>
          </w:tcPr>
          <w:p>
            <w:pPr>
              <w:overflowPunct w:val="0"/>
              <w:jc w:val="center"/>
              <w:rPr>
                <w:rFonts w:ascii="Times New Roman" w:hAnsi="Times New Roman" w:eastAsia="仿宋_GB2312" w:cs="Times New Roman"/>
                <w:color w:val="000000"/>
                <w:kern w:val="0"/>
                <w:sz w:val="24"/>
              </w:rPr>
            </w:pPr>
          </w:p>
        </w:tc>
        <w:tc>
          <w:tcPr>
            <w:tcW w:w="847" w:type="pct"/>
            <w:vMerge w:val="continue"/>
            <w:tcBorders>
              <w:top w:val="nil"/>
            </w:tcBorders>
            <w:vAlign w:val="center"/>
          </w:tcPr>
          <w:p>
            <w:pPr>
              <w:overflowPunct w:val="0"/>
              <w:jc w:val="center"/>
              <w:rPr>
                <w:rFonts w:ascii="Times New Roman" w:hAnsi="Times New Roman" w:eastAsia="仿宋_GB2312" w:cs="Times New Roman"/>
                <w:color w:val="000000"/>
                <w:kern w:val="0"/>
                <w:sz w:val="24"/>
              </w:rPr>
            </w:pPr>
          </w:p>
        </w:tc>
        <w:tc>
          <w:tcPr>
            <w:tcW w:w="1102" w:type="pct"/>
            <w:gridSpan w:val="2"/>
            <w:vMerge w:val="continue"/>
            <w:tcBorders>
              <w:top w:val="nil"/>
            </w:tcBorders>
            <w:vAlign w:val="center"/>
          </w:tcPr>
          <w:p>
            <w:pPr>
              <w:overflowPunct w:val="0"/>
              <w:jc w:val="center"/>
              <w:rPr>
                <w:rFonts w:ascii="Times New Roman" w:hAnsi="Times New Roman" w:eastAsia="仿宋_GB2312" w:cs="Times New Roman"/>
                <w:color w:val="000000"/>
                <w:kern w:val="0"/>
                <w:sz w:val="24"/>
              </w:rPr>
            </w:pPr>
          </w:p>
        </w:tc>
        <w:tc>
          <w:tcPr>
            <w:tcW w:w="594" w:type="pct"/>
            <w:vAlign w:val="center"/>
          </w:tcPr>
          <w:p>
            <w:pPr>
              <w:overflowPunct w:val="0"/>
              <w:ind w:right="105"/>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2025年</w:t>
            </w:r>
          </w:p>
        </w:tc>
        <w:tc>
          <w:tcPr>
            <w:tcW w:w="555" w:type="pct"/>
            <w:tcBorders>
              <w:right w:val="single" w:color="auto" w:sz="4" w:space="0"/>
            </w:tcBorders>
            <w:vAlign w:val="center"/>
          </w:tcPr>
          <w:p>
            <w:pPr>
              <w:overflowPunct w:val="0"/>
              <w:ind w:right="108"/>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2030年</w:t>
            </w:r>
          </w:p>
        </w:tc>
        <w:tc>
          <w:tcPr>
            <w:tcW w:w="544" w:type="pct"/>
            <w:tcBorders>
              <w:right w:val="single" w:color="auto" w:sz="4" w:space="0"/>
            </w:tcBorders>
            <w:vAlign w:val="center"/>
          </w:tcPr>
          <w:p>
            <w:pPr>
              <w:overflowPunct w:val="0"/>
              <w:ind w:right="108"/>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2035年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6" w:type="pct"/>
          </w:tcPr>
          <w:p>
            <w:pPr>
              <w:overflowPunct w:val="0"/>
              <w:spacing w:beforeLines="50"/>
              <w:jc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1</w:t>
            </w:r>
          </w:p>
        </w:tc>
        <w:tc>
          <w:tcPr>
            <w:tcW w:w="339" w:type="pct"/>
            <w:vMerge w:val="restart"/>
            <w:textDirection w:val="tbLrV"/>
          </w:tcPr>
          <w:p>
            <w:pPr>
              <w:overflowPunct w:val="0"/>
              <w:spacing w:beforeLines="50"/>
              <w:ind w:left="232" w:right="113"/>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瓯江流域</w:t>
            </w:r>
          </w:p>
        </w:tc>
        <w:tc>
          <w:tcPr>
            <w:tcW w:w="764" w:type="pct"/>
            <w:vMerge w:val="restar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瓯江温州1控制单元</w:t>
            </w:r>
          </w:p>
        </w:tc>
        <w:tc>
          <w:tcPr>
            <w:tcW w:w="847"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七里港</w:t>
            </w:r>
          </w:p>
        </w:tc>
        <w:tc>
          <w:tcPr>
            <w:tcW w:w="593" w:type="pct"/>
            <w:vAlign w:val="center"/>
          </w:tcPr>
          <w:p>
            <w:pPr>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乐琯塘河</w:t>
            </w:r>
          </w:p>
        </w:tc>
        <w:tc>
          <w:tcPr>
            <w:tcW w:w="509" w:type="pct"/>
            <w:vAlign w:val="center"/>
          </w:tcPr>
          <w:p>
            <w:pPr>
              <w:overflowPunct w:val="0"/>
              <w:ind w:right="105"/>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白慎河</w:t>
            </w:r>
          </w:p>
        </w:tc>
        <w:tc>
          <w:tcPr>
            <w:tcW w:w="594"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Ⅳ</w:t>
            </w:r>
          </w:p>
        </w:tc>
        <w:tc>
          <w:tcPr>
            <w:tcW w:w="555"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Ⅲ</w:t>
            </w:r>
          </w:p>
        </w:tc>
        <w:tc>
          <w:tcPr>
            <w:tcW w:w="544"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6" w:type="pct"/>
          </w:tcPr>
          <w:p>
            <w:pPr>
              <w:overflowPunct w:val="0"/>
              <w:spacing w:beforeLines="5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w:t>
            </w:r>
          </w:p>
        </w:tc>
        <w:tc>
          <w:tcPr>
            <w:tcW w:w="339" w:type="pct"/>
            <w:vMerge w:val="continue"/>
          </w:tcPr>
          <w:p>
            <w:pPr>
              <w:overflowPunct w:val="0"/>
              <w:jc w:val="center"/>
              <w:rPr>
                <w:rFonts w:ascii="Times New Roman" w:hAnsi="Times New Roman" w:eastAsia="仿宋_GB2312" w:cs="Times New Roman"/>
                <w:color w:val="000000"/>
                <w:kern w:val="0"/>
                <w:sz w:val="24"/>
              </w:rPr>
            </w:pPr>
          </w:p>
        </w:tc>
        <w:tc>
          <w:tcPr>
            <w:tcW w:w="764" w:type="pct"/>
            <w:vMerge w:val="continue"/>
            <w:vAlign w:val="center"/>
          </w:tcPr>
          <w:p>
            <w:pPr>
              <w:overflowPunct w:val="0"/>
              <w:jc w:val="center"/>
              <w:rPr>
                <w:rFonts w:ascii="Times New Roman" w:hAnsi="Times New Roman" w:eastAsia="仿宋_GB2312" w:cs="Times New Roman"/>
                <w:color w:val="000000"/>
                <w:kern w:val="0"/>
                <w:sz w:val="24"/>
              </w:rPr>
            </w:pPr>
          </w:p>
        </w:tc>
        <w:tc>
          <w:tcPr>
            <w:tcW w:w="847"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北白象</w:t>
            </w:r>
          </w:p>
        </w:tc>
        <w:tc>
          <w:tcPr>
            <w:tcW w:w="593"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乐琯塘河</w:t>
            </w:r>
          </w:p>
        </w:tc>
        <w:tc>
          <w:tcPr>
            <w:tcW w:w="509"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乐琯塘河</w:t>
            </w:r>
          </w:p>
        </w:tc>
        <w:tc>
          <w:tcPr>
            <w:tcW w:w="594"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Ⅳ</w:t>
            </w:r>
          </w:p>
        </w:tc>
        <w:tc>
          <w:tcPr>
            <w:tcW w:w="555"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Ⅳ</w:t>
            </w:r>
          </w:p>
        </w:tc>
        <w:tc>
          <w:tcPr>
            <w:tcW w:w="544"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6" w:type="pct"/>
          </w:tcPr>
          <w:p>
            <w:pPr>
              <w:overflowPunct w:val="0"/>
              <w:spacing w:beforeLines="5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3</w:t>
            </w:r>
          </w:p>
        </w:tc>
        <w:tc>
          <w:tcPr>
            <w:tcW w:w="339" w:type="pct"/>
            <w:vMerge w:val="continue"/>
          </w:tcPr>
          <w:p>
            <w:pPr>
              <w:tabs>
                <w:tab w:val="left" w:pos="273"/>
              </w:tabs>
              <w:overflowPunct w:val="0"/>
              <w:ind w:left="154" w:right="146" w:firstLine="8"/>
              <w:jc w:val="center"/>
              <w:rPr>
                <w:rFonts w:ascii="Times New Roman" w:hAnsi="Times New Roman" w:eastAsia="仿宋_GB2312" w:cs="Times New Roman"/>
                <w:color w:val="000000"/>
                <w:kern w:val="0"/>
                <w:sz w:val="24"/>
              </w:rPr>
            </w:pPr>
          </w:p>
        </w:tc>
        <w:tc>
          <w:tcPr>
            <w:tcW w:w="764" w:type="pct"/>
            <w:vMerge w:val="continue"/>
            <w:tcBorders>
              <w:bottom w:val="single" w:color="auto" w:sz="4" w:space="0"/>
            </w:tcBorders>
            <w:vAlign w:val="center"/>
          </w:tcPr>
          <w:p>
            <w:pPr>
              <w:overflowPunct w:val="0"/>
              <w:ind w:left="168" w:right="154" w:firstLine="7"/>
              <w:jc w:val="center"/>
              <w:rPr>
                <w:rFonts w:ascii="Times New Roman" w:hAnsi="Times New Roman" w:eastAsia="仿宋_GB2312" w:cs="Times New Roman"/>
                <w:color w:val="000000"/>
                <w:kern w:val="0"/>
                <w:sz w:val="24"/>
              </w:rPr>
            </w:pPr>
          </w:p>
        </w:tc>
        <w:tc>
          <w:tcPr>
            <w:tcW w:w="847" w:type="pct"/>
            <w:tcBorders>
              <w:bottom w:val="single" w:color="auto" w:sz="4" w:space="0"/>
            </w:tcBorders>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公利浦</w:t>
            </w:r>
          </w:p>
        </w:tc>
        <w:tc>
          <w:tcPr>
            <w:tcW w:w="593"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乐琯塘河</w:t>
            </w:r>
          </w:p>
        </w:tc>
        <w:tc>
          <w:tcPr>
            <w:tcW w:w="509"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中运河</w:t>
            </w:r>
          </w:p>
        </w:tc>
        <w:tc>
          <w:tcPr>
            <w:tcW w:w="594"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Ⅳ</w:t>
            </w:r>
          </w:p>
        </w:tc>
        <w:tc>
          <w:tcPr>
            <w:tcW w:w="555"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Ⅲ</w:t>
            </w:r>
          </w:p>
        </w:tc>
        <w:tc>
          <w:tcPr>
            <w:tcW w:w="544"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6" w:type="pct"/>
          </w:tcPr>
          <w:p>
            <w:pPr>
              <w:overflowPunct w:val="0"/>
              <w:spacing w:beforeLines="5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4</w:t>
            </w:r>
          </w:p>
        </w:tc>
        <w:tc>
          <w:tcPr>
            <w:tcW w:w="339" w:type="pct"/>
            <w:vMerge w:val="continue"/>
          </w:tcPr>
          <w:p>
            <w:pPr>
              <w:overflowPunct w:val="0"/>
              <w:jc w:val="center"/>
              <w:rPr>
                <w:rFonts w:ascii="Times New Roman" w:hAnsi="Times New Roman" w:eastAsia="仿宋_GB2312" w:cs="Times New Roman"/>
                <w:color w:val="000000"/>
                <w:kern w:val="0"/>
                <w:sz w:val="24"/>
              </w:rPr>
            </w:pPr>
          </w:p>
        </w:tc>
        <w:tc>
          <w:tcPr>
            <w:tcW w:w="764" w:type="pct"/>
            <w:vMerge w:val="restart"/>
            <w:tcBorders>
              <w:top w:val="single" w:color="auto" w:sz="4" w:space="0"/>
            </w:tcBorders>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大荆溪温州控制单元</w:t>
            </w:r>
          </w:p>
        </w:tc>
        <w:tc>
          <w:tcPr>
            <w:tcW w:w="847" w:type="pct"/>
            <w:tcBorders>
              <w:top w:val="single" w:color="auto" w:sz="4" w:space="0"/>
            </w:tcBorders>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大荆*</w:t>
            </w:r>
          </w:p>
        </w:tc>
        <w:tc>
          <w:tcPr>
            <w:tcW w:w="593" w:type="pct"/>
            <w:vAlign w:val="center"/>
          </w:tcPr>
          <w:p>
            <w:pPr>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独流入海河流</w:t>
            </w:r>
          </w:p>
        </w:tc>
        <w:tc>
          <w:tcPr>
            <w:tcW w:w="509"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大荆溪</w:t>
            </w:r>
          </w:p>
        </w:tc>
        <w:tc>
          <w:tcPr>
            <w:tcW w:w="594"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Ⅱ</w:t>
            </w:r>
          </w:p>
        </w:tc>
        <w:tc>
          <w:tcPr>
            <w:tcW w:w="555"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Ⅱ</w:t>
            </w:r>
          </w:p>
        </w:tc>
        <w:tc>
          <w:tcPr>
            <w:tcW w:w="544"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6" w:type="pct"/>
          </w:tcPr>
          <w:p>
            <w:pPr>
              <w:overflowPunct w:val="0"/>
              <w:spacing w:beforeLines="5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w:t>
            </w:r>
          </w:p>
        </w:tc>
        <w:tc>
          <w:tcPr>
            <w:tcW w:w="339" w:type="pct"/>
            <w:vMerge w:val="continue"/>
          </w:tcPr>
          <w:p>
            <w:pPr>
              <w:overflowPunct w:val="0"/>
              <w:jc w:val="center"/>
              <w:rPr>
                <w:rFonts w:ascii="Times New Roman" w:hAnsi="Times New Roman" w:eastAsia="仿宋_GB2312" w:cs="Times New Roman"/>
                <w:color w:val="000000"/>
                <w:kern w:val="0"/>
                <w:sz w:val="24"/>
              </w:rPr>
            </w:pPr>
          </w:p>
        </w:tc>
        <w:tc>
          <w:tcPr>
            <w:tcW w:w="764" w:type="pct"/>
            <w:vMerge w:val="continue"/>
            <w:tcBorders>
              <w:top w:val="nil"/>
              <w:bottom w:val="single" w:color="auto" w:sz="4" w:space="0"/>
            </w:tcBorders>
            <w:vAlign w:val="center"/>
          </w:tcPr>
          <w:p>
            <w:pPr>
              <w:overflowPunct w:val="0"/>
              <w:jc w:val="center"/>
              <w:rPr>
                <w:rFonts w:ascii="Times New Roman" w:hAnsi="Times New Roman" w:eastAsia="仿宋_GB2312" w:cs="Times New Roman"/>
                <w:color w:val="000000"/>
                <w:kern w:val="0"/>
                <w:sz w:val="24"/>
              </w:rPr>
            </w:pPr>
          </w:p>
        </w:tc>
        <w:tc>
          <w:tcPr>
            <w:tcW w:w="847" w:type="pct"/>
            <w:tcBorders>
              <w:bottom w:val="single" w:color="auto" w:sz="4" w:space="0"/>
            </w:tcBorders>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方江屿</w:t>
            </w:r>
          </w:p>
        </w:tc>
        <w:tc>
          <w:tcPr>
            <w:tcW w:w="593"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独流入海河流</w:t>
            </w:r>
          </w:p>
        </w:tc>
        <w:tc>
          <w:tcPr>
            <w:tcW w:w="509"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清江</w:t>
            </w:r>
          </w:p>
        </w:tc>
        <w:tc>
          <w:tcPr>
            <w:tcW w:w="594"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Ⅱ</w:t>
            </w:r>
          </w:p>
        </w:tc>
        <w:tc>
          <w:tcPr>
            <w:tcW w:w="555"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Ⅱ</w:t>
            </w:r>
          </w:p>
        </w:tc>
        <w:tc>
          <w:tcPr>
            <w:tcW w:w="544"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6" w:type="pct"/>
          </w:tcPr>
          <w:p>
            <w:pPr>
              <w:overflowPunct w:val="0"/>
              <w:spacing w:beforeLines="5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w:t>
            </w:r>
          </w:p>
        </w:tc>
        <w:tc>
          <w:tcPr>
            <w:tcW w:w="339" w:type="pct"/>
            <w:vMerge w:val="continue"/>
          </w:tcPr>
          <w:p>
            <w:pPr>
              <w:overflowPunct w:val="0"/>
              <w:jc w:val="center"/>
              <w:rPr>
                <w:rFonts w:ascii="Times New Roman" w:hAnsi="Times New Roman" w:eastAsia="仿宋_GB2312" w:cs="Times New Roman"/>
                <w:color w:val="000000"/>
                <w:kern w:val="0"/>
                <w:sz w:val="24"/>
              </w:rPr>
            </w:pPr>
          </w:p>
        </w:tc>
        <w:tc>
          <w:tcPr>
            <w:tcW w:w="764" w:type="pct"/>
            <w:tcBorders>
              <w:top w:val="single" w:color="auto" w:sz="4" w:space="0"/>
              <w:bottom w:val="nil"/>
            </w:tcBorders>
            <w:vAlign w:val="center"/>
          </w:tcPr>
          <w:p>
            <w:pPr>
              <w:overflowPunct w:val="0"/>
              <w:jc w:val="center"/>
              <w:rPr>
                <w:rFonts w:ascii="Times New Roman" w:hAnsi="Times New Roman" w:eastAsia="仿宋_GB2312" w:cs="Times New Roman"/>
                <w:color w:val="000000"/>
                <w:kern w:val="0"/>
                <w:sz w:val="24"/>
              </w:rPr>
            </w:pPr>
          </w:p>
        </w:tc>
        <w:tc>
          <w:tcPr>
            <w:tcW w:w="847" w:type="pct"/>
            <w:tcBorders>
              <w:top w:val="single" w:color="auto" w:sz="4" w:space="0"/>
            </w:tcBorders>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蒲岐*</w:t>
            </w:r>
          </w:p>
        </w:tc>
        <w:tc>
          <w:tcPr>
            <w:tcW w:w="593"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东干河</w:t>
            </w:r>
          </w:p>
        </w:tc>
        <w:tc>
          <w:tcPr>
            <w:tcW w:w="509"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东干河</w:t>
            </w:r>
          </w:p>
        </w:tc>
        <w:tc>
          <w:tcPr>
            <w:tcW w:w="594"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Ⅲ</w:t>
            </w:r>
          </w:p>
        </w:tc>
        <w:tc>
          <w:tcPr>
            <w:tcW w:w="555"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Ⅲ</w:t>
            </w:r>
          </w:p>
        </w:tc>
        <w:tc>
          <w:tcPr>
            <w:tcW w:w="544"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6" w:type="pct"/>
          </w:tcPr>
          <w:p>
            <w:pPr>
              <w:overflowPunct w:val="0"/>
              <w:spacing w:beforeLines="5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7</w:t>
            </w:r>
          </w:p>
        </w:tc>
        <w:tc>
          <w:tcPr>
            <w:tcW w:w="339" w:type="pct"/>
            <w:vMerge w:val="continue"/>
          </w:tcPr>
          <w:p>
            <w:pPr>
              <w:overflowPunct w:val="0"/>
              <w:jc w:val="center"/>
              <w:rPr>
                <w:rFonts w:ascii="Times New Roman" w:hAnsi="Times New Roman" w:eastAsia="仿宋_GB2312" w:cs="Times New Roman"/>
                <w:color w:val="000000"/>
                <w:kern w:val="0"/>
                <w:sz w:val="24"/>
              </w:rPr>
            </w:pPr>
          </w:p>
        </w:tc>
        <w:tc>
          <w:tcPr>
            <w:tcW w:w="764" w:type="pct"/>
            <w:tcBorders>
              <w:top w:val="nil"/>
              <w:bottom w:val="nil"/>
            </w:tcBorders>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虹桥塘河温州控制单元</w:t>
            </w:r>
          </w:p>
        </w:tc>
        <w:tc>
          <w:tcPr>
            <w:tcW w:w="847"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淡溪水库1</w:t>
            </w:r>
          </w:p>
        </w:tc>
        <w:tc>
          <w:tcPr>
            <w:tcW w:w="593"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独流入海河流</w:t>
            </w:r>
          </w:p>
        </w:tc>
        <w:tc>
          <w:tcPr>
            <w:tcW w:w="509"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东干河</w:t>
            </w:r>
          </w:p>
        </w:tc>
        <w:tc>
          <w:tcPr>
            <w:tcW w:w="594"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Ⅱ</w:t>
            </w:r>
          </w:p>
        </w:tc>
        <w:tc>
          <w:tcPr>
            <w:tcW w:w="555"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Ⅱ</w:t>
            </w:r>
          </w:p>
        </w:tc>
        <w:tc>
          <w:tcPr>
            <w:tcW w:w="544"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256" w:type="pct"/>
          </w:tcPr>
          <w:p>
            <w:pPr>
              <w:overflowPunct w:val="0"/>
              <w:spacing w:beforeLines="5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w:t>
            </w:r>
          </w:p>
        </w:tc>
        <w:tc>
          <w:tcPr>
            <w:tcW w:w="339" w:type="pct"/>
            <w:vMerge w:val="continue"/>
          </w:tcPr>
          <w:p>
            <w:pPr>
              <w:overflowPunct w:val="0"/>
              <w:jc w:val="center"/>
              <w:rPr>
                <w:rFonts w:ascii="Times New Roman" w:hAnsi="Times New Roman" w:eastAsia="仿宋_GB2312" w:cs="Times New Roman"/>
                <w:color w:val="000000"/>
                <w:kern w:val="0"/>
                <w:sz w:val="24"/>
              </w:rPr>
            </w:pPr>
          </w:p>
        </w:tc>
        <w:tc>
          <w:tcPr>
            <w:tcW w:w="764" w:type="pct"/>
            <w:tcBorders>
              <w:top w:val="nil"/>
            </w:tcBorders>
            <w:vAlign w:val="center"/>
          </w:tcPr>
          <w:p>
            <w:pPr>
              <w:overflowPunct w:val="0"/>
              <w:jc w:val="center"/>
              <w:rPr>
                <w:rFonts w:ascii="Times New Roman" w:hAnsi="Times New Roman" w:eastAsia="仿宋_GB2312" w:cs="Times New Roman"/>
                <w:color w:val="000000"/>
                <w:kern w:val="0"/>
                <w:sz w:val="24"/>
              </w:rPr>
            </w:pPr>
          </w:p>
        </w:tc>
        <w:tc>
          <w:tcPr>
            <w:tcW w:w="847"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淡溪水库2</w:t>
            </w:r>
          </w:p>
        </w:tc>
        <w:tc>
          <w:tcPr>
            <w:tcW w:w="593"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独流入海河流</w:t>
            </w:r>
          </w:p>
        </w:tc>
        <w:tc>
          <w:tcPr>
            <w:tcW w:w="509"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东干河</w:t>
            </w:r>
          </w:p>
        </w:tc>
        <w:tc>
          <w:tcPr>
            <w:tcW w:w="594"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Ⅱ</w:t>
            </w:r>
          </w:p>
        </w:tc>
        <w:tc>
          <w:tcPr>
            <w:tcW w:w="555"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Ⅱ</w:t>
            </w:r>
          </w:p>
        </w:tc>
        <w:tc>
          <w:tcPr>
            <w:tcW w:w="544" w:type="pct"/>
            <w:vAlign w:val="center"/>
          </w:tcPr>
          <w:p>
            <w:pPr>
              <w:overflowPunct w:val="0"/>
              <w:jc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Ⅱ</w:t>
            </w:r>
          </w:p>
        </w:tc>
      </w:tr>
    </w:tbl>
    <w:p>
      <w:pPr>
        <w:widowControl/>
        <w:tabs>
          <w:tab w:val="left" w:pos="6720"/>
        </w:tabs>
        <w:kinsoku w:val="0"/>
        <w:autoSpaceDE w:val="0"/>
        <w:autoSpaceDN w:val="0"/>
        <w:adjustRightInd w:val="0"/>
        <w:snapToGrid w:val="0"/>
        <w:spacing w:line="360" w:lineRule="auto"/>
        <w:ind w:firstLine="480" w:firstLineChars="200"/>
        <w:textAlignment w:val="baseline"/>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注：*为水十条考核断面，北白象为县控断面，</w:t>
      </w:r>
      <w:r>
        <w:rPr>
          <w:rFonts w:hint="eastAsia" w:ascii="Times New Roman" w:hAnsi="Times New Roman" w:eastAsia="仿宋_GB2312" w:cs="Times New Roman"/>
          <w:color w:val="000000"/>
          <w:kern w:val="0"/>
          <w:sz w:val="24"/>
        </w:rPr>
        <w:t>其他均为</w:t>
      </w:r>
      <w:r>
        <w:rPr>
          <w:rFonts w:ascii="Times New Roman" w:hAnsi="Times New Roman" w:eastAsia="仿宋_GB2312" w:cs="Times New Roman"/>
          <w:color w:val="000000"/>
          <w:kern w:val="0"/>
          <w:sz w:val="24"/>
        </w:rPr>
        <w:t>市级以上断面。</w:t>
      </w:r>
    </w:p>
    <w:p>
      <w:pPr>
        <w:widowControl/>
        <w:tabs>
          <w:tab w:val="left" w:pos="6720"/>
        </w:tabs>
        <w:kinsoku w:val="0"/>
        <w:autoSpaceDE w:val="0"/>
        <w:autoSpaceDN w:val="0"/>
        <w:adjustRightInd w:val="0"/>
        <w:snapToGrid w:val="0"/>
        <w:spacing w:line="360" w:lineRule="auto"/>
        <w:ind w:firstLine="640" w:firstLineChars="200"/>
        <w:textAlignment w:val="baseline"/>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【空气质量底线】</w:t>
      </w:r>
    </w:p>
    <w:p>
      <w:pPr>
        <w:widowControl/>
        <w:tabs>
          <w:tab w:val="left" w:pos="6720"/>
        </w:tabs>
        <w:kinsoku w:val="0"/>
        <w:autoSpaceDE w:val="0"/>
        <w:autoSpaceDN w:val="0"/>
        <w:adjustRightInd w:val="0"/>
        <w:snapToGrid w:val="0"/>
        <w:spacing w:line="360" w:lineRule="auto"/>
        <w:ind w:firstLine="640" w:firstLineChars="200"/>
        <w:textAlignment w:val="baseline"/>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到2025年，PM2.5年均浓度达到27微克/立方米；到2035年，全市大气环境质量持续改善。</w:t>
      </w:r>
    </w:p>
    <w:p>
      <w:pPr>
        <w:widowControl/>
        <w:tabs>
          <w:tab w:val="left" w:pos="6720"/>
        </w:tabs>
        <w:kinsoku w:val="0"/>
        <w:autoSpaceDE w:val="0"/>
        <w:autoSpaceDN w:val="0"/>
        <w:adjustRightInd w:val="0"/>
        <w:snapToGrid w:val="0"/>
        <w:spacing w:line="360" w:lineRule="auto"/>
        <w:ind w:firstLine="640" w:firstLineChars="200"/>
        <w:textAlignment w:val="baseline"/>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【土壤环境质量底线】</w:t>
      </w:r>
    </w:p>
    <w:p>
      <w:pPr>
        <w:overflowPunct w:val="0"/>
        <w:ind w:firstLine="54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到2025年，土壤环境质量稳中向好，受污染耕地安全利用率、污染地块安全利用率均达到93%以上。到2035年，土壤环境质量明显改善，受污染耕地安全利用率和</w:t>
      </w:r>
      <w:r>
        <w:rPr>
          <w:rFonts w:hint="eastAsia" w:ascii="Times New Roman" w:hAnsi="Times New Roman" w:eastAsia="仿宋_GB2312" w:cs="Times New Roman"/>
          <w:color w:val="000000"/>
          <w:kern w:val="0"/>
          <w:sz w:val="32"/>
          <w:szCs w:val="32"/>
        </w:rPr>
        <w:t>重点建设用地安全利用率</w:t>
      </w:r>
      <w:r>
        <w:rPr>
          <w:rFonts w:ascii="Times New Roman" w:hAnsi="Times New Roman" w:eastAsia="仿宋_GB2312" w:cs="Times New Roman"/>
          <w:color w:val="000000"/>
          <w:kern w:val="0"/>
          <w:sz w:val="32"/>
          <w:szCs w:val="32"/>
        </w:rPr>
        <w:t>均达到95%以上，生态系统基本实现良性循环。</w:t>
      </w:r>
    </w:p>
    <w:p>
      <w:pPr>
        <w:pStyle w:val="3"/>
        <w:numPr>
          <w:ilvl w:val="0"/>
          <w:numId w:val="0"/>
        </w:numPr>
        <w:spacing w:line="360" w:lineRule="auto"/>
        <w:ind w:left="575" w:hanging="575"/>
        <w:rPr>
          <w:rFonts w:ascii="Times New Roman" w:hAnsi="Times New Roman" w:eastAsia="仿宋_GB2312" w:cs="Times New Roman"/>
          <w:b w:val="0"/>
          <w:color w:val="000000"/>
          <w:kern w:val="0"/>
          <w:szCs w:val="32"/>
        </w:rPr>
      </w:pPr>
      <w:bookmarkStart w:id="6" w:name="_Toc149296751"/>
      <w:r>
        <w:rPr>
          <w:rFonts w:hint="eastAsia" w:ascii="Times New Roman" w:hAnsi="Times New Roman" w:eastAsia="仿宋_GB2312" w:cs="Times New Roman"/>
          <w:b w:val="0"/>
          <w:color w:val="000000"/>
          <w:kern w:val="0"/>
          <w:szCs w:val="32"/>
        </w:rPr>
        <w:t>（3）资源利用上线</w:t>
      </w:r>
      <w:bookmarkEnd w:id="6"/>
    </w:p>
    <w:p>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到2025年，能源绿色转型成效显著，非化石能源占能源消费比重大幅提高，单位能源消费碳排放持续下降，单位GDP能耗累计下降完成温州市下达目标。到2035年，全面建成清洁低碳、安全高效的现代能源体系，非化石能源发电成为主体能源，能源消费碳排放系数显著降低，碳排放总量达峰后稳中有降。</w:t>
      </w:r>
      <w:bookmarkStart w:id="7" w:name="_Toc19238"/>
      <w:bookmarkStart w:id="8" w:name="_Toc17173"/>
      <w:bookmarkStart w:id="9" w:name="_Toc8702"/>
    </w:p>
    <w:bookmarkEnd w:id="7"/>
    <w:bookmarkEnd w:id="8"/>
    <w:bookmarkEnd w:id="9"/>
    <w:p>
      <w:pPr>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到2030年，全</w:t>
      </w:r>
      <w:r>
        <w:rPr>
          <w:rFonts w:hint="eastAsia" w:ascii="Times New Roman" w:hAnsi="Times New Roman" w:eastAsia="仿宋_GB2312" w:cs="Times New Roman"/>
          <w:color w:val="000000"/>
          <w:kern w:val="0"/>
          <w:sz w:val="32"/>
          <w:szCs w:val="32"/>
        </w:rPr>
        <w:t>市</w:t>
      </w:r>
      <w:r>
        <w:rPr>
          <w:rFonts w:ascii="Times New Roman" w:hAnsi="Times New Roman" w:eastAsia="仿宋_GB2312" w:cs="Times New Roman"/>
          <w:color w:val="000000"/>
          <w:kern w:val="0"/>
          <w:sz w:val="32"/>
          <w:szCs w:val="32"/>
        </w:rPr>
        <w:t>年用水总量控制在</w:t>
      </w:r>
      <w:r>
        <w:rPr>
          <w:rFonts w:hint="eastAsia" w:ascii="Times New Roman" w:hAnsi="Times New Roman" w:eastAsia="仿宋_GB2312" w:cs="Times New Roman"/>
          <w:color w:val="000000"/>
          <w:kern w:val="0"/>
          <w:sz w:val="32"/>
          <w:szCs w:val="32"/>
        </w:rPr>
        <w:t>3.48</w:t>
      </w:r>
      <w:r>
        <w:rPr>
          <w:rFonts w:ascii="Times New Roman" w:hAnsi="Times New Roman" w:eastAsia="仿宋_GB2312" w:cs="Times New Roman"/>
          <w:color w:val="000000"/>
          <w:kern w:val="0"/>
          <w:sz w:val="32"/>
          <w:szCs w:val="32"/>
        </w:rPr>
        <w:t>亿立方米以内，</w:t>
      </w:r>
      <w:r>
        <w:rPr>
          <w:rFonts w:hint="eastAsia" w:ascii="Times New Roman" w:hAnsi="Times New Roman" w:eastAsia="仿宋_GB2312" w:cs="Times New Roman"/>
          <w:color w:val="000000"/>
          <w:kern w:val="0"/>
          <w:sz w:val="32"/>
          <w:szCs w:val="32"/>
        </w:rPr>
        <w:t>万元国内生产总值用水量、万元工业增加值用水量比2020年均降低20%以上</w:t>
      </w:r>
      <w:r>
        <w:rPr>
          <w:rFonts w:ascii="Times New Roman" w:hAnsi="Times New Roman" w:eastAsia="仿宋_GB2312" w:cs="Times New Roman"/>
          <w:color w:val="000000"/>
          <w:kern w:val="0"/>
          <w:sz w:val="32"/>
          <w:szCs w:val="32"/>
        </w:rPr>
        <w:t>。</w:t>
      </w:r>
    </w:p>
    <w:p>
      <w:pPr>
        <w:pStyle w:val="18"/>
        <w:spacing w:line="360" w:lineRule="auto"/>
        <w:ind w:firstLine="640"/>
        <w:rPr>
          <w:rFonts w:ascii="Times New Roman" w:hAnsi="Times New Roman" w:eastAsia="仿宋_GB2312" w:cs="Times New Roman"/>
          <w:color w:val="000000"/>
          <w:kern w:val="0"/>
          <w:sz w:val="32"/>
          <w:szCs w:val="32"/>
        </w:rPr>
      </w:pPr>
      <w:bookmarkStart w:id="10" w:name="_Ref530043196"/>
      <w:r>
        <w:rPr>
          <w:rFonts w:ascii="Times New Roman" w:hAnsi="Times New Roman" w:eastAsia="仿宋_GB2312" w:cs="Times New Roman"/>
          <w:color w:val="000000"/>
          <w:kern w:val="0"/>
          <w:sz w:val="32"/>
          <w:szCs w:val="32"/>
        </w:rPr>
        <w:t>根据《</w:t>
      </w:r>
      <w:r>
        <w:rPr>
          <w:rFonts w:hint="eastAsia" w:ascii="Times New Roman" w:hAnsi="Times New Roman" w:eastAsia="仿宋_GB2312" w:cs="Times New Roman"/>
          <w:color w:val="000000"/>
          <w:kern w:val="0"/>
          <w:sz w:val="32"/>
          <w:szCs w:val="32"/>
        </w:rPr>
        <w:t>乐清市</w:t>
      </w:r>
      <w:r>
        <w:rPr>
          <w:rFonts w:ascii="Times New Roman" w:hAnsi="Times New Roman" w:eastAsia="仿宋_GB2312" w:cs="Times New Roman"/>
          <w:color w:val="000000"/>
          <w:kern w:val="0"/>
          <w:sz w:val="32"/>
          <w:szCs w:val="32"/>
        </w:rPr>
        <w:t>三区三线划定成果》，</w:t>
      </w:r>
      <w:r>
        <w:rPr>
          <w:rFonts w:hint="eastAsia" w:ascii="Times New Roman" w:hAnsi="Times New Roman" w:eastAsia="仿宋_GB2312" w:cs="Times New Roman"/>
          <w:color w:val="000000"/>
          <w:kern w:val="0"/>
          <w:sz w:val="32"/>
          <w:szCs w:val="32"/>
        </w:rPr>
        <w:t>乐清市</w:t>
      </w:r>
      <w:r>
        <w:rPr>
          <w:rFonts w:ascii="Times New Roman" w:hAnsi="Times New Roman" w:eastAsia="仿宋_GB2312" w:cs="Times New Roman"/>
          <w:color w:val="000000"/>
          <w:kern w:val="0"/>
          <w:sz w:val="32"/>
          <w:szCs w:val="32"/>
        </w:rPr>
        <w:t>划定永久基本农田</w:t>
      </w:r>
      <w:r>
        <w:rPr>
          <w:rFonts w:hint="eastAsia" w:ascii="Times New Roman" w:hAnsi="Times New Roman" w:eastAsia="仿宋_GB2312" w:cs="Times New Roman"/>
          <w:color w:val="000000"/>
          <w:kern w:val="0"/>
          <w:sz w:val="32"/>
          <w:szCs w:val="32"/>
        </w:rPr>
        <w:t>164平方千米</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陆域</w:t>
      </w:r>
      <w:r>
        <w:rPr>
          <w:rFonts w:ascii="Times New Roman" w:hAnsi="Times New Roman" w:eastAsia="仿宋_GB2312" w:cs="Times New Roman"/>
          <w:color w:val="000000"/>
          <w:kern w:val="0"/>
          <w:sz w:val="32"/>
          <w:szCs w:val="32"/>
        </w:rPr>
        <w:t>生态保护红线</w:t>
      </w:r>
      <w:r>
        <w:rPr>
          <w:rFonts w:hint="eastAsia" w:ascii="Times New Roman" w:hAnsi="Times New Roman" w:eastAsia="仿宋_GB2312" w:cs="Times New Roman"/>
          <w:color w:val="000000"/>
          <w:kern w:val="0"/>
          <w:sz w:val="32"/>
          <w:szCs w:val="32"/>
        </w:rPr>
        <w:t>204.15平方千米、海域生态保护红线34.38平方千米</w:t>
      </w:r>
      <w:r>
        <w:rPr>
          <w:rFonts w:ascii="Times New Roman" w:hAnsi="Times New Roman" w:eastAsia="仿宋_GB2312" w:cs="Times New Roman"/>
          <w:color w:val="000000"/>
          <w:kern w:val="0"/>
          <w:sz w:val="32"/>
          <w:szCs w:val="32"/>
        </w:rPr>
        <w:t>，城镇开发边界</w:t>
      </w:r>
      <w:r>
        <w:rPr>
          <w:rFonts w:hint="eastAsia" w:ascii="Times New Roman" w:hAnsi="Times New Roman" w:eastAsia="仿宋_GB2312" w:cs="Times New Roman"/>
          <w:color w:val="000000"/>
          <w:kern w:val="0"/>
          <w:sz w:val="32"/>
          <w:szCs w:val="32"/>
        </w:rPr>
        <w:t>94.09平方千米</w:t>
      </w:r>
      <w:r>
        <w:rPr>
          <w:rFonts w:ascii="Times New Roman" w:hAnsi="Times New Roman" w:eastAsia="仿宋_GB2312" w:cs="Times New Roman"/>
          <w:color w:val="000000"/>
          <w:kern w:val="0"/>
          <w:sz w:val="32"/>
          <w:szCs w:val="32"/>
        </w:rPr>
        <w:t>。</w:t>
      </w:r>
      <w:bookmarkEnd w:id="10"/>
    </w:p>
    <w:p>
      <w:pPr>
        <w:pStyle w:val="3"/>
        <w:numPr>
          <w:ilvl w:val="0"/>
          <w:numId w:val="0"/>
        </w:numPr>
        <w:spacing w:line="360" w:lineRule="auto"/>
        <w:ind w:left="575" w:hanging="575"/>
        <w:rPr>
          <w:rFonts w:ascii="Times New Roman" w:hAnsi="Times New Roman" w:eastAsia="仿宋_GB2312" w:cs="Times New Roman"/>
          <w:b w:val="0"/>
          <w:color w:val="000000"/>
          <w:kern w:val="0"/>
          <w:szCs w:val="32"/>
        </w:rPr>
      </w:pPr>
      <w:bookmarkStart w:id="11" w:name="_Toc149296754"/>
      <w:r>
        <w:rPr>
          <w:rFonts w:hint="eastAsia" w:ascii="Times New Roman" w:hAnsi="Times New Roman" w:eastAsia="仿宋_GB2312" w:cs="Times New Roman"/>
          <w:b w:val="0"/>
          <w:color w:val="000000"/>
          <w:kern w:val="0"/>
          <w:szCs w:val="32"/>
        </w:rPr>
        <w:t>（4）生态环境管控单元划定及更新情况</w:t>
      </w:r>
      <w:bookmarkEnd w:id="11"/>
    </w:p>
    <w:p>
      <w:pPr>
        <w:kinsoku w:val="0"/>
        <w:overflowPunct w:val="0"/>
        <w:autoSpaceDE w:val="0"/>
        <w:autoSpaceDN w:val="0"/>
        <w:adjustRightInd w:val="0"/>
        <w:snapToGrid w:val="0"/>
        <w:spacing w:line="360" w:lineRule="auto"/>
        <w:ind w:firstLine="640" w:firstLineChars="200"/>
        <w:textAlignment w:val="baseline"/>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通过本次更新，乐清市共划定陆域环境管控单元</w:t>
      </w:r>
      <w:r>
        <w:rPr>
          <w:rFonts w:hint="eastAsia" w:ascii="Times New Roman" w:hAnsi="Times New Roman" w:eastAsia="仿宋_GB2312" w:cs="Times New Roman"/>
          <w:color w:val="000000"/>
          <w:kern w:val="0"/>
          <w:sz w:val="32"/>
          <w:szCs w:val="32"/>
        </w:rPr>
        <w:t>43</w:t>
      </w:r>
      <w:r>
        <w:rPr>
          <w:rFonts w:ascii="Times New Roman" w:hAnsi="Times New Roman" w:eastAsia="仿宋_GB2312" w:cs="Times New Roman"/>
          <w:color w:val="000000"/>
          <w:kern w:val="0"/>
          <w:sz w:val="32"/>
          <w:szCs w:val="32"/>
        </w:rPr>
        <w:t>个。陆域优先保护单元1</w:t>
      </w:r>
      <w:r>
        <w:rPr>
          <w:rFonts w:hint="eastAsia" w:ascii="Times New Roman" w:hAnsi="Times New Roman" w:eastAsia="仿宋_GB2312" w:cs="Times New Roman"/>
          <w:color w:val="000000"/>
          <w:kern w:val="0"/>
          <w:sz w:val="32"/>
          <w:szCs w:val="32"/>
        </w:rPr>
        <w:t>1</w:t>
      </w:r>
      <w:r>
        <w:rPr>
          <w:rFonts w:ascii="Times New Roman" w:hAnsi="Times New Roman" w:eastAsia="仿宋_GB2312" w:cs="Times New Roman"/>
          <w:color w:val="000000"/>
          <w:kern w:val="0"/>
          <w:sz w:val="32"/>
          <w:szCs w:val="32"/>
        </w:rPr>
        <w:t>个，占全市陆域总面积的</w:t>
      </w:r>
      <w:r>
        <w:rPr>
          <w:rFonts w:hint="eastAsia" w:ascii="Times New Roman" w:hAnsi="Times New Roman" w:eastAsia="仿宋_GB2312" w:cs="Times New Roman"/>
          <w:color w:val="000000"/>
          <w:kern w:val="0"/>
          <w:sz w:val="32"/>
          <w:szCs w:val="32"/>
        </w:rPr>
        <w:t>26.63</w:t>
      </w:r>
      <w:r>
        <w:rPr>
          <w:rFonts w:ascii="Times New Roman" w:hAnsi="Times New Roman" w:eastAsia="仿宋_GB2312" w:cs="Times New Roman"/>
          <w:color w:val="000000"/>
          <w:kern w:val="0"/>
          <w:sz w:val="32"/>
          <w:szCs w:val="32"/>
        </w:rPr>
        <w:t>%，主要为风景名胜区、饮用水源保护区、生态公益林等重要保护地以及生态功能较重要的地区。重点管控单元</w:t>
      </w:r>
      <w:r>
        <w:rPr>
          <w:rFonts w:hint="eastAsia" w:ascii="Times New Roman" w:hAnsi="Times New Roman" w:eastAsia="仿宋_GB2312" w:cs="Times New Roman"/>
          <w:color w:val="000000"/>
          <w:kern w:val="0"/>
          <w:sz w:val="32"/>
          <w:szCs w:val="32"/>
        </w:rPr>
        <w:t>31</w:t>
      </w:r>
      <w:r>
        <w:rPr>
          <w:rFonts w:ascii="Times New Roman" w:hAnsi="Times New Roman" w:eastAsia="仿宋_GB2312" w:cs="Times New Roman"/>
          <w:color w:val="000000"/>
          <w:kern w:val="0"/>
          <w:sz w:val="32"/>
          <w:szCs w:val="32"/>
        </w:rPr>
        <w:t>个，占全市陆域总面积的</w:t>
      </w:r>
      <w:r>
        <w:rPr>
          <w:rFonts w:hint="eastAsia" w:ascii="Times New Roman" w:hAnsi="Times New Roman" w:eastAsia="仿宋_GB2312" w:cs="Times New Roman"/>
          <w:color w:val="000000"/>
          <w:kern w:val="0"/>
          <w:sz w:val="32"/>
          <w:szCs w:val="32"/>
        </w:rPr>
        <w:t>8.93</w:t>
      </w:r>
      <w:r>
        <w:rPr>
          <w:rFonts w:ascii="Times New Roman" w:hAnsi="Times New Roman" w:eastAsia="仿宋_GB2312" w:cs="Times New Roman"/>
          <w:color w:val="000000"/>
          <w:kern w:val="0"/>
          <w:sz w:val="32"/>
          <w:szCs w:val="32"/>
        </w:rPr>
        <w:t>%，其中，产业集聚重点管控单元</w:t>
      </w:r>
      <w:r>
        <w:rPr>
          <w:rFonts w:hint="eastAsia" w:ascii="Times New Roman" w:hAnsi="Times New Roman" w:eastAsia="仿宋_GB2312" w:cs="Times New Roman"/>
          <w:color w:val="000000"/>
          <w:kern w:val="0"/>
          <w:sz w:val="32"/>
          <w:szCs w:val="32"/>
        </w:rPr>
        <w:t>11</w:t>
      </w:r>
      <w:r>
        <w:rPr>
          <w:rFonts w:ascii="Times New Roman" w:hAnsi="Times New Roman" w:eastAsia="仿宋_GB2312" w:cs="Times New Roman"/>
          <w:color w:val="000000"/>
          <w:kern w:val="0"/>
          <w:sz w:val="32"/>
          <w:szCs w:val="32"/>
        </w:rPr>
        <w:t>个，主要为工业发展集中区域；城镇生活重点管控单元</w:t>
      </w:r>
      <w:r>
        <w:rPr>
          <w:rFonts w:hint="eastAsia" w:ascii="Times New Roman" w:hAnsi="Times New Roman" w:eastAsia="仿宋_GB2312" w:cs="Times New Roman"/>
          <w:color w:val="000000"/>
          <w:kern w:val="0"/>
          <w:sz w:val="32"/>
          <w:szCs w:val="32"/>
        </w:rPr>
        <w:t>20</w:t>
      </w:r>
      <w:r>
        <w:rPr>
          <w:rFonts w:ascii="Times New Roman" w:hAnsi="Times New Roman" w:eastAsia="仿宋_GB2312" w:cs="Times New Roman"/>
          <w:color w:val="000000"/>
          <w:kern w:val="0"/>
          <w:sz w:val="32"/>
          <w:szCs w:val="32"/>
        </w:rPr>
        <w:t>个，主要为城镇建设集中区域。陆域一般管控单元1个，占全市陆域总面积的</w:t>
      </w:r>
      <w:r>
        <w:rPr>
          <w:rFonts w:hint="eastAsia" w:ascii="Times New Roman" w:hAnsi="Times New Roman" w:eastAsia="仿宋_GB2312" w:cs="Times New Roman"/>
          <w:color w:val="000000"/>
          <w:kern w:val="0"/>
          <w:sz w:val="32"/>
          <w:szCs w:val="32"/>
        </w:rPr>
        <w:t>64.45</w:t>
      </w:r>
      <w:r>
        <w:rPr>
          <w:rFonts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rPr>
        <w:t>优先保护单元面积增加是由于三区三线划定生态红线面积增大；产业集聚类单元减小，主要由于经开区、乐清湾临港产业工业区内基本农田的调出不得不减小。</w:t>
      </w:r>
    </w:p>
    <w:p>
      <w:pPr>
        <w:pStyle w:val="13"/>
        <w:spacing w:line="360" w:lineRule="auto"/>
        <w:ind w:firstLine="0"/>
        <w:jc w:val="center"/>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乐清市环境管控单元调整</w:t>
      </w:r>
      <w:r>
        <w:rPr>
          <w:rFonts w:hint="eastAsia" w:ascii="Times New Roman" w:hAnsi="Times New Roman" w:eastAsia="仿宋_GB2312" w:cs="Times New Roman"/>
          <w:color w:val="000000"/>
          <w:sz w:val="32"/>
          <w:szCs w:val="32"/>
        </w:rPr>
        <w:t>前后</w:t>
      </w:r>
      <w:r>
        <w:rPr>
          <w:rFonts w:ascii="Times New Roman" w:hAnsi="Times New Roman" w:eastAsia="仿宋_GB2312" w:cs="Times New Roman"/>
          <w:color w:val="000000"/>
          <w:sz w:val="32"/>
          <w:szCs w:val="32"/>
        </w:rPr>
        <w:t>对比表</w:t>
      </w:r>
    </w:p>
    <w:tbl>
      <w:tblPr>
        <w:tblStyle w:val="14"/>
        <w:tblW w:w="5000" w:type="pct"/>
        <w:tblInd w:w="0" w:type="dxa"/>
        <w:tblLayout w:type="autofit"/>
        <w:tblCellMar>
          <w:top w:w="0" w:type="dxa"/>
          <w:left w:w="108" w:type="dxa"/>
          <w:bottom w:w="0" w:type="dxa"/>
          <w:right w:w="108" w:type="dxa"/>
        </w:tblCellMar>
      </w:tblPr>
      <w:tblGrid>
        <w:gridCol w:w="729"/>
        <w:gridCol w:w="943"/>
        <w:gridCol w:w="777"/>
        <w:gridCol w:w="1345"/>
        <w:gridCol w:w="1241"/>
        <w:gridCol w:w="799"/>
        <w:gridCol w:w="1408"/>
        <w:gridCol w:w="1280"/>
      </w:tblGrid>
      <w:tr>
        <w:tblPrEx>
          <w:tblCellMar>
            <w:top w:w="0" w:type="dxa"/>
            <w:left w:w="108" w:type="dxa"/>
            <w:bottom w:w="0" w:type="dxa"/>
            <w:right w:w="108" w:type="dxa"/>
          </w:tblCellMar>
        </w:tblPrEx>
        <w:trPr>
          <w:trHeight w:val="305" w:hRule="atLeast"/>
        </w:trPr>
        <w:tc>
          <w:tcPr>
            <w:tcW w:w="981" w:type="pct"/>
            <w:gridSpan w:val="2"/>
            <w:vMerge w:val="restart"/>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单元类别</w:t>
            </w:r>
          </w:p>
        </w:tc>
        <w:tc>
          <w:tcPr>
            <w:tcW w:w="1973" w:type="pct"/>
            <w:gridSpan w:val="3"/>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调整前</w:t>
            </w:r>
            <w:r>
              <w:rPr>
                <w:rFonts w:hint="eastAsia" w:ascii="Times New Roman" w:hAnsi="Times New Roman" w:eastAsia="仿宋_GB2312" w:cs="Times New Roman"/>
                <w:color w:val="000000"/>
                <w:kern w:val="0"/>
                <w:sz w:val="24"/>
              </w:rPr>
              <w:t>（2020年版）</w:t>
            </w:r>
          </w:p>
        </w:tc>
        <w:tc>
          <w:tcPr>
            <w:tcW w:w="2046" w:type="pct"/>
            <w:gridSpan w:val="3"/>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调整后</w:t>
            </w:r>
          </w:p>
        </w:tc>
      </w:tr>
      <w:tr>
        <w:tblPrEx>
          <w:tblCellMar>
            <w:top w:w="0" w:type="dxa"/>
            <w:left w:w="108" w:type="dxa"/>
            <w:bottom w:w="0" w:type="dxa"/>
            <w:right w:w="108" w:type="dxa"/>
          </w:tblCellMar>
        </w:tblPrEx>
        <w:trPr>
          <w:trHeight w:val="635" w:hRule="atLeast"/>
        </w:trPr>
        <w:tc>
          <w:tcPr>
            <w:tcW w:w="981" w:type="pct"/>
            <w:gridSpan w:val="2"/>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Times New Roman" w:hAnsi="Times New Roman" w:eastAsia="仿宋_GB2312" w:cs="Times New Roman"/>
                <w:color w:val="000000"/>
                <w:kern w:val="0"/>
                <w:sz w:val="24"/>
              </w:rPr>
            </w:pPr>
          </w:p>
        </w:tc>
        <w:tc>
          <w:tcPr>
            <w:tcW w:w="456" w:type="pct"/>
            <w:tcBorders>
              <w:top w:val="nil"/>
              <w:left w:val="nil"/>
              <w:bottom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个数</w:t>
            </w:r>
          </w:p>
        </w:tc>
        <w:tc>
          <w:tcPr>
            <w:tcW w:w="789" w:type="pct"/>
            <w:tcBorders>
              <w:top w:val="nil"/>
              <w:left w:val="nil"/>
              <w:bottom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面积（km2）</w:t>
            </w:r>
          </w:p>
        </w:tc>
        <w:tc>
          <w:tcPr>
            <w:tcW w:w="728" w:type="pct"/>
            <w:tcBorders>
              <w:top w:val="nil"/>
              <w:left w:val="nil"/>
              <w:bottom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面积占比（%）</w:t>
            </w:r>
          </w:p>
        </w:tc>
        <w:tc>
          <w:tcPr>
            <w:tcW w:w="469" w:type="pct"/>
            <w:tcBorders>
              <w:top w:val="nil"/>
              <w:left w:val="nil"/>
              <w:bottom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个数</w:t>
            </w:r>
          </w:p>
        </w:tc>
        <w:tc>
          <w:tcPr>
            <w:tcW w:w="826" w:type="pct"/>
            <w:tcBorders>
              <w:top w:val="nil"/>
              <w:left w:val="nil"/>
              <w:bottom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面积（km2）</w:t>
            </w:r>
          </w:p>
        </w:tc>
        <w:tc>
          <w:tcPr>
            <w:tcW w:w="751" w:type="pct"/>
            <w:tcBorders>
              <w:top w:val="nil"/>
              <w:left w:val="nil"/>
              <w:bottom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面积占比（%）</w:t>
            </w:r>
          </w:p>
        </w:tc>
      </w:tr>
      <w:tr>
        <w:tblPrEx>
          <w:tblCellMar>
            <w:top w:w="0" w:type="dxa"/>
            <w:left w:w="108" w:type="dxa"/>
            <w:bottom w:w="0" w:type="dxa"/>
            <w:right w:w="108" w:type="dxa"/>
          </w:tblCellMar>
        </w:tblPrEx>
        <w:trPr>
          <w:trHeight w:val="560" w:hRule="atLeast"/>
        </w:trPr>
        <w:tc>
          <w:tcPr>
            <w:tcW w:w="981" w:type="pct"/>
            <w:gridSpan w:val="2"/>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优先保护单元</w:t>
            </w:r>
          </w:p>
        </w:tc>
        <w:tc>
          <w:tcPr>
            <w:tcW w:w="456" w:type="pct"/>
            <w:tcBorders>
              <w:top w:val="nil"/>
              <w:left w:val="nil"/>
              <w:bottom w:val="single" w:color="000000" w:sz="8" w:space="0"/>
              <w:right w:val="single" w:color="000000" w:sz="8" w:space="0"/>
            </w:tcBorders>
            <w:vAlign w:val="center"/>
          </w:tcPr>
          <w:p>
            <w:pPr>
              <w:widowControl/>
              <w:jc w:val="center"/>
              <w:textAlignment w:val="center"/>
              <w:rPr>
                <w:rFonts w:ascii="仿宋" w:hAnsi="仿宋" w:eastAsia="仿宋" w:cs="Times New Roman"/>
                <w:color w:val="000000"/>
                <w:kern w:val="0"/>
                <w:sz w:val="24"/>
              </w:rPr>
            </w:pPr>
            <w:r>
              <w:rPr>
                <w:rFonts w:ascii="仿宋" w:hAnsi="仿宋" w:eastAsia="仿宋" w:cs="Times New Roman"/>
                <w:color w:val="000000"/>
                <w:kern w:val="0"/>
                <w:sz w:val="24"/>
              </w:rPr>
              <w:t>10</w:t>
            </w:r>
          </w:p>
        </w:tc>
        <w:tc>
          <w:tcPr>
            <w:tcW w:w="789" w:type="pct"/>
            <w:tcBorders>
              <w:top w:val="nil"/>
              <w:left w:val="nil"/>
              <w:bottom w:val="single" w:color="000000" w:sz="8" w:space="0"/>
              <w:right w:val="single" w:color="000000" w:sz="8" w:space="0"/>
            </w:tcBorders>
            <w:vAlign w:val="center"/>
          </w:tcPr>
          <w:p>
            <w:pPr>
              <w:widowControl/>
              <w:jc w:val="center"/>
              <w:textAlignment w:val="center"/>
              <w:rPr>
                <w:rFonts w:ascii="仿宋" w:hAnsi="仿宋" w:eastAsia="仿宋" w:cs="Times New Roman"/>
                <w:color w:val="000000"/>
                <w:kern w:val="0"/>
                <w:sz w:val="24"/>
              </w:rPr>
            </w:pPr>
            <w:r>
              <w:rPr>
                <w:rFonts w:ascii="仿宋" w:hAnsi="仿宋" w:eastAsia="仿宋" w:cs="Times New Roman"/>
                <w:color w:val="000000"/>
                <w:kern w:val="0"/>
                <w:sz w:val="24"/>
              </w:rPr>
              <w:t>255.48</w:t>
            </w:r>
          </w:p>
        </w:tc>
        <w:tc>
          <w:tcPr>
            <w:tcW w:w="728" w:type="pct"/>
            <w:tcBorders>
              <w:top w:val="nil"/>
              <w:left w:val="nil"/>
              <w:bottom w:val="single" w:color="000000" w:sz="8" w:space="0"/>
              <w:right w:val="single" w:color="000000" w:sz="8" w:space="0"/>
            </w:tcBorders>
            <w:vAlign w:val="center"/>
          </w:tcPr>
          <w:p>
            <w:pPr>
              <w:widowControl/>
              <w:jc w:val="center"/>
              <w:textAlignment w:val="center"/>
              <w:rPr>
                <w:rFonts w:ascii="仿宋" w:hAnsi="仿宋" w:eastAsia="仿宋" w:cs="Times New Roman"/>
                <w:color w:val="000000"/>
                <w:kern w:val="0"/>
                <w:sz w:val="24"/>
              </w:rPr>
            </w:pPr>
            <w:r>
              <w:rPr>
                <w:rFonts w:ascii="仿宋" w:hAnsi="仿宋" w:eastAsia="仿宋" w:cs="Times New Roman"/>
                <w:color w:val="000000"/>
                <w:kern w:val="0"/>
                <w:sz w:val="24"/>
              </w:rPr>
              <w:t>19.85</w:t>
            </w:r>
            <w:r>
              <w:rPr>
                <w:rFonts w:hint="eastAsia" w:ascii="仿宋" w:hAnsi="仿宋" w:eastAsia="仿宋" w:cs="Times New Roman"/>
                <w:color w:val="000000"/>
                <w:kern w:val="0"/>
                <w:sz w:val="24"/>
              </w:rPr>
              <w:t>%</w:t>
            </w:r>
          </w:p>
        </w:tc>
        <w:tc>
          <w:tcPr>
            <w:tcW w:w="469" w:type="pct"/>
            <w:tcBorders>
              <w:top w:val="nil"/>
              <w:left w:val="nil"/>
              <w:bottom w:val="single" w:color="000000" w:sz="8" w:space="0"/>
              <w:right w:val="single" w:color="000000" w:sz="8" w:space="0"/>
            </w:tcBorders>
            <w:vAlign w:val="center"/>
          </w:tcPr>
          <w:p>
            <w:pPr>
              <w:widowControl/>
              <w:jc w:val="center"/>
              <w:textAlignment w:val="center"/>
              <w:rPr>
                <w:rFonts w:ascii="仿宋" w:hAnsi="仿宋" w:eastAsia="仿宋" w:cs="Times New Roman"/>
                <w:color w:val="000000"/>
                <w:kern w:val="0"/>
                <w:sz w:val="24"/>
              </w:rPr>
            </w:pPr>
            <w:r>
              <w:rPr>
                <w:rFonts w:hint="eastAsia" w:ascii="仿宋" w:hAnsi="仿宋" w:eastAsia="仿宋" w:cs="Times New Roman"/>
                <w:color w:val="000000"/>
                <w:kern w:val="0"/>
                <w:sz w:val="24"/>
              </w:rPr>
              <w:t>11</w:t>
            </w:r>
          </w:p>
        </w:tc>
        <w:tc>
          <w:tcPr>
            <w:tcW w:w="826" w:type="pct"/>
            <w:tcBorders>
              <w:top w:val="nil"/>
              <w:left w:val="nil"/>
              <w:bottom w:val="single" w:color="000000" w:sz="8" w:space="0"/>
              <w:right w:val="single" w:color="000000" w:sz="8" w:space="0"/>
            </w:tcBorders>
            <w:vAlign w:val="center"/>
          </w:tcPr>
          <w:p>
            <w:pPr>
              <w:widowControl/>
              <w:jc w:val="center"/>
              <w:textAlignment w:val="center"/>
              <w:rPr>
                <w:rFonts w:ascii="仿宋" w:hAnsi="仿宋" w:eastAsia="仿宋" w:cs="Times New Roman"/>
                <w:color w:val="000000"/>
                <w:kern w:val="0"/>
                <w:sz w:val="24"/>
              </w:rPr>
            </w:pPr>
            <w:r>
              <w:rPr>
                <w:rFonts w:hint="eastAsia" w:ascii="仿宋" w:hAnsi="仿宋" w:eastAsia="仿宋" w:cs="Times New Roman"/>
                <w:color w:val="000000"/>
                <w:kern w:val="0"/>
                <w:sz w:val="24"/>
              </w:rPr>
              <w:t>334.33</w:t>
            </w:r>
          </w:p>
        </w:tc>
        <w:tc>
          <w:tcPr>
            <w:tcW w:w="751" w:type="pct"/>
            <w:tcBorders>
              <w:top w:val="nil"/>
              <w:left w:val="nil"/>
              <w:bottom w:val="single" w:color="000000" w:sz="8" w:space="0"/>
              <w:right w:val="single" w:color="000000" w:sz="8" w:space="0"/>
            </w:tcBorders>
            <w:vAlign w:val="center"/>
          </w:tcPr>
          <w:p>
            <w:pPr>
              <w:widowControl/>
              <w:jc w:val="center"/>
              <w:textAlignment w:val="center"/>
              <w:rPr>
                <w:rFonts w:ascii="仿宋" w:hAnsi="仿宋" w:eastAsia="仿宋" w:cs="Times New Roman"/>
                <w:color w:val="000000"/>
                <w:kern w:val="0"/>
                <w:sz w:val="24"/>
              </w:rPr>
            </w:pPr>
            <w:r>
              <w:rPr>
                <w:rFonts w:ascii="仿宋" w:hAnsi="仿宋" w:eastAsia="仿宋" w:cs="Times New Roman"/>
                <w:color w:val="000000"/>
                <w:kern w:val="0"/>
                <w:sz w:val="24"/>
              </w:rPr>
              <w:t>26.</w:t>
            </w:r>
            <w:r>
              <w:rPr>
                <w:rFonts w:hint="eastAsia" w:ascii="仿宋" w:hAnsi="仿宋" w:eastAsia="仿宋" w:cs="Times New Roman"/>
                <w:color w:val="000000"/>
                <w:kern w:val="0"/>
                <w:sz w:val="24"/>
              </w:rPr>
              <w:t>63%</w:t>
            </w:r>
          </w:p>
        </w:tc>
      </w:tr>
      <w:tr>
        <w:tblPrEx>
          <w:tblCellMar>
            <w:top w:w="0" w:type="dxa"/>
            <w:left w:w="108" w:type="dxa"/>
            <w:bottom w:w="0" w:type="dxa"/>
            <w:right w:w="108" w:type="dxa"/>
          </w:tblCellMar>
        </w:tblPrEx>
        <w:trPr>
          <w:trHeight w:val="595" w:hRule="atLeast"/>
        </w:trPr>
        <w:tc>
          <w:tcPr>
            <w:tcW w:w="428" w:type="pct"/>
            <w:vMerge w:val="restart"/>
            <w:tcBorders>
              <w:top w:val="nil"/>
              <w:left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重点管控单元</w:t>
            </w:r>
          </w:p>
        </w:tc>
        <w:tc>
          <w:tcPr>
            <w:tcW w:w="553" w:type="pct"/>
            <w:tcBorders>
              <w:top w:val="nil"/>
              <w:left w:val="nil"/>
              <w:bottom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产业集聚类</w:t>
            </w:r>
          </w:p>
        </w:tc>
        <w:tc>
          <w:tcPr>
            <w:tcW w:w="456" w:type="pct"/>
            <w:tcBorders>
              <w:top w:val="nil"/>
              <w:left w:val="nil"/>
              <w:bottom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w:t>
            </w:r>
          </w:p>
        </w:tc>
        <w:tc>
          <w:tcPr>
            <w:tcW w:w="789" w:type="pct"/>
            <w:tcBorders>
              <w:top w:val="nil"/>
              <w:left w:val="nil"/>
              <w:bottom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66.09</w:t>
            </w:r>
          </w:p>
        </w:tc>
        <w:tc>
          <w:tcPr>
            <w:tcW w:w="728" w:type="pct"/>
            <w:tcBorders>
              <w:top w:val="nil"/>
              <w:left w:val="nil"/>
              <w:bottom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5.14%</w:t>
            </w:r>
          </w:p>
        </w:tc>
        <w:tc>
          <w:tcPr>
            <w:tcW w:w="469" w:type="pct"/>
            <w:tcBorders>
              <w:top w:val="nil"/>
              <w:left w:val="nil"/>
              <w:bottom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w:t>
            </w:r>
          </w:p>
        </w:tc>
        <w:tc>
          <w:tcPr>
            <w:tcW w:w="826" w:type="pct"/>
            <w:tcBorders>
              <w:top w:val="nil"/>
              <w:left w:val="nil"/>
              <w:bottom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45.42</w:t>
            </w:r>
          </w:p>
        </w:tc>
        <w:tc>
          <w:tcPr>
            <w:tcW w:w="751" w:type="pct"/>
            <w:tcBorders>
              <w:top w:val="nil"/>
              <w:left w:val="nil"/>
              <w:bottom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3.62%</w:t>
            </w:r>
          </w:p>
        </w:tc>
      </w:tr>
      <w:tr>
        <w:tblPrEx>
          <w:tblCellMar>
            <w:top w:w="0" w:type="dxa"/>
            <w:left w:w="108" w:type="dxa"/>
            <w:bottom w:w="0" w:type="dxa"/>
            <w:right w:w="108" w:type="dxa"/>
          </w:tblCellMar>
        </w:tblPrEx>
        <w:trPr>
          <w:trHeight w:val="595" w:hRule="atLeast"/>
        </w:trPr>
        <w:tc>
          <w:tcPr>
            <w:tcW w:w="428" w:type="pct"/>
            <w:vMerge w:val="continue"/>
            <w:tcBorders>
              <w:left w:val="single" w:color="000000" w:sz="8" w:space="0"/>
              <w:right w:val="single" w:color="000000" w:sz="8" w:space="0"/>
            </w:tcBorders>
            <w:vAlign w:val="center"/>
          </w:tcPr>
          <w:p>
            <w:pPr>
              <w:jc w:val="center"/>
              <w:rPr>
                <w:rFonts w:ascii="Times New Roman" w:hAnsi="Times New Roman" w:eastAsia="仿宋_GB2312" w:cs="Times New Roman"/>
                <w:color w:val="000000"/>
                <w:kern w:val="0"/>
                <w:sz w:val="24"/>
              </w:rPr>
            </w:pPr>
          </w:p>
        </w:tc>
        <w:tc>
          <w:tcPr>
            <w:tcW w:w="553" w:type="pct"/>
            <w:tcBorders>
              <w:top w:val="nil"/>
              <w:left w:val="nil"/>
              <w:bottom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城镇生活类</w:t>
            </w:r>
          </w:p>
        </w:tc>
        <w:tc>
          <w:tcPr>
            <w:tcW w:w="456" w:type="pct"/>
            <w:tcBorders>
              <w:top w:val="nil"/>
              <w:left w:val="nil"/>
              <w:bottom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19</w:t>
            </w:r>
          </w:p>
        </w:tc>
        <w:tc>
          <w:tcPr>
            <w:tcW w:w="789" w:type="pct"/>
            <w:tcBorders>
              <w:top w:val="nil"/>
              <w:left w:val="nil"/>
              <w:bottom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112.36</w:t>
            </w:r>
          </w:p>
        </w:tc>
        <w:tc>
          <w:tcPr>
            <w:tcW w:w="728" w:type="pct"/>
            <w:tcBorders>
              <w:top w:val="nil"/>
              <w:left w:val="nil"/>
              <w:bottom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8.73%</w:t>
            </w:r>
          </w:p>
        </w:tc>
        <w:tc>
          <w:tcPr>
            <w:tcW w:w="469" w:type="pct"/>
            <w:tcBorders>
              <w:top w:val="nil"/>
              <w:left w:val="nil"/>
              <w:bottom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20</w:t>
            </w:r>
          </w:p>
        </w:tc>
        <w:tc>
          <w:tcPr>
            <w:tcW w:w="826" w:type="pct"/>
            <w:tcBorders>
              <w:top w:val="nil"/>
              <w:left w:val="nil"/>
              <w:bottom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66.</w:t>
            </w:r>
            <w:r>
              <w:rPr>
                <w:rFonts w:hint="eastAsia" w:ascii="Times New Roman" w:hAnsi="Times New Roman" w:eastAsia="仿宋_GB2312" w:cs="Times New Roman"/>
                <w:color w:val="000000"/>
                <w:kern w:val="0"/>
                <w:sz w:val="24"/>
              </w:rPr>
              <w:t>69</w:t>
            </w:r>
          </w:p>
        </w:tc>
        <w:tc>
          <w:tcPr>
            <w:tcW w:w="751" w:type="pct"/>
            <w:tcBorders>
              <w:top w:val="nil"/>
              <w:left w:val="nil"/>
              <w:bottom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5.31%</w:t>
            </w:r>
          </w:p>
        </w:tc>
      </w:tr>
      <w:tr>
        <w:tblPrEx>
          <w:tblCellMar>
            <w:top w:w="0" w:type="dxa"/>
            <w:left w:w="108" w:type="dxa"/>
            <w:bottom w:w="0" w:type="dxa"/>
            <w:right w:w="108" w:type="dxa"/>
          </w:tblCellMar>
        </w:tblPrEx>
        <w:trPr>
          <w:trHeight w:val="315" w:hRule="atLeast"/>
        </w:trPr>
        <w:tc>
          <w:tcPr>
            <w:tcW w:w="981" w:type="pct"/>
            <w:gridSpan w:val="2"/>
            <w:tcBorders>
              <w:top w:val="single" w:color="000000" w:sz="8" w:space="0"/>
              <w:left w:val="single" w:color="000000" w:sz="8" w:space="0"/>
              <w:bottom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一般管控单元</w:t>
            </w:r>
          </w:p>
        </w:tc>
        <w:tc>
          <w:tcPr>
            <w:tcW w:w="456" w:type="pct"/>
            <w:tcBorders>
              <w:top w:val="nil"/>
              <w:left w:val="nil"/>
              <w:bottom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p>
        </w:tc>
        <w:tc>
          <w:tcPr>
            <w:tcW w:w="789" w:type="pct"/>
            <w:tcBorders>
              <w:top w:val="nil"/>
              <w:left w:val="nil"/>
              <w:bottom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852.97</w:t>
            </w:r>
          </w:p>
        </w:tc>
        <w:tc>
          <w:tcPr>
            <w:tcW w:w="728" w:type="pct"/>
            <w:tcBorders>
              <w:top w:val="nil"/>
              <w:left w:val="nil"/>
              <w:bottom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66.28%</w:t>
            </w:r>
          </w:p>
        </w:tc>
        <w:tc>
          <w:tcPr>
            <w:tcW w:w="469" w:type="pct"/>
            <w:tcBorders>
              <w:top w:val="nil"/>
              <w:left w:val="nil"/>
              <w:bottom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4"/>
              </w:rPr>
            </w:pPr>
            <w:r>
              <w:rPr>
                <w:rFonts w:ascii="Times New Roman" w:hAnsi="Times New Roman" w:eastAsia="仿宋_GB2312" w:cs="Times New Roman"/>
                <w:color w:val="000000"/>
                <w:kern w:val="0"/>
                <w:sz w:val="24"/>
              </w:rPr>
              <w:t>1</w:t>
            </w:r>
          </w:p>
        </w:tc>
        <w:tc>
          <w:tcPr>
            <w:tcW w:w="826" w:type="pct"/>
            <w:tcBorders>
              <w:top w:val="nil"/>
              <w:left w:val="nil"/>
              <w:bottom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809.24</w:t>
            </w:r>
          </w:p>
        </w:tc>
        <w:tc>
          <w:tcPr>
            <w:tcW w:w="751" w:type="pct"/>
            <w:tcBorders>
              <w:top w:val="nil"/>
              <w:left w:val="nil"/>
              <w:bottom w:val="single" w:color="000000" w:sz="8" w:space="0"/>
              <w:right w:val="single" w:color="000000" w:sz="8" w:space="0"/>
            </w:tcBorders>
            <w:vAlign w:val="center"/>
          </w:tcPr>
          <w:p>
            <w:pPr>
              <w:widowControl/>
              <w:jc w:val="center"/>
              <w:textAlignment w:val="center"/>
              <w:rPr>
                <w:rFonts w:ascii="Times New Roman" w:hAnsi="Times New Roman" w:eastAsia="仿宋_GB2312" w:cs="Times New Roman"/>
                <w:color w:val="000000"/>
                <w:kern w:val="0"/>
                <w:sz w:val="24"/>
              </w:rPr>
            </w:pPr>
            <w:r>
              <w:rPr>
                <w:rFonts w:hint="eastAsia" w:ascii="Times New Roman" w:hAnsi="Times New Roman" w:eastAsia="仿宋_GB2312" w:cs="Times New Roman"/>
                <w:color w:val="000000"/>
                <w:kern w:val="0"/>
                <w:sz w:val="24"/>
              </w:rPr>
              <w:t>64.45</w:t>
            </w:r>
            <w:r>
              <w:rPr>
                <w:rFonts w:ascii="Times New Roman" w:hAnsi="Times New Roman" w:eastAsia="仿宋_GB2312" w:cs="Times New Roman"/>
                <w:color w:val="000000"/>
                <w:kern w:val="0"/>
                <w:sz w:val="24"/>
              </w:rPr>
              <w:t>%</w:t>
            </w:r>
          </w:p>
        </w:tc>
      </w:tr>
    </w:tbl>
    <w:p>
      <w:pPr>
        <w:kinsoku w:val="0"/>
        <w:overflowPunct w:val="0"/>
        <w:autoSpaceDE w:val="0"/>
        <w:autoSpaceDN w:val="0"/>
        <w:adjustRightInd w:val="0"/>
        <w:snapToGrid w:val="0"/>
        <w:spacing w:line="360" w:lineRule="auto"/>
        <w:textAlignment w:val="baseline"/>
        <w:rPr>
          <w:rFonts w:ascii="Times New Roman" w:hAnsi="Times New Roman" w:eastAsia="仿宋_GB2312" w:cs="Times New Roman"/>
          <w:color w:val="000000"/>
          <w:kern w:val="0"/>
          <w:sz w:val="32"/>
          <w:szCs w:val="32"/>
        </w:rPr>
      </w:pPr>
      <w:bookmarkStart w:id="12" w:name="_Toc149296755"/>
    </w:p>
    <w:p>
      <w:pPr>
        <w:kinsoku w:val="0"/>
        <w:overflowPunct w:val="0"/>
        <w:autoSpaceDE w:val="0"/>
        <w:autoSpaceDN w:val="0"/>
        <w:adjustRightInd w:val="0"/>
        <w:snapToGrid w:val="0"/>
        <w:spacing w:line="360" w:lineRule="auto"/>
        <w:textAlignment w:val="baseline"/>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rPr>
        <w:t>（5）生态环境准入清单</w:t>
      </w:r>
      <w:bookmarkEnd w:id="12"/>
      <w:r>
        <w:rPr>
          <w:rFonts w:hint="eastAsia" w:ascii="Times New Roman" w:hAnsi="Times New Roman" w:eastAsia="仿宋_GB2312" w:cs="Times New Roman"/>
          <w:color w:val="000000"/>
          <w:kern w:val="0"/>
          <w:sz w:val="32"/>
          <w:szCs w:val="32"/>
        </w:rPr>
        <w:t>(单元管控要求)</w:t>
      </w:r>
    </w:p>
    <w:p>
      <w:pPr>
        <w:pStyle w:val="20"/>
        <w:spacing w:beforeLines="0"/>
        <w:ind w:firstLine="640"/>
        <w:rPr>
          <w:rFonts w:ascii="Times New Roman" w:hAnsi="Times New Roman" w:cs="Times New Roman"/>
          <w:color w:val="000000"/>
          <w:kern w:val="0"/>
          <w:sz w:val="32"/>
          <w:szCs w:val="32"/>
        </w:rPr>
      </w:pPr>
      <w:r>
        <w:rPr>
          <w:rFonts w:hint="eastAsia" w:ascii="Times New Roman" w:hAnsi="Times New Roman" w:cs="Times New Roman"/>
          <w:color w:val="000000"/>
          <w:kern w:val="0"/>
          <w:sz w:val="32"/>
          <w:szCs w:val="32"/>
        </w:rPr>
        <w:t>【优先保护单元】</w:t>
      </w:r>
    </w:p>
    <w:p>
      <w:pPr>
        <w:ind w:firstLine="56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按照限制开发区域进行管理。禁止新建、扩建三类工业项目，现有三类工业项目改建要削减污染物排放总量，涉及一类重金属、重点行业重点重金属污染物、持久性有机污染物排放的现有三类工业项目原则上结合地方政府整治要求搬迁关闭，鼓励其他现有三类工业项目搬迁关闭。禁止新建涉及一类重金属、重点行业重点重金属污染物、持久性有机污染物排放的二类工业项目。禁止在工业功能区（包括小微园区、工业集聚点等）外新建其他二类工业项目。二类工业项目的新建、扩建、改建不得增加控制单元污染物排放总量。原有各种对生态环境有较大负面影响的生产、开发建设活动应逐步退出。</w:t>
      </w:r>
    </w:p>
    <w:p>
      <w:pPr>
        <w:ind w:firstLine="56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禁止未经法定许可在河流两岸、干线公路两侧规划控制范围内进行采石、取土、采砂等活动。严格限制矿产资源开发项目，确需开采的矿产资源及必须就地开展矿产加工的新改扩建项目，严格控制区域开发规模。严格限制水利水电开发项目，禁止新建除以防洪蓄水为主要功能的水库、生态型水电站外的小水电。</w:t>
      </w:r>
    </w:p>
    <w:p>
      <w:pPr>
        <w:ind w:firstLine="56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严格执行畜禽养殖禁养区规定，控制湖库型饮用水源集雨区规模化畜禽养殖项目规模。</w:t>
      </w:r>
    </w:p>
    <w:p>
      <w:pPr>
        <w:pStyle w:val="20"/>
        <w:spacing w:beforeLines="0"/>
        <w:ind w:firstLine="640"/>
        <w:rPr>
          <w:rFonts w:ascii="Times New Roman" w:hAnsi="Times New Roman" w:cs="Times New Roman"/>
          <w:color w:val="000000"/>
          <w:kern w:val="0"/>
          <w:sz w:val="32"/>
          <w:szCs w:val="32"/>
        </w:rPr>
      </w:pPr>
      <w:r>
        <w:rPr>
          <w:rFonts w:hint="eastAsia" w:ascii="Times New Roman" w:hAnsi="Times New Roman" w:cs="Times New Roman"/>
          <w:color w:val="000000"/>
          <w:kern w:val="0"/>
          <w:sz w:val="32"/>
          <w:szCs w:val="32"/>
        </w:rPr>
        <w:t>【</w:t>
      </w:r>
      <w:r>
        <w:rPr>
          <w:rFonts w:ascii="Times New Roman" w:hAnsi="Times New Roman" w:cs="Times New Roman"/>
          <w:color w:val="000000"/>
          <w:kern w:val="0"/>
          <w:sz w:val="32"/>
          <w:szCs w:val="32"/>
        </w:rPr>
        <w:t>产业集聚类重点管控单元</w:t>
      </w:r>
      <w:r>
        <w:rPr>
          <w:rFonts w:hint="eastAsia" w:ascii="Times New Roman" w:hAnsi="Times New Roman" w:cs="Times New Roman"/>
          <w:color w:val="000000"/>
          <w:kern w:val="0"/>
          <w:sz w:val="32"/>
          <w:szCs w:val="32"/>
        </w:rPr>
        <w:t>】</w:t>
      </w:r>
    </w:p>
    <w:p>
      <w:pPr>
        <w:ind w:firstLine="56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根据产业集聚区块的功能定位，建立分区差别化的产业准入条件。严格控制重要水系源头地区和重要生态功能区三类工业项目准入。优化完善区域产业布局，合理规划布局三类工业项目，鼓励对三类工业项目进行淘汰和提升改造。</w:t>
      </w:r>
      <w:r>
        <w:rPr>
          <w:rFonts w:hint="eastAsia" w:ascii="Times New Roman" w:hAnsi="Times New Roman" w:eastAsia="仿宋_GB2312" w:cs="Times New Roman"/>
          <w:color w:val="000000"/>
          <w:kern w:val="0"/>
          <w:sz w:val="32"/>
          <w:szCs w:val="32"/>
        </w:rPr>
        <w:t>合理规划布局居住、医疗卫生、文化教育等功能区块，与工业区块、工业企业之间设置防护绿地、生活绿地等隔离带</w:t>
      </w:r>
      <w:r>
        <w:rPr>
          <w:rFonts w:ascii="Times New Roman" w:hAnsi="Times New Roman" w:eastAsia="仿宋_GB2312" w:cs="Times New Roman"/>
          <w:color w:val="000000"/>
          <w:kern w:val="0"/>
          <w:sz w:val="32"/>
          <w:szCs w:val="32"/>
        </w:rPr>
        <w:t>。</w:t>
      </w:r>
    </w:p>
    <w:p>
      <w:pPr>
        <w:pStyle w:val="20"/>
        <w:spacing w:beforeLines="0"/>
        <w:ind w:firstLine="640"/>
        <w:rPr>
          <w:rFonts w:ascii="Times New Roman" w:hAnsi="Times New Roman" w:cs="Times New Roman"/>
          <w:color w:val="000000"/>
          <w:kern w:val="0"/>
          <w:sz w:val="32"/>
          <w:szCs w:val="32"/>
        </w:rPr>
      </w:pPr>
      <w:r>
        <w:rPr>
          <w:rFonts w:hint="eastAsia" w:ascii="Times New Roman" w:hAnsi="Times New Roman" w:cs="Times New Roman"/>
          <w:color w:val="000000"/>
          <w:kern w:val="0"/>
          <w:sz w:val="32"/>
          <w:szCs w:val="32"/>
        </w:rPr>
        <w:t>【</w:t>
      </w:r>
      <w:r>
        <w:rPr>
          <w:rFonts w:ascii="Times New Roman" w:hAnsi="Times New Roman" w:cs="Times New Roman"/>
          <w:color w:val="000000"/>
          <w:kern w:val="0"/>
          <w:sz w:val="32"/>
          <w:szCs w:val="32"/>
        </w:rPr>
        <w:t>城镇生活类环境管控单元</w:t>
      </w:r>
      <w:r>
        <w:rPr>
          <w:rFonts w:hint="eastAsia" w:ascii="Times New Roman" w:hAnsi="Times New Roman" w:cs="Times New Roman"/>
          <w:color w:val="000000"/>
          <w:kern w:val="0"/>
          <w:sz w:val="32"/>
          <w:szCs w:val="32"/>
        </w:rPr>
        <w:t>】</w:t>
      </w:r>
    </w:p>
    <w:p>
      <w:pPr>
        <w:ind w:firstLine="56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禁止新建、扩建三类工业项目，现有三类工业项目改建不得增加污染物排放总量，鼓励现有三类工业项目搬迁关闭。禁止新建涉及一类重金属</w:t>
      </w:r>
      <w:r>
        <w:rPr>
          <w:rFonts w:hint="eastAsia" w:ascii="Times New Roman" w:hAnsi="Times New Roman" w:eastAsia="仿宋_GB2312" w:cs="Times New Roman"/>
          <w:color w:val="000000"/>
          <w:kern w:val="0"/>
          <w:sz w:val="32"/>
          <w:szCs w:val="32"/>
        </w:rPr>
        <w:t>、重点行业重点重金属污染物</w:t>
      </w:r>
      <w:r>
        <w:rPr>
          <w:rFonts w:ascii="Times New Roman" w:hAnsi="Times New Roman" w:eastAsia="仿宋_GB2312" w:cs="Times New Roman"/>
          <w:color w:val="000000"/>
          <w:kern w:val="0"/>
          <w:sz w:val="32"/>
          <w:szCs w:val="32"/>
        </w:rPr>
        <w:t>、持久性有机污染物排放等环境健康风险较大的二类工业项目。除工业功能区（小微园区、工业集聚点）外，原则上禁止新建其他二类工业项目，现有二类工业项目改建、扩建，不得增加管控单元污染物排放总量。严格执行畜禽养殖禁养区规定。推进城镇绿廊建设，协同建设区域生态网络和绿道体系，建立城镇生态空间与区域生态空间的有机联系。推进既有建筑绿色化改造，高质量发展零碳低耗绿色建筑。</w:t>
      </w:r>
    </w:p>
    <w:p>
      <w:pPr>
        <w:pStyle w:val="20"/>
        <w:spacing w:beforeLines="0"/>
        <w:ind w:firstLine="0" w:firstLineChars="0"/>
        <w:rPr>
          <w:rFonts w:ascii="Times New Roman" w:hAnsi="Times New Roman" w:cs="Times New Roman"/>
          <w:color w:val="000000"/>
          <w:kern w:val="0"/>
          <w:sz w:val="32"/>
          <w:szCs w:val="32"/>
        </w:rPr>
      </w:pPr>
      <w:r>
        <w:rPr>
          <w:rFonts w:hint="eastAsia" w:ascii="Times New Roman" w:hAnsi="Times New Roman" w:cs="Times New Roman"/>
          <w:color w:val="000000"/>
          <w:kern w:val="0"/>
          <w:sz w:val="32"/>
          <w:szCs w:val="32"/>
        </w:rPr>
        <w:t>【</w:t>
      </w:r>
      <w:r>
        <w:rPr>
          <w:rFonts w:ascii="Times New Roman" w:hAnsi="Times New Roman" w:cs="Times New Roman"/>
          <w:color w:val="000000"/>
          <w:kern w:val="0"/>
          <w:sz w:val="32"/>
          <w:szCs w:val="32"/>
        </w:rPr>
        <w:t>一般管控单元</w:t>
      </w:r>
      <w:r>
        <w:rPr>
          <w:rFonts w:hint="eastAsia" w:ascii="Times New Roman" w:hAnsi="Times New Roman" w:cs="Times New Roman"/>
          <w:color w:val="000000"/>
          <w:kern w:val="0"/>
          <w:sz w:val="32"/>
          <w:szCs w:val="32"/>
        </w:rPr>
        <w:t>】</w:t>
      </w:r>
    </w:p>
    <w:p>
      <w:pPr>
        <w:ind w:firstLine="560"/>
        <w:rPr>
          <w:rFonts w:hint="eastAsia"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原则上禁止新建三类工业项目，现有三类工业项目扩建、改建不得增加污染物排放总量并严格控制环境风险。禁止新建涉及一类重金属</w:t>
      </w:r>
      <w:r>
        <w:rPr>
          <w:rFonts w:hint="eastAsia" w:ascii="Times New Roman" w:hAnsi="Times New Roman" w:eastAsia="仿宋_GB2312" w:cs="Times New Roman"/>
          <w:color w:val="000000"/>
          <w:kern w:val="0"/>
          <w:sz w:val="32"/>
          <w:szCs w:val="32"/>
        </w:rPr>
        <w:t>、重点行业重点重金属污染物</w:t>
      </w:r>
      <w:r>
        <w:rPr>
          <w:rFonts w:ascii="Times New Roman" w:hAnsi="Times New Roman" w:eastAsia="仿宋_GB2312" w:cs="Times New Roman"/>
          <w:color w:val="000000"/>
          <w:kern w:val="0"/>
          <w:sz w:val="32"/>
          <w:szCs w:val="32"/>
        </w:rPr>
        <w:t>、持久性有机污染物排放的二类工业项目</w:t>
      </w:r>
      <w:r>
        <w:rPr>
          <w:rFonts w:hint="eastAsia" w:ascii="Times New Roman" w:hAnsi="Times New Roman" w:eastAsia="仿宋_GB2312" w:cs="Times New Roman"/>
          <w:color w:val="000000"/>
          <w:kern w:val="0"/>
          <w:sz w:val="32"/>
          <w:szCs w:val="32"/>
        </w:rPr>
        <w:t>，改建、扩建涉及一类重金属、重点行业重点重金属污染物、持久性有机污染物排放的二类工业项目不得增加管控单元污染物排放总量；</w:t>
      </w:r>
      <w:r>
        <w:rPr>
          <w:rFonts w:ascii="Times New Roman" w:hAnsi="Times New Roman" w:eastAsia="仿宋_GB2312" w:cs="Times New Roman"/>
          <w:color w:val="000000"/>
          <w:kern w:val="0"/>
          <w:sz w:val="32"/>
          <w:szCs w:val="32"/>
        </w:rPr>
        <w:t>禁止在工业功能区（包括小微园区、工业集聚点等）外新建其他二类工业项目，一二产业融合的加工类项目、利用当地资源的加工项目、工程项目配套的临时性项目等确实难以集聚的二类工业项目除外；工业功能区（包括小微园区、工业集聚点等）外现有其他二类工业项目改建、扩建，不得增加管控单元污染物排放总量。建立集镇居住商业区、耕地保护区与工业功能区等集聚区块之间的防护带。严格执行畜禽养殖禁养区规定，根据区域用地和消纳水平，合理确定养殖规模。加强基本农田保护，严格限制非农项目占用耕地。</w:t>
      </w:r>
    </w:p>
    <w:p>
      <w:pPr>
        <w:ind w:firstLine="560"/>
        <w:rPr>
          <w:rFonts w:ascii="Times New Roman" w:hAnsi="Times New Roman" w:cs="Times New Roman"/>
          <w:color w:val="000000"/>
          <w:kern w:val="0"/>
          <w:sz w:val="32"/>
          <w:szCs w:val="32"/>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both"/>
    </w:pPr>
    <w:r>
      <w:t xml:space="preserve">                          </w:t>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641450"/>
    <w:multiLevelType w:val="multilevel"/>
    <w:tmpl w:val="A2641450"/>
    <w:lvl w:ilvl="0" w:tentative="0">
      <w:start w:val="1"/>
      <w:numFmt w:val="chineseCounting"/>
      <w:pStyle w:val="2"/>
      <w:suff w:val="nothing"/>
      <w:lvlText w:val="第%1章 "/>
      <w:lvlJc w:val="left"/>
      <w:pPr>
        <w:ind w:left="432" w:hanging="432"/>
      </w:pPr>
      <w:rPr>
        <w:rFonts w:hint="eastAsia"/>
        <w:b/>
        <w:bCs/>
        <w:sz w:val="44"/>
        <w:szCs w:val="44"/>
      </w:rPr>
    </w:lvl>
    <w:lvl w:ilvl="1" w:tentative="0">
      <w:start w:val="1"/>
      <w:numFmt w:val="decimal"/>
      <w:pStyle w:val="3"/>
      <w:isLgl/>
      <w:lvlText w:val="%1.%2."/>
      <w:lvlJc w:val="left"/>
      <w:pPr>
        <w:ind w:left="575" w:hanging="575"/>
      </w:pPr>
      <w:rPr>
        <w:rFonts w:hint="default"/>
        <w:b/>
        <w:bCs/>
        <w:sz w:val="32"/>
        <w:szCs w:val="32"/>
      </w:rPr>
    </w:lvl>
    <w:lvl w:ilvl="2" w:tentative="0">
      <w:start w:val="1"/>
      <w:numFmt w:val="decimal"/>
      <w:pStyle w:val="4"/>
      <w:isLgl/>
      <w:lvlText w:val="%1.%2.%3."/>
      <w:lvlJc w:val="left"/>
      <w:pPr>
        <w:ind w:left="0" w:firstLine="0"/>
      </w:pPr>
      <w:rPr>
        <w:rFonts w:hint="eastAsia"/>
        <w:b/>
        <w:bCs/>
        <w:sz w:val="28"/>
        <w:szCs w:val="28"/>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isLgl/>
      <w:lvlText w:val="%1.%2.%3.%4.%5.%6."/>
      <w:lvlJc w:val="left"/>
      <w:pPr>
        <w:ind w:left="1151" w:hanging="1151"/>
      </w:pPr>
      <w:rPr>
        <w:rFonts w:hint="eastAsia"/>
      </w:rPr>
    </w:lvl>
    <w:lvl w:ilvl="6" w:tentative="0">
      <w:start w:val="1"/>
      <w:numFmt w:val="decimal"/>
      <w:isLgl/>
      <w:lvlText w:val="%1.%2.%3.%4.%5.%6.%7."/>
      <w:lvlJc w:val="left"/>
      <w:pPr>
        <w:ind w:left="1296" w:hanging="1296"/>
      </w:pPr>
      <w:rPr>
        <w:rFonts w:hint="eastAsia"/>
      </w:rPr>
    </w:lvl>
    <w:lvl w:ilvl="7" w:tentative="0">
      <w:start w:val="1"/>
      <w:numFmt w:val="decimal"/>
      <w:isLgl/>
      <w:lvlText w:val="%1.%2.%3.%4.%5.%6.%7.%8."/>
      <w:lvlJc w:val="left"/>
      <w:pPr>
        <w:ind w:left="1440" w:hanging="1440"/>
      </w:pPr>
      <w:rPr>
        <w:rFonts w:hint="eastAsia"/>
      </w:rPr>
    </w:lvl>
    <w:lvl w:ilvl="8" w:tentative="0">
      <w:start w:val="1"/>
      <w:numFmt w:val="decimal"/>
      <w:isLgl/>
      <w:lvlText w:val="%1.%2.%3.%4.%5.%6.%7.%8.%9."/>
      <w:lvlJc w:val="left"/>
      <w:pPr>
        <w:ind w:left="1583" w:hanging="1583"/>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GY3NGE3NGIyMGUzYzJhOTQ5ZDEyOWUyYjZjNjRkNzYifQ=="/>
  </w:docVars>
  <w:rsids>
    <w:rsidRoot w:val="41DA605F"/>
    <w:rsid w:val="00031EF4"/>
    <w:rsid w:val="000B23A6"/>
    <w:rsid w:val="000C746F"/>
    <w:rsid w:val="001353F5"/>
    <w:rsid w:val="001432E8"/>
    <w:rsid w:val="00175FC4"/>
    <w:rsid w:val="00182B2C"/>
    <w:rsid w:val="001875E4"/>
    <w:rsid w:val="001A61CD"/>
    <w:rsid w:val="001D191A"/>
    <w:rsid w:val="00236FFD"/>
    <w:rsid w:val="00284D56"/>
    <w:rsid w:val="00312457"/>
    <w:rsid w:val="00316DA6"/>
    <w:rsid w:val="003854BE"/>
    <w:rsid w:val="003B44DC"/>
    <w:rsid w:val="00411CF3"/>
    <w:rsid w:val="0048365A"/>
    <w:rsid w:val="004A2B0F"/>
    <w:rsid w:val="005033F5"/>
    <w:rsid w:val="005233F6"/>
    <w:rsid w:val="0052368F"/>
    <w:rsid w:val="00577DBD"/>
    <w:rsid w:val="0059732A"/>
    <w:rsid w:val="005D0BF3"/>
    <w:rsid w:val="005F3F61"/>
    <w:rsid w:val="005F406F"/>
    <w:rsid w:val="00682440"/>
    <w:rsid w:val="007345C7"/>
    <w:rsid w:val="007540F4"/>
    <w:rsid w:val="007710CA"/>
    <w:rsid w:val="007D045E"/>
    <w:rsid w:val="007E391D"/>
    <w:rsid w:val="00815C45"/>
    <w:rsid w:val="0083386B"/>
    <w:rsid w:val="00844872"/>
    <w:rsid w:val="008F3042"/>
    <w:rsid w:val="00910CEE"/>
    <w:rsid w:val="009952B9"/>
    <w:rsid w:val="00996803"/>
    <w:rsid w:val="009A0E6E"/>
    <w:rsid w:val="009B767A"/>
    <w:rsid w:val="009C32A7"/>
    <w:rsid w:val="00A3338B"/>
    <w:rsid w:val="00A37BB3"/>
    <w:rsid w:val="00A94F7E"/>
    <w:rsid w:val="00A9793E"/>
    <w:rsid w:val="00AE1779"/>
    <w:rsid w:val="00B47324"/>
    <w:rsid w:val="00B975C9"/>
    <w:rsid w:val="00BE02F5"/>
    <w:rsid w:val="00C14186"/>
    <w:rsid w:val="00C1762F"/>
    <w:rsid w:val="00C40885"/>
    <w:rsid w:val="00C77901"/>
    <w:rsid w:val="00C838C4"/>
    <w:rsid w:val="00C906F7"/>
    <w:rsid w:val="00CA2BE9"/>
    <w:rsid w:val="00CF23A7"/>
    <w:rsid w:val="00D33350"/>
    <w:rsid w:val="00DB502C"/>
    <w:rsid w:val="00DC0AE6"/>
    <w:rsid w:val="00E1645F"/>
    <w:rsid w:val="00E246D4"/>
    <w:rsid w:val="00E66ED6"/>
    <w:rsid w:val="00E70469"/>
    <w:rsid w:val="00E815AC"/>
    <w:rsid w:val="00EF3A46"/>
    <w:rsid w:val="00FD7384"/>
    <w:rsid w:val="00FF72A0"/>
    <w:rsid w:val="0202006E"/>
    <w:rsid w:val="03B3258F"/>
    <w:rsid w:val="04C92A4E"/>
    <w:rsid w:val="067959B8"/>
    <w:rsid w:val="06F772FB"/>
    <w:rsid w:val="08BB6788"/>
    <w:rsid w:val="0B736304"/>
    <w:rsid w:val="0BC01FC9"/>
    <w:rsid w:val="121A5096"/>
    <w:rsid w:val="13710699"/>
    <w:rsid w:val="19C023EF"/>
    <w:rsid w:val="22596EC8"/>
    <w:rsid w:val="23262BFF"/>
    <w:rsid w:val="27FD20A3"/>
    <w:rsid w:val="287C7D42"/>
    <w:rsid w:val="304E21B1"/>
    <w:rsid w:val="31103DE0"/>
    <w:rsid w:val="33054E98"/>
    <w:rsid w:val="337C47C4"/>
    <w:rsid w:val="3A0D6176"/>
    <w:rsid w:val="3CFF62AD"/>
    <w:rsid w:val="3E133F77"/>
    <w:rsid w:val="3F5E19D4"/>
    <w:rsid w:val="3FD77BE2"/>
    <w:rsid w:val="41DA605F"/>
    <w:rsid w:val="434C3FB4"/>
    <w:rsid w:val="4913530A"/>
    <w:rsid w:val="49DC3428"/>
    <w:rsid w:val="4CD17853"/>
    <w:rsid w:val="50E9269A"/>
    <w:rsid w:val="51137745"/>
    <w:rsid w:val="56911C15"/>
    <w:rsid w:val="56B30385"/>
    <w:rsid w:val="56FD13E3"/>
    <w:rsid w:val="57331033"/>
    <w:rsid w:val="576F454D"/>
    <w:rsid w:val="5B0F5D9A"/>
    <w:rsid w:val="5DC818E3"/>
    <w:rsid w:val="60AB103B"/>
    <w:rsid w:val="6BA62A6D"/>
    <w:rsid w:val="79DE1AB2"/>
    <w:rsid w:val="7C5554ED"/>
    <w:rsid w:val="7D80675E"/>
    <w:rsid w:val="7DC742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numPr>
        <w:ilvl w:val="0"/>
        <w:numId w:val="1"/>
      </w:numPr>
      <w:tabs>
        <w:tab w:val="left" w:pos="2150"/>
        <w:tab w:val="left" w:pos="7020"/>
      </w:tabs>
      <w:jc w:val="center"/>
      <w:outlineLvl w:val="0"/>
    </w:pPr>
    <w:rPr>
      <w:b/>
      <w:bCs/>
      <w:sz w:val="24"/>
    </w:rPr>
  </w:style>
  <w:style w:type="paragraph" w:styleId="3">
    <w:name w:val="heading 2"/>
    <w:basedOn w:val="1"/>
    <w:next w:val="1"/>
    <w:unhideWhenUsed/>
    <w:qFormat/>
    <w:uiPriority w:val="0"/>
    <w:pPr>
      <w:keepNext/>
      <w:keepLines/>
      <w:numPr>
        <w:ilvl w:val="1"/>
        <w:numId w:val="1"/>
      </w:numPr>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line="413" w:lineRule="auto"/>
      <w:outlineLvl w:val="2"/>
    </w:pPr>
    <w:rPr>
      <w:b/>
      <w:sz w:val="32"/>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spacing w:after="120"/>
    </w:pPr>
  </w:style>
  <w:style w:type="paragraph" w:styleId="6">
    <w:name w:val="toc 3"/>
    <w:basedOn w:val="1"/>
    <w:next w:val="1"/>
    <w:qFormat/>
    <w:uiPriority w:val="39"/>
    <w:pPr>
      <w:ind w:left="840" w:leftChars="400"/>
    </w:pPr>
  </w:style>
  <w:style w:type="paragraph" w:styleId="7">
    <w:name w:val="Date"/>
    <w:basedOn w:val="1"/>
    <w:next w:val="1"/>
    <w:qFormat/>
    <w:uiPriority w:val="99"/>
    <w:rPr>
      <w:kern w:val="0"/>
      <w:sz w:val="27"/>
      <w:szCs w:val="20"/>
    </w:rPr>
  </w:style>
  <w:style w:type="paragraph" w:styleId="8">
    <w:name w:val="Balloon Text"/>
    <w:basedOn w:val="1"/>
    <w:link w:val="32"/>
    <w:qFormat/>
    <w:uiPriority w:val="0"/>
    <w:rPr>
      <w:sz w:val="18"/>
      <w:szCs w:val="18"/>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paragraph" w:styleId="13">
    <w:name w:val="Body Text First Indent"/>
    <w:basedOn w:val="5"/>
    <w:next w:val="1"/>
    <w:qFormat/>
    <w:uiPriority w:val="0"/>
    <w:pPr>
      <w:adjustRightInd w:val="0"/>
      <w:spacing w:before="60" w:line="312" w:lineRule="atLeast"/>
      <w:ind w:firstLine="420"/>
      <w:textAlignment w:val="baseline"/>
    </w:pPr>
    <w:rPr>
      <w:kern w:val="0"/>
      <w:sz w:val="24"/>
      <w:szCs w:val="2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Hyperlink"/>
    <w:basedOn w:val="16"/>
    <w:unhideWhenUsed/>
    <w:uiPriority w:val="99"/>
    <w:rPr>
      <w:color w:val="0026E5" w:themeColor="hyperlink"/>
      <w:u w:val="single"/>
    </w:rPr>
  </w:style>
  <w:style w:type="paragraph" w:customStyle="1" w:styleId="18">
    <w:name w:val="新正文"/>
    <w:basedOn w:val="1"/>
    <w:qFormat/>
    <w:uiPriority w:val="0"/>
    <w:pPr>
      <w:spacing w:before="60" w:line="460" w:lineRule="exact"/>
      <w:ind w:firstLine="200" w:firstLineChars="200"/>
    </w:pPr>
    <w:rPr>
      <w:sz w:val="24"/>
      <w:szCs w:val="20"/>
    </w:rPr>
  </w:style>
  <w:style w:type="table" w:customStyle="1" w:styleId="19">
    <w:name w:val="Table Normal"/>
    <w:semiHidden/>
    <w:unhideWhenUsed/>
    <w:qFormat/>
    <w:uiPriority w:val="0"/>
    <w:tblPr>
      <w:tblCellMar>
        <w:top w:w="0" w:type="dxa"/>
        <w:left w:w="0" w:type="dxa"/>
        <w:bottom w:w="0" w:type="dxa"/>
        <w:right w:w="0" w:type="dxa"/>
      </w:tblCellMar>
    </w:tblPr>
  </w:style>
  <w:style w:type="paragraph" w:customStyle="1" w:styleId="20">
    <w:name w:val="标准正文"/>
    <w:basedOn w:val="1"/>
    <w:qFormat/>
    <w:uiPriority w:val="0"/>
    <w:pPr>
      <w:snapToGrid w:val="0"/>
      <w:spacing w:beforeLines="50" w:line="360" w:lineRule="auto"/>
      <w:ind w:firstLine="560" w:firstLineChars="200"/>
    </w:pPr>
    <w:rPr>
      <w:rFonts w:eastAsia="仿宋_GB2312"/>
      <w:sz w:val="28"/>
    </w:rPr>
  </w:style>
  <w:style w:type="character" w:customStyle="1" w:styleId="21">
    <w:name w:val="font41"/>
    <w:basedOn w:val="16"/>
    <w:qFormat/>
    <w:uiPriority w:val="0"/>
    <w:rPr>
      <w:rFonts w:ascii="Times New Roman" w:hAnsi="Times New Roman" w:cs="Times New Roman"/>
      <w:color w:val="000000"/>
      <w:sz w:val="20"/>
      <w:szCs w:val="20"/>
      <w:u w:val="none"/>
    </w:rPr>
  </w:style>
  <w:style w:type="character" w:customStyle="1" w:styleId="22">
    <w:name w:val="font91"/>
    <w:basedOn w:val="16"/>
    <w:qFormat/>
    <w:uiPriority w:val="0"/>
    <w:rPr>
      <w:rFonts w:ascii="Times New Roman" w:hAnsi="Times New Roman" w:cs="Times New Roman"/>
      <w:color w:val="008000"/>
      <w:sz w:val="20"/>
      <w:szCs w:val="20"/>
      <w:u w:val="none"/>
    </w:rPr>
  </w:style>
  <w:style w:type="character" w:customStyle="1" w:styleId="23">
    <w:name w:val="font31"/>
    <w:basedOn w:val="16"/>
    <w:qFormat/>
    <w:uiPriority w:val="0"/>
    <w:rPr>
      <w:rFonts w:ascii="Times New Roman" w:hAnsi="Times New Roman" w:cs="Times New Roman"/>
      <w:color w:val="000000"/>
      <w:sz w:val="20"/>
      <w:szCs w:val="20"/>
      <w:u w:val="none"/>
      <w:vertAlign w:val="subscript"/>
    </w:rPr>
  </w:style>
  <w:style w:type="character" w:customStyle="1" w:styleId="24">
    <w:name w:val="font21"/>
    <w:basedOn w:val="16"/>
    <w:qFormat/>
    <w:uiPriority w:val="0"/>
    <w:rPr>
      <w:rFonts w:hint="default" w:ascii="Times New Roman" w:hAnsi="Times New Roman" w:cs="Times New Roman"/>
      <w:b/>
      <w:bCs/>
      <w:color w:val="000000"/>
      <w:sz w:val="20"/>
      <w:szCs w:val="20"/>
      <w:u w:val="none"/>
    </w:rPr>
  </w:style>
  <w:style w:type="paragraph" w:customStyle="1" w:styleId="25">
    <w:name w:val="Table Text"/>
    <w:basedOn w:val="1"/>
    <w:semiHidden/>
    <w:qFormat/>
    <w:uiPriority w:val="0"/>
    <w:rPr>
      <w:rFonts w:ascii="仿宋" w:hAnsi="仿宋" w:eastAsia="仿宋" w:cs="仿宋"/>
      <w:sz w:val="19"/>
      <w:szCs w:val="19"/>
      <w:lang w:eastAsia="en-US"/>
    </w:rPr>
  </w:style>
  <w:style w:type="character" w:customStyle="1" w:styleId="26">
    <w:name w:val="font51"/>
    <w:basedOn w:val="16"/>
    <w:qFormat/>
    <w:uiPriority w:val="0"/>
    <w:rPr>
      <w:rFonts w:ascii="宋体" w:hAnsi="宋体" w:eastAsia="宋体" w:cs="宋体"/>
      <w:color w:val="000000"/>
      <w:sz w:val="20"/>
      <w:szCs w:val="20"/>
      <w:u w:val="none"/>
    </w:rPr>
  </w:style>
  <w:style w:type="character" w:customStyle="1" w:styleId="27">
    <w:name w:val="font13"/>
    <w:basedOn w:val="16"/>
    <w:qFormat/>
    <w:uiPriority w:val="0"/>
    <w:rPr>
      <w:rFonts w:hint="default" w:ascii="Times New Roman" w:hAnsi="Times New Roman" w:cs="Times New Roman"/>
      <w:color w:val="000000"/>
      <w:sz w:val="22"/>
      <w:szCs w:val="22"/>
      <w:u w:val="none"/>
    </w:rPr>
  </w:style>
  <w:style w:type="character" w:customStyle="1" w:styleId="28">
    <w:name w:val="font01"/>
    <w:basedOn w:val="16"/>
    <w:qFormat/>
    <w:uiPriority w:val="0"/>
    <w:rPr>
      <w:rFonts w:hint="eastAsia" w:ascii="仿宋" w:hAnsi="仿宋" w:eastAsia="仿宋"/>
      <w:color w:val="000000"/>
      <w:sz w:val="21"/>
      <w:szCs w:val="21"/>
      <w:u w:val="none"/>
    </w:rPr>
  </w:style>
  <w:style w:type="character" w:customStyle="1" w:styleId="29">
    <w:name w:val="font71"/>
    <w:basedOn w:val="16"/>
    <w:qFormat/>
    <w:uiPriority w:val="0"/>
    <w:rPr>
      <w:rFonts w:ascii="宋体" w:hAnsi="宋体" w:eastAsia="宋体" w:cs="宋体"/>
      <w:color w:val="FF0000"/>
      <w:sz w:val="20"/>
      <w:szCs w:val="20"/>
      <w:u w:val="none"/>
    </w:rPr>
  </w:style>
  <w:style w:type="character" w:customStyle="1" w:styleId="30">
    <w:name w:val="font111"/>
    <w:basedOn w:val="16"/>
    <w:qFormat/>
    <w:uiPriority w:val="0"/>
    <w:rPr>
      <w:rFonts w:hint="eastAsia" w:ascii="宋体" w:hAnsi="宋体" w:eastAsia="宋体" w:cs="宋体"/>
      <w:color w:val="000000"/>
      <w:sz w:val="21"/>
      <w:szCs w:val="21"/>
      <w:u w:val="none"/>
    </w:rPr>
  </w:style>
  <w:style w:type="character" w:customStyle="1" w:styleId="31">
    <w:name w:val="font11"/>
    <w:basedOn w:val="16"/>
    <w:qFormat/>
    <w:uiPriority w:val="0"/>
    <w:rPr>
      <w:rFonts w:hint="eastAsia" w:ascii="宋体" w:hAnsi="宋体" w:eastAsia="宋体" w:cs="宋体"/>
      <w:color w:val="000000"/>
      <w:sz w:val="20"/>
      <w:szCs w:val="20"/>
      <w:u w:val="none"/>
    </w:rPr>
  </w:style>
  <w:style w:type="character" w:customStyle="1" w:styleId="32">
    <w:name w:val="批注框文本 Char"/>
    <w:basedOn w:val="16"/>
    <w:link w:val="8"/>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654</Words>
  <Characters>3732</Characters>
  <Lines>31</Lines>
  <Paragraphs>8</Paragraphs>
  <TotalTime>0</TotalTime>
  <ScaleCrop>false</ScaleCrop>
  <LinksUpToDate>false</LinksUpToDate>
  <CharactersWithSpaces>4378</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2024-05-06T07:53:00Z</dcterms:created>
  <dc:creator>苏园</dc:creator>
  <cp:lastModifiedBy>钱依曼</cp:lastModifiedBy>
  <cp:lastPrinted>2024-05-06T07:49:00Z</cp:lastPrinted>
  <dcterms:modified xsi:type="dcterms:W3CDTF">2024-05-14T02:21:33Z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C58E661088FE4550953D26529F4952AD_11</vt:lpwstr>
  </property>
</Properties>
</file>