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ink/ink1.xml" ContentType="application/inkml+xml"/>
  <Override PartName="/word/ink/ink2.xml" ContentType="application/inkml+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4AF87">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Cs/>
          <w:sz w:val="44"/>
          <w:szCs w:val="44"/>
        </w:rPr>
      </w:pPr>
      <w:r>
        <w:rPr>
          <w:rFonts w:hint="eastAsia" w:ascii="黑体" w:hAnsi="黑体" w:eastAsia="黑体" w:cs="黑体"/>
          <w:bCs/>
          <w:sz w:val="44"/>
          <w:szCs w:val="44"/>
        </w:rPr>
        <w:t>杭州市拱墅区</w:t>
      </w:r>
      <w:r>
        <w:rPr>
          <w:rFonts w:hint="eastAsia" w:ascii="黑体" w:hAnsi="黑体" w:eastAsia="黑体" w:cs="黑体"/>
          <w:bCs/>
          <w:sz w:val="44"/>
          <w:szCs w:val="44"/>
          <w:lang w:eastAsia="zh-CN"/>
        </w:rPr>
        <w:t>关于建立</w:t>
      </w:r>
      <w:r>
        <w:rPr>
          <w:rFonts w:hint="eastAsia" w:ascii="黑体" w:hAnsi="黑体" w:eastAsia="黑体" w:cs="黑体"/>
          <w:bCs/>
          <w:sz w:val="44"/>
          <w:szCs w:val="44"/>
        </w:rPr>
        <w:t>困难家庭医疗费用</w:t>
      </w:r>
    </w:p>
    <w:p w14:paraId="2FACBF4E">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bCs/>
          <w:sz w:val="44"/>
          <w:szCs w:val="44"/>
        </w:rPr>
      </w:pPr>
      <w:r>
        <w:rPr>
          <w:rFonts w:hint="eastAsia" w:ascii="黑体" w:hAnsi="黑体" w:eastAsia="黑体" w:cs="黑体"/>
          <w:bCs/>
          <w:sz w:val="44"/>
          <w:szCs w:val="44"/>
        </w:rPr>
        <w:t>负担封顶制</w:t>
      </w:r>
      <w:r>
        <w:rPr>
          <w:rFonts w:hint="eastAsia" w:ascii="黑体" w:hAnsi="黑体" w:eastAsia="黑体" w:cs="黑体"/>
          <w:bCs/>
          <w:sz w:val="44"/>
          <w:szCs w:val="44"/>
          <w:lang w:eastAsia="zh-CN"/>
        </w:rPr>
        <w:t>的</w:t>
      </w:r>
      <w:r>
        <w:rPr>
          <w:rFonts w:hint="eastAsia" w:ascii="黑体" w:hAnsi="黑体" w:eastAsia="黑体" w:cs="黑体"/>
          <w:bCs/>
          <w:sz w:val="44"/>
          <w:szCs w:val="44"/>
        </w:rPr>
        <w:t>实施方案</w:t>
      </w:r>
    </w:p>
    <w:p w14:paraId="1A959FB6">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华文楷体" w:hAnsi="华文楷体" w:eastAsia="华文楷体" w:cs="华文楷体"/>
          <w:bCs/>
          <w:szCs w:val="32"/>
        </w:rPr>
      </w:pPr>
      <w:r>
        <w:rPr>
          <w:rFonts w:hint="eastAsia" w:ascii="华文楷体" w:hAnsi="华文楷体" w:eastAsia="华文楷体" w:cs="华文楷体"/>
          <w:bCs/>
          <w:szCs w:val="32"/>
        </w:rPr>
        <w:t>（</w:t>
      </w:r>
      <w:r>
        <w:rPr>
          <w:rFonts w:hint="eastAsia" w:ascii="华文楷体" w:hAnsi="华文楷体" w:eastAsia="华文楷体" w:cs="华文楷体"/>
          <w:bCs/>
          <w:szCs w:val="32"/>
          <w:lang w:eastAsia="zh-CN"/>
        </w:rPr>
        <w:t>送审</w:t>
      </w:r>
      <w:r>
        <w:rPr>
          <w:rFonts w:hint="eastAsia" w:ascii="华文楷体" w:hAnsi="华文楷体" w:eastAsia="华文楷体" w:cs="华文楷体"/>
          <w:bCs/>
          <w:szCs w:val="32"/>
        </w:rPr>
        <w:t>稿）</w:t>
      </w:r>
    </w:p>
    <w:p w14:paraId="5D83C59A">
      <w:pPr>
        <w:keepNext w:val="0"/>
        <w:keepLines w:val="0"/>
        <w:pageBreakBefore w:val="0"/>
        <w:widowControl w:val="0"/>
        <w:kinsoku/>
        <w:wordWrap/>
        <w:overflowPunct/>
        <w:topLinePunct w:val="0"/>
        <w:autoSpaceDE/>
        <w:autoSpaceDN/>
        <w:bidi w:val="0"/>
        <w:adjustRightInd/>
        <w:snapToGrid/>
        <w:spacing w:line="579" w:lineRule="exact"/>
        <w:textAlignment w:val="auto"/>
      </w:pPr>
    </w:p>
    <w:p w14:paraId="5A4FB99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kern w:val="32"/>
        </w:rPr>
      </w:pPr>
      <w:r>
        <w:rPr>
          <w:rFonts w:hint="eastAsia"/>
          <w:kern w:val="32"/>
        </w:rPr>
        <w:t>为进一步减轻困难群众就医负担，扎实开展“扩中提低”共富行动，根据《杭州市人民政</w:t>
      </w:r>
      <w:bookmarkStart w:id="0" w:name="_GoBack"/>
      <w:bookmarkEnd w:id="0"/>
      <w:r>
        <w:rPr>
          <w:rFonts w:hint="eastAsia"/>
          <w:kern w:val="32"/>
        </w:rPr>
        <w:t>府办公厅关于印发杭州市构建因病致贫返贫防范长效机制实施办法的通知》（杭政办函〔2022〕70号）、《杭州市医疗保障局等八部门关于建立杭州市困难家庭医疗费用负担封顶制的实施意见》（杭医保〔2023〕52号）等文件要求，结合我区实际，特制定本实施方案。</w:t>
      </w:r>
    </w:p>
    <w:p w14:paraId="220EA74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cs="黑体"/>
          <w:kern w:val="32"/>
          <w:shd w:val="clear" w:color="auto" w:fill="FFFFFF"/>
        </w:rPr>
      </w:pPr>
      <w:r>
        <w:rPr>
          <w:rFonts w:hint="eastAsia" w:ascii="黑体" w:hAnsi="黑体" w:eastAsia="黑体" w:cs="黑体"/>
          <w:kern w:val="32"/>
          <w:shd w:val="clear" w:color="auto" w:fill="FFFFFF"/>
        </w:rPr>
        <w:t>一、总体目标</w:t>
      </w:r>
    </w:p>
    <w:p w14:paraId="5E31508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kern w:val="32"/>
        </w:rPr>
      </w:pPr>
      <w:r>
        <w:rPr>
          <w:rFonts w:hint="eastAsia"/>
          <w:kern w:val="32"/>
        </w:rPr>
        <w:t>以习近平新时代中国特色社会主义思想为指导，全面贯彻党的二十大精神，牢固树立以人民为中心的发展思想，坚持尽力而为、量力而行，聚焦健全因病致贫返贫防范长效机制，整合医疗保障、社会救助、慈善帮扶等资源，提高各类财政救助资金的绩效，多渠道筹集建立病贫无忧暖心基金（以下简称“暖心基金”）。建立以</w:t>
      </w:r>
      <w:r>
        <w:rPr>
          <w:rFonts w:hint="eastAsia"/>
          <w:kern w:val="32"/>
          <w:lang w:eastAsia="zh-CN"/>
        </w:rPr>
        <w:t>困难</w:t>
      </w:r>
      <w:r>
        <w:rPr>
          <w:rFonts w:hint="eastAsia"/>
          <w:kern w:val="32"/>
        </w:rPr>
        <w:t>家庭为单位的医疗费用负担封顶制，</w:t>
      </w:r>
      <w:r>
        <w:rPr>
          <w:rFonts w:hint="eastAsia"/>
          <w:kern w:val="32"/>
          <w:lang w:eastAsia="zh-CN"/>
        </w:rPr>
        <w:t>实现</w:t>
      </w:r>
      <w:r>
        <w:rPr>
          <w:rFonts w:hint="eastAsia"/>
          <w:kern w:val="32"/>
        </w:rPr>
        <w:t>多部门协同化解困难群众高额医疗费用负担，确保我区困难群众医疗费用综合保障率达到90%，有效降低因病致贫返贫风险。</w:t>
      </w:r>
    </w:p>
    <w:p w14:paraId="7F86A555">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cs="黑体"/>
          <w:kern w:val="32"/>
          <w:shd w:val="clear" w:color="auto" w:fill="FFFFFF"/>
        </w:rPr>
      </w:pPr>
      <w:r>
        <w:rPr>
          <w:rFonts w:hint="eastAsia" w:ascii="黑体" w:hAnsi="黑体" w:eastAsia="黑体" w:cs="黑体"/>
          <w:kern w:val="32"/>
          <w:shd w:val="clear" w:color="auto" w:fill="FFFFFF"/>
        </w:rPr>
        <w:t>二、基本政策</w:t>
      </w:r>
    </w:p>
    <w:p w14:paraId="0138362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kern w:val="32"/>
        </w:rPr>
      </w:pPr>
      <w:r>
        <w:rPr>
          <w:rFonts w:hint="eastAsia" w:eastAsia="楷体_GB2312"/>
          <w:bCs/>
          <w:kern w:val="32"/>
          <w:shd w:val="clear" w:color="auto" w:fill="FFFFFF"/>
        </w:rPr>
        <w:t>（一）保障对象。</w:t>
      </w:r>
      <w:r>
        <w:rPr>
          <w:rFonts w:hint="eastAsia"/>
          <w:kern w:val="32"/>
        </w:rPr>
        <w:t>持有效期内本区民政部门核发的《特困人员救助供养证》《最低生活保障家庭证》《最低生活保障边缘家庭证》的基本医疗保险参保人员（以下统称困难群众）。</w:t>
      </w:r>
    </w:p>
    <w:p w14:paraId="2168406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kern w:val="32"/>
        </w:rPr>
      </w:pPr>
      <w:r>
        <w:rPr>
          <w:rFonts w:hint="eastAsia" w:eastAsia="楷体_GB2312"/>
          <w:bCs/>
          <w:kern w:val="32"/>
          <w:shd w:val="clear" w:color="auto" w:fill="FFFFFF"/>
        </w:rPr>
        <w:t>（二）保障范围。</w:t>
      </w:r>
      <w:r>
        <w:rPr>
          <w:rFonts w:hint="eastAsia"/>
          <w:kern w:val="32"/>
        </w:rPr>
        <w:t>困难群众在定点医药机构就诊发生的经基本医疗保险、大病保险、医疗救助、政策性商业保险结算并享受各类医疗补助后由个人承担的合理医疗费用。合理医疗费用原则上以医保结算系统中的数据为准。</w:t>
      </w:r>
    </w:p>
    <w:p w14:paraId="4ABF736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kern w:val="32"/>
        </w:rPr>
      </w:pPr>
      <w:r>
        <w:rPr>
          <w:rFonts w:hint="eastAsia" w:eastAsia="楷体_GB2312"/>
          <w:bCs/>
          <w:kern w:val="32"/>
          <w:shd w:val="clear" w:color="auto" w:fill="FFFFFF"/>
        </w:rPr>
        <w:t>（三）待遇标准。</w:t>
      </w:r>
      <w:r>
        <w:rPr>
          <w:rFonts w:hint="eastAsia"/>
          <w:kern w:val="32"/>
        </w:rPr>
        <w:t>以本区民政部门认定的社会救助家庭为单位，对其上一年度承担的合理医疗费用</w:t>
      </w:r>
      <w:r>
        <w:rPr>
          <w:rFonts w:hint="eastAsia"/>
          <w:kern w:val="32"/>
          <w:lang w:eastAsia="zh-CN"/>
        </w:rPr>
        <w:t>（列入</w:t>
      </w:r>
      <w:r>
        <w:rPr>
          <w:rFonts w:hint="eastAsia"/>
          <w:kern w:val="32"/>
        </w:rPr>
        <w:t>负面清单</w:t>
      </w:r>
      <w:r>
        <w:rPr>
          <w:rFonts w:hint="eastAsia"/>
          <w:kern w:val="32"/>
          <w:lang w:eastAsia="zh-CN"/>
        </w:rPr>
        <w:t>的费用除外，负面清单见附</w:t>
      </w:r>
      <w:r>
        <w:rPr>
          <w:rFonts w:hint="eastAsia"/>
          <w:kern w:val="32"/>
          <w:lang w:val="en-US" w:eastAsia="zh-CN"/>
        </w:rPr>
        <w:t>1</w:t>
      </w:r>
      <w:r>
        <w:rPr>
          <w:rFonts w:hint="eastAsia"/>
          <w:kern w:val="32"/>
          <w:lang w:eastAsia="zh-CN"/>
        </w:rPr>
        <w:t>）</w:t>
      </w:r>
      <w:r>
        <w:rPr>
          <w:rFonts w:hint="eastAsia"/>
          <w:kern w:val="32"/>
        </w:rPr>
        <w:t>超过以下标准的部分给予100%兜底保障：特困人员5000元、低保家庭3万元、低边家庭5万元。</w:t>
      </w:r>
    </w:p>
    <w:p w14:paraId="23BEA21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cs="黑体"/>
          <w:kern w:val="32"/>
          <w:shd w:val="clear" w:color="auto" w:fill="FFFFFF"/>
        </w:rPr>
      </w:pPr>
      <w:r>
        <w:rPr>
          <w:rFonts w:hint="eastAsia" w:ascii="黑体" w:hAnsi="黑体" w:eastAsia="黑体" w:cs="黑体"/>
          <w:kern w:val="32"/>
          <w:shd w:val="clear" w:color="auto" w:fill="FFFFFF"/>
        </w:rPr>
        <w:t>三、主要措施</w:t>
      </w:r>
    </w:p>
    <w:p w14:paraId="55CABC9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eastAsia="楷体"/>
          <w:bCs/>
          <w:kern w:val="32"/>
          <w:shd w:val="clear" w:color="auto" w:fill="FFFFFF"/>
          <w:lang w:eastAsia="zh-CN"/>
        </w:rPr>
      </w:pPr>
      <w:r>
        <w:rPr>
          <w:rFonts w:hint="eastAsia" w:eastAsia="楷体_GB2312"/>
          <w:bCs/>
          <w:kern w:val="32"/>
          <w:shd w:val="clear" w:color="auto" w:fill="FFFFFF"/>
        </w:rPr>
        <w:t>（一）</w:t>
      </w:r>
      <w:r>
        <w:rPr>
          <w:rFonts w:hint="eastAsia" w:ascii="楷体" w:hAnsi="楷体" w:eastAsia="楷体"/>
          <w:bCs/>
          <w:kern w:val="32"/>
          <w:shd w:val="clear" w:color="auto" w:fill="FFFFFF"/>
        </w:rPr>
        <w:t>建</w:t>
      </w:r>
      <w:r>
        <w:rPr>
          <w:rFonts w:hint="eastAsia" w:ascii="楷体" w:hAnsi="楷体" w:eastAsia="楷体"/>
          <w:bCs/>
          <w:kern w:val="32"/>
          <w:shd w:val="clear" w:color="auto" w:fill="FFFFFF"/>
          <w:lang w:eastAsia="zh-CN"/>
        </w:rPr>
        <w:t>立</w:t>
      </w:r>
      <w:r>
        <w:rPr>
          <w:rFonts w:hint="eastAsia" w:ascii="楷体" w:hAnsi="楷体" w:eastAsia="楷体" w:cs="微软雅黑"/>
          <w:bCs/>
          <w:kern w:val="32"/>
          <w:shd w:val="clear" w:color="auto" w:fill="FFFFFF"/>
        </w:rPr>
        <w:t>困难人员预警监测</w:t>
      </w:r>
      <w:r>
        <w:rPr>
          <w:rFonts w:hint="eastAsia" w:ascii="楷体" w:hAnsi="楷体" w:eastAsia="楷体" w:cs="微软雅黑"/>
          <w:bCs/>
          <w:kern w:val="32"/>
          <w:shd w:val="clear" w:color="auto" w:fill="FFFFFF"/>
          <w:lang w:eastAsia="zh-CN"/>
        </w:rPr>
        <w:t>机制</w:t>
      </w:r>
    </w:p>
    <w:p w14:paraId="3FFFEF7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kern w:val="32"/>
          <w:lang w:eastAsia="zh-CN"/>
        </w:rPr>
      </w:pPr>
      <w:r>
        <w:rPr>
          <w:rFonts w:hint="eastAsia"/>
          <w:kern w:val="32"/>
        </w:rPr>
        <w:t>依托浙江省“智慧医保”和省大救助信平台系统等数字化平台，实现因病致贫和因病返贫双预警。将年度个人医疗费用现金支付2万元以上的社会救助对象、易返贫致贫对象、其他低收入对象等低收入群体，以及个人承担医疗费用超过</w:t>
      </w:r>
      <w:r>
        <w:rPr>
          <w:rFonts w:hint="eastAsia"/>
          <w:kern w:val="32"/>
          <w:lang w:eastAsia="zh-CN"/>
        </w:rPr>
        <w:t>杭州市</w:t>
      </w:r>
      <w:r>
        <w:rPr>
          <w:rFonts w:hint="eastAsia"/>
          <w:kern w:val="32"/>
        </w:rPr>
        <w:t>上年度城</w:t>
      </w:r>
      <w:r>
        <w:rPr>
          <w:rFonts w:hint="eastAsia"/>
          <w:kern w:val="32"/>
          <w:lang w:eastAsia="zh-CN"/>
        </w:rPr>
        <w:t>乡</w:t>
      </w:r>
      <w:r>
        <w:rPr>
          <w:rFonts w:hint="eastAsia"/>
          <w:kern w:val="32"/>
        </w:rPr>
        <w:t>居民人均可支配收入的</w:t>
      </w:r>
      <w:r>
        <w:rPr>
          <w:rFonts w:hint="eastAsia"/>
          <w:kern w:val="32"/>
          <w:lang w:eastAsia="zh-CN"/>
        </w:rPr>
        <w:t>基本</w:t>
      </w:r>
      <w:r>
        <w:rPr>
          <w:rFonts w:hint="eastAsia"/>
          <w:kern w:val="32"/>
        </w:rPr>
        <w:t>医疗保险参保人员，均纳入因病致贫返贫监测范围，并建立因病致贫返贫风险潜在对象库。强化对因病致贫返贫风险潜在对象参保缴费状态的监测，确保参保全覆盖、待遇不中断。</w:t>
      </w:r>
      <w:r>
        <w:rPr>
          <w:rFonts w:hint="eastAsia" w:ascii="楷体" w:hAnsi="楷体" w:eastAsia="楷体" w:cs="楷体"/>
          <w:kern w:val="32"/>
          <w:lang w:eastAsia="zh-CN"/>
        </w:rPr>
        <w:t>（责任单位：区民政局、区人力社保局）</w:t>
      </w:r>
    </w:p>
    <w:p w14:paraId="784832E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eastAsia="楷体_GB2312"/>
          <w:bCs/>
          <w:kern w:val="32"/>
          <w:shd w:val="clear" w:color="auto" w:fill="FFFFFF"/>
        </w:rPr>
      </w:pPr>
      <w:r>
        <w:rPr>
          <w:rFonts w:hint="eastAsia" w:eastAsia="楷体_GB2312"/>
          <w:bCs/>
          <w:kern w:val="32"/>
          <w:shd w:val="clear" w:color="auto" w:fill="FFFFFF"/>
        </w:rPr>
        <w:t>（二）</w:t>
      </w:r>
      <w:r>
        <w:rPr>
          <w:rFonts w:hint="eastAsia" w:ascii="楷体" w:hAnsi="楷体" w:eastAsia="楷体"/>
          <w:bCs/>
          <w:kern w:val="32"/>
          <w:shd w:val="clear" w:color="auto" w:fill="FFFFFF"/>
        </w:rPr>
        <w:t>强化</w:t>
      </w:r>
      <w:r>
        <w:rPr>
          <w:rFonts w:hint="eastAsia" w:ascii="楷体" w:hAnsi="楷体" w:eastAsia="楷体" w:cs="微软雅黑"/>
          <w:bCs/>
          <w:kern w:val="32"/>
          <w:shd w:val="clear" w:color="auto" w:fill="FFFFFF"/>
        </w:rPr>
        <w:t>医疗服务质量监督机制</w:t>
      </w:r>
    </w:p>
    <w:p w14:paraId="4FDE2E8C">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kern w:val="32"/>
        </w:rPr>
      </w:pPr>
      <w:r>
        <w:rPr>
          <w:rFonts w:hint="eastAsia"/>
          <w:kern w:val="32"/>
        </w:rPr>
        <w:t>着力降低看病就医成本，加强对医疗机构诊疗服务行为和困难群众就医购药行为的管理，引导医疗机构和困难群众优先选择使用基本医保目录内同质优价药品、医用耗材和医疗服务项目。积极开展分级诊疗，鼓励困难群众与家庭医生开展签约服务，引导困难群众有序合理就医。</w:t>
      </w:r>
    </w:p>
    <w:p w14:paraId="63D974E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kern w:val="32"/>
          <w:lang w:eastAsia="zh-CN"/>
        </w:rPr>
      </w:pPr>
      <w:r>
        <w:rPr>
          <w:rFonts w:hint="eastAsia"/>
          <w:kern w:val="32"/>
        </w:rPr>
        <w:t>加大对困难群众医疗费用管理力度，实施合理医疗费用负面清单管理，并根据实际运行情况动态调整；有效降低困难家庭自费费用在总医疗费用中的占比，避免不合理医疗费用发生，探索将困难群众自费率、自费费用上传情况等纳入医疗机构考核评价体系，切实降低困难群众医疗费用个人负担水平。</w:t>
      </w:r>
      <w:r>
        <w:rPr>
          <w:rFonts w:hint="eastAsia" w:ascii="楷体" w:hAnsi="楷体" w:eastAsia="楷体" w:cs="楷体"/>
          <w:kern w:val="32"/>
          <w:lang w:eastAsia="zh-CN"/>
        </w:rPr>
        <w:t>（责任单位：区卫健局、区人力社保局）</w:t>
      </w:r>
    </w:p>
    <w:p w14:paraId="2FCF57D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eastAsia="楷体_GB2312"/>
          <w:bCs/>
          <w:kern w:val="32"/>
          <w:shd w:val="clear" w:color="auto" w:fill="FFFFFF"/>
        </w:rPr>
      </w:pPr>
      <w:r>
        <w:rPr>
          <w:rFonts w:hint="eastAsia" w:eastAsia="楷体_GB2312"/>
          <w:bCs/>
          <w:kern w:val="32"/>
          <w:shd w:val="clear" w:color="auto" w:fill="FFFFFF"/>
        </w:rPr>
        <w:t>（三）健全</w:t>
      </w:r>
      <w:r>
        <w:rPr>
          <w:rFonts w:hint="eastAsia" w:eastAsia="楷体_GB2312"/>
          <w:bCs/>
          <w:kern w:val="32"/>
          <w:shd w:val="clear" w:color="auto" w:fill="FFFFFF"/>
          <w:lang w:eastAsia="zh-CN"/>
        </w:rPr>
        <w:t>多元</w:t>
      </w:r>
      <w:r>
        <w:rPr>
          <w:rFonts w:hint="eastAsia" w:eastAsia="楷体_GB2312"/>
          <w:bCs/>
          <w:kern w:val="32"/>
          <w:shd w:val="clear" w:color="auto" w:fill="FFFFFF"/>
        </w:rPr>
        <w:t>参与梯次减负和兜底保障机制</w:t>
      </w:r>
    </w:p>
    <w:p w14:paraId="3FE4B44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kern w:val="32"/>
          <w:u w:val="none"/>
        </w:rPr>
      </w:pPr>
      <w:r>
        <w:rPr>
          <w:rFonts w:hint="eastAsia"/>
          <w:kern w:val="32"/>
        </w:rPr>
        <w:t>通过建立暖心基金对困难群众合理医疗费用进行封顶制帮扶。在整合各部门涉及医疗费用救助、援助、补助政策的资源的基础上，根据困难群众人数及医疗费用发生情况确定暖心基金规模，通过社会捐赠、财政资金补助等方式进行多元募集，其中财政资金补助占比原则上不超过1/3，由市、区财政根据暖心基金实际支付情况按照1：1承担。引导我区惠民型商业补充医疗保险承保公司更好承担社会责任，积极参与暖心基金建设；鼓励定</w:t>
      </w:r>
      <w:r>
        <w:rPr>
          <w:rFonts w:hint="eastAsia"/>
          <w:kern w:val="32"/>
          <w:u w:val="none"/>
        </w:rPr>
        <w:t>点医药机构、爱心企业等社会力量积极参与防贫共富工作。</w:t>
      </w:r>
    </w:p>
    <w:p w14:paraId="33AE3862">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楷体" w:hAnsi="楷体" w:eastAsia="楷体" w:cs="楷体"/>
          <w:kern w:val="32"/>
          <w:lang w:eastAsia="zh-CN"/>
        </w:rPr>
      </w:pPr>
      <w:r>
        <w:rPr>
          <w:rFonts w:hint="eastAsia"/>
          <w:kern w:val="32"/>
          <w:u w:val="none"/>
          <w:lang w:eastAsia="zh-CN"/>
        </w:rPr>
        <w:t>区人力社保局</w:t>
      </w:r>
      <w:r>
        <w:rPr>
          <w:rFonts w:hint="eastAsia"/>
          <w:kern w:val="32"/>
          <w:lang w:eastAsia="zh-CN"/>
        </w:rPr>
        <w:t>提供医保结算数据</w:t>
      </w:r>
      <w:r>
        <w:rPr>
          <w:rFonts w:hint="eastAsia"/>
          <w:kern w:val="32"/>
        </w:rPr>
        <w:t>，区民政局、区卫健局、区</w:t>
      </w:r>
      <w:r>
        <w:rPr>
          <w:rFonts w:hint="eastAsia"/>
          <w:kern w:val="32"/>
          <w:lang w:eastAsia="zh-CN"/>
        </w:rPr>
        <w:t>退役军人事务局</w:t>
      </w:r>
      <w:r>
        <w:rPr>
          <w:rFonts w:hint="eastAsia"/>
          <w:kern w:val="32"/>
        </w:rPr>
        <w:t>、区总工会、区残联、</w:t>
      </w:r>
      <w:r>
        <w:rPr>
          <w:rFonts w:hint="eastAsia"/>
          <w:kern w:val="32"/>
          <w:lang w:val="en-US" w:eastAsia="zh-CN"/>
        </w:rPr>
        <w:t>区妇联、</w:t>
      </w:r>
      <w:r>
        <w:rPr>
          <w:rFonts w:hint="eastAsia"/>
          <w:kern w:val="32"/>
        </w:rPr>
        <w:t>区红十字会</w:t>
      </w:r>
      <w:r>
        <w:rPr>
          <w:rFonts w:hint="eastAsia"/>
          <w:kern w:val="32"/>
          <w:lang w:eastAsia="zh-CN"/>
        </w:rPr>
        <w:t>、区慈善总会</w:t>
      </w:r>
      <w:r>
        <w:rPr>
          <w:rFonts w:hint="eastAsia"/>
          <w:kern w:val="32"/>
        </w:rPr>
        <w:t>等按照相应顺序落实梯次减负职责</w:t>
      </w:r>
      <w:r>
        <w:rPr>
          <w:rFonts w:hint="eastAsia"/>
          <w:kern w:val="32"/>
          <w:lang w:eastAsia="zh-CN"/>
        </w:rPr>
        <w:t>（减负顺序见附件</w:t>
      </w:r>
      <w:r>
        <w:rPr>
          <w:rFonts w:hint="eastAsia"/>
          <w:kern w:val="32"/>
          <w:lang w:val="en-US" w:eastAsia="zh-CN"/>
        </w:rPr>
        <w:t>2</w:t>
      </w:r>
      <w:r>
        <w:rPr>
          <w:rFonts w:hint="eastAsia"/>
          <w:kern w:val="32"/>
          <w:lang w:eastAsia="zh-CN"/>
        </w:rPr>
        <w:t>）</w:t>
      </w:r>
      <w:r>
        <w:rPr>
          <w:rFonts w:hint="eastAsia"/>
          <w:kern w:val="32"/>
        </w:rPr>
        <w:t>，区暖心基金</w:t>
      </w:r>
      <w:r>
        <w:rPr>
          <w:rFonts w:hint="eastAsia"/>
          <w:kern w:val="32"/>
          <w:lang w:val="en-US" w:eastAsia="zh-CN"/>
        </w:rPr>
        <w:t>管委会</w:t>
      </w:r>
      <w:r>
        <w:rPr>
          <w:rFonts w:hint="eastAsia"/>
          <w:kern w:val="32"/>
        </w:rPr>
        <w:t>对符合条件的医疗费用进行审核，由区慈善总会将款项拨付给困难群众。</w:t>
      </w:r>
      <w:r>
        <w:rPr>
          <w:rFonts w:hint="eastAsia" w:ascii="楷体" w:hAnsi="楷体" w:eastAsia="楷体" w:cs="楷体"/>
          <w:kern w:val="32"/>
          <w:lang w:eastAsia="zh-CN"/>
        </w:rPr>
        <w:t>（责任单位：专班各成员单位）</w:t>
      </w:r>
    </w:p>
    <w:p w14:paraId="2F93EBF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ascii="黑体" w:hAnsi="黑体" w:eastAsia="黑体" w:cs="黑体"/>
          <w:kern w:val="32"/>
          <w:shd w:val="clear" w:color="auto" w:fill="FFFFFF"/>
        </w:rPr>
      </w:pPr>
      <w:r>
        <w:rPr>
          <w:rFonts w:hint="eastAsia" w:ascii="黑体" w:hAnsi="黑体" w:eastAsia="黑体" w:cs="黑体"/>
          <w:kern w:val="32"/>
          <w:shd w:val="clear" w:color="auto" w:fill="FFFFFF"/>
        </w:rPr>
        <w:t>四、工作要求</w:t>
      </w:r>
    </w:p>
    <w:p w14:paraId="3E680870">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kern w:val="32"/>
          <w:lang w:eastAsia="zh-CN"/>
        </w:rPr>
      </w:pPr>
      <w:r>
        <w:rPr>
          <w:rFonts w:hint="eastAsia" w:eastAsia="楷体_GB2312"/>
          <w:bCs/>
          <w:kern w:val="32"/>
          <w:shd w:val="clear" w:color="auto" w:fill="FFFFFF"/>
        </w:rPr>
        <w:t>（一）强化组织领导。</w:t>
      </w:r>
      <w:r>
        <w:rPr>
          <w:rFonts w:hint="eastAsia"/>
          <w:kern w:val="32"/>
          <w:lang w:eastAsia="zh-CN"/>
        </w:rPr>
        <w:t>区政府成立专班，统筹协调全区工作。</w:t>
      </w:r>
      <w:r>
        <w:rPr>
          <w:rFonts w:hint="eastAsia"/>
          <w:kern w:val="32"/>
        </w:rPr>
        <w:t>将健全因病致贫返贫防范长效机制作为共同富裕和公共服务优质共享的重要内容，纳入工作考核，形成政府主导、部门联动、社会参与的工作格局，鼓励引导更多的社会力量、资金投向因病致贫返贫重点群体激励保障项目。</w:t>
      </w:r>
      <w:r>
        <w:rPr>
          <w:rFonts w:hint="eastAsia"/>
          <w:kern w:val="32"/>
          <w:lang w:eastAsia="zh-CN"/>
        </w:rPr>
        <w:t>区慈善总会设立暖心基金，并建立专项管委会，具体负责相关落实工作。</w:t>
      </w:r>
    </w:p>
    <w:p w14:paraId="4083286B">
      <w:pPr>
        <w:keepNext w:val="0"/>
        <w:keepLines w:val="0"/>
        <w:widowControl w:val="0"/>
        <w:suppressLineNumbers w:val="0"/>
        <w:autoSpaceDE w:val="0"/>
        <w:autoSpaceDN/>
        <w:spacing w:before="0" w:beforeAutospacing="0" w:after="0" w:afterAutospacing="0" w:line="579" w:lineRule="exact"/>
        <w:ind w:left="0" w:right="0" w:firstLine="640" w:firstLineChars="200"/>
        <w:jc w:val="both"/>
        <w:rPr>
          <w:kern w:val="32"/>
        </w:rPr>
      </w:pPr>
      <w:r>
        <w:rPr>
          <w:rFonts w:hint="eastAsia" w:eastAsia="楷体_GB2312"/>
          <w:bCs/>
          <w:kern w:val="32"/>
          <w:shd w:val="clear" w:color="auto" w:fill="FFFFFF"/>
        </w:rPr>
        <w:t>（二）落实责任分工。</w:t>
      </w:r>
      <w:r>
        <w:rPr>
          <w:rFonts w:hint="eastAsia"/>
          <w:kern w:val="32"/>
        </w:rPr>
        <w:t>建立工作协调推进机制，</w:t>
      </w:r>
      <w:r>
        <w:rPr>
          <w:rFonts w:hint="eastAsia"/>
          <w:b/>
          <w:bCs/>
          <w:kern w:val="32"/>
          <w:lang w:eastAsia="zh-CN"/>
        </w:rPr>
        <w:t>区人力社保局</w:t>
      </w:r>
      <w:r>
        <w:rPr>
          <w:rFonts w:hint="eastAsia"/>
          <w:kern w:val="32"/>
        </w:rPr>
        <w:t>负责牵头组织实施困难家庭医疗费用负担封顶制相关工作。</w:t>
      </w:r>
      <w:r>
        <w:rPr>
          <w:rFonts w:hint="eastAsia"/>
          <w:b/>
          <w:bCs/>
          <w:kern w:val="32"/>
        </w:rPr>
        <w:t>区民政局</w:t>
      </w:r>
      <w:r>
        <w:rPr>
          <w:rFonts w:hint="eastAsia"/>
          <w:kern w:val="32"/>
        </w:rPr>
        <w:t>负责因病致贫返贫对象监测以及特困、低保、低边对象的认定及动态更新管理，</w:t>
      </w:r>
      <w:r>
        <w:rPr>
          <w:rFonts w:hint="eastAsia"/>
          <w:kern w:val="32"/>
          <w:lang w:val="en-US" w:eastAsia="zh-CN"/>
        </w:rPr>
        <w:t>民生保障综合应用场景建设，</w:t>
      </w:r>
      <w:r>
        <w:rPr>
          <w:rFonts w:hint="eastAsia"/>
          <w:kern w:val="32"/>
        </w:rPr>
        <w:t>并支持慈善救助</w:t>
      </w:r>
      <w:r>
        <w:rPr>
          <w:rFonts w:hint="eastAsia"/>
          <w:kern w:val="32"/>
          <w:lang w:eastAsia="zh-CN"/>
        </w:rPr>
        <w:t>融合</w:t>
      </w:r>
      <w:r>
        <w:rPr>
          <w:rFonts w:hint="eastAsia"/>
          <w:kern w:val="32"/>
        </w:rPr>
        <w:t>发展。</w:t>
      </w:r>
      <w:r>
        <w:rPr>
          <w:rFonts w:hint="default" w:ascii="仿宋_GB2312" w:hAnsi="Times New Roman" w:eastAsia="仿宋_GB2312" w:cs="仿宋_GB2312"/>
          <w:b/>
          <w:kern w:val="2"/>
          <w:sz w:val="32"/>
          <w:szCs w:val="32"/>
          <w:lang w:val="en-US" w:eastAsia="zh-CN" w:bidi="ar"/>
          <w:woUserID w:val="1"/>
        </w:rPr>
        <w:t>区信访局</w:t>
      </w:r>
      <w:r>
        <w:rPr>
          <w:rFonts w:hint="default" w:ascii="仿宋_GB2312" w:hAnsi="Times New Roman" w:eastAsia="仿宋_GB2312" w:cs="仿宋_GB2312"/>
          <w:b w:val="0"/>
          <w:kern w:val="2"/>
          <w:sz w:val="32"/>
          <w:szCs w:val="32"/>
          <w:lang w:val="en-US" w:eastAsia="zh-CN" w:bidi="ar"/>
          <w:woUserID w:val="1"/>
        </w:rPr>
        <w:t>负责做好相关的信访工作。</w:t>
      </w:r>
      <w:r>
        <w:rPr>
          <w:rFonts w:hint="eastAsia"/>
          <w:b/>
          <w:bCs/>
          <w:kern w:val="32"/>
        </w:rPr>
        <w:t>区财政局</w:t>
      </w:r>
      <w:r>
        <w:rPr>
          <w:rFonts w:hint="eastAsia"/>
          <w:kern w:val="32"/>
        </w:rPr>
        <w:t>按规定落实相关资金保障。</w:t>
      </w:r>
      <w:r>
        <w:rPr>
          <w:rFonts w:hint="eastAsia"/>
          <w:b/>
          <w:bCs/>
          <w:kern w:val="32"/>
        </w:rPr>
        <w:t>区卫健局</w:t>
      </w:r>
      <w:r>
        <w:rPr>
          <w:rFonts w:hint="eastAsia"/>
          <w:kern w:val="32"/>
        </w:rPr>
        <w:t>负责加强对医疗机构的行业管理，规范诊疗服务，做好分级诊疗体系建设，协助医保部门加强困难群众个人负担费用管理</w:t>
      </w:r>
      <w:r>
        <w:rPr>
          <w:rFonts w:hint="eastAsia"/>
          <w:kern w:val="32"/>
          <w:lang w:eastAsia="zh-CN"/>
        </w:rPr>
        <w:t>，</w:t>
      </w:r>
      <w:r>
        <w:rPr>
          <w:rFonts w:hint="eastAsia"/>
          <w:kern w:val="32"/>
          <w:lang w:val="en-US" w:eastAsia="zh-CN"/>
        </w:rPr>
        <w:t>并做好</w:t>
      </w:r>
      <w:r>
        <w:rPr>
          <w:rFonts w:hint="eastAsia"/>
          <w:kern w:val="32"/>
        </w:rPr>
        <w:t>相</w:t>
      </w:r>
      <w:r>
        <w:rPr>
          <w:rFonts w:hint="eastAsia"/>
          <w:kern w:val="32"/>
          <w:lang w:val="en-US" w:eastAsia="zh-CN"/>
        </w:rPr>
        <w:t>应</w:t>
      </w:r>
      <w:r>
        <w:rPr>
          <w:rFonts w:hint="eastAsia"/>
          <w:kern w:val="32"/>
        </w:rPr>
        <w:t>救助政策给付</w:t>
      </w:r>
      <w:r>
        <w:rPr>
          <w:rFonts w:hint="eastAsia"/>
          <w:kern w:val="32"/>
          <w:lang w:val="en-US" w:eastAsia="zh-CN"/>
        </w:rPr>
        <w:t>信息反馈。</w:t>
      </w:r>
      <w:r>
        <w:rPr>
          <w:rFonts w:hint="eastAsia" w:ascii="Times New Roman" w:hAnsi="Times New Roman" w:eastAsia="仿宋_GB2312" w:cs="Times New Roman"/>
          <w:b/>
          <w:bCs/>
          <w:kern w:val="2"/>
          <w:sz w:val="32"/>
          <w:szCs w:val="32"/>
          <w:highlight w:val="none"/>
          <w:lang w:val="en-US" w:eastAsia="zh-CN" w:bidi="ar-SA"/>
        </w:rPr>
        <w:t>区</w:t>
      </w:r>
      <w:r>
        <w:rPr>
          <w:rFonts w:hint="eastAsia" w:cs="Times New Roman"/>
          <w:b/>
          <w:bCs/>
          <w:kern w:val="2"/>
          <w:sz w:val="32"/>
          <w:szCs w:val="32"/>
          <w:highlight w:val="none"/>
          <w:lang w:val="en-US" w:eastAsia="zh-CN" w:bidi="ar-SA"/>
        </w:rPr>
        <w:t>退役军人事务局</w:t>
      </w:r>
      <w:r>
        <w:rPr>
          <w:rFonts w:hint="eastAsia" w:ascii="Times New Roman" w:hAnsi="Times New Roman" w:eastAsia="仿宋_GB2312" w:cs="Times New Roman"/>
          <w:b/>
          <w:bCs/>
          <w:kern w:val="2"/>
          <w:sz w:val="32"/>
          <w:szCs w:val="32"/>
          <w:highlight w:val="none"/>
          <w:lang w:val="en-US" w:eastAsia="zh-CN" w:bidi="ar-SA"/>
        </w:rPr>
        <w:t>、区残联、区总工会、区妇联等</w:t>
      </w:r>
      <w:r>
        <w:rPr>
          <w:rFonts w:hint="eastAsia" w:ascii="Times New Roman" w:hAnsi="Times New Roman" w:eastAsia="仿宋_GB2312" w:cs="Times New Roman"/>
          <w:b w:val="0"/>
          <w:bCs w:val="0"/>
          <w:kern w:val="2"/>
          <w:sz w:val="32"/>
          <w:szCs w:val="32"/>
          <w:highlight w:val="none"/>
          <w:lang w:val="en-US" w:eastAsia="zh-CN" w:bidi="ar-SA"/>
        </w:rPr>
        <w:t>分别负责做好职责范围内的人员梯次减负政策给付信息反馈。</w:t>
      </w:r>
      <w:r>
        <w:rPr>
          <w:rFonts w:hint="default"/>
          <w:b/>
          <w:bCs/>
          <w:kern w:val="32"/>
        </w:rPr>
        <w:t>区数据资源局</w:t>
      </w:r>
      <w:r>
        <w:rPr>
          <w:rFonts w:hint="eastAsia"/>
          <w:b w:val="0"/>
          <w:bCs w:val="0"/>
          <w:kern w:val="32"/>
          <w:lang w:val="en-US" w:eastAsia="zh-CN"/>
        </w:rPr>
        <w:t>负责平台建设及数据资源对接。</w:t>
      </w:r>
      <w:r>
        <w:rPr>
          <w:rFonts w:hint="eastAsia" w:ascii="Times New Roman" w:hAnsi="Times New Roman" w:eastAsia="仿宋_GB2312" w:cs="Times New Roman"/>
          <w:b/>
          <w:bCs/>
          <w:kern w:val="2"/>
          <w:sz w:val="32"/>
          <w:szCs w:val="32"/>
          <w:highlight w:val="none"/>
          <w:lang w:val="en-US" w:eastAsia="zh-CN" w:bidi="ar-SA"/>
        </w:rPr>
        <w:t>区慈善总会</w:t>
      </w:r>
      <w:r>
        <w:rPr>
          <w:rFonts w:hint="eastAsia" w:ascii="Times New Roman" w:hAnsi="Times New Roman" w:eastAsia="仿宋_GB2312" w:cs="Times New Roman"/>
          <w:b w:val="0"/>
          <w:bCs w:val="0"/>
          <w:kern w:val="2"/>
          <w:sz w:val="32"/>
          <w:szCs w:val="32"/>
          <w:highlight w:val="none"/>
          <w:lang w:val="en-US" w:eastAsia="zh-CN" w:bidi="ar-SA"/>
        </w:rPr>
        <w:t>牵头、</w:t>
      </w:r>
      <w:r>
        <w:rPr>
          <w:rFonts w:hint="eastAsia" w:ascii="Times New Roman" w:hAnsi="Times New Roman" w:eastAsia="仿宋_GB2312" w:cs="Times New Roman"/>
          <w:b/>
          <w:bCs/>
          <w:kern w:val="2"/>
          <w:sz w:val="32"/>
          <w:szCs w:val="32"/>
          <w:highlight w:val="none"/>
          <w:lang w:val="en-US" w:eastAsia="zh-CN" w:bidi="ar-SA"/>
        </w:rPr>
        <w:t>区红十字会</w:t>
      </w:r>
      <w:r>
        <w:rPr>
          <w:rFonts w:hint="eastAsia" w:ascii="Times New Roman" w:hAnsi="Times New Roman" w:eastAsia="仿宋_GB2312" w:cs="Times New Roman"/>
          <w:b w:val="0"/>
          <w:bCs w:val="0"/>
          <w:kern w:val="2"/>
          <w:sz w:val="32"/>
          <w:szCs w:val="32"/>
          <w:highlight w:val="none"/>
          <w:lang w:val="en-US" w:eastAsia="zh-CN" w:bidi="ar-SA"/>
        </w:rPr>
        <w:t>配合，共同做好暖心基金的募集，同时做好相应梯次减负政策给付信息反馈。</w:t>
      </w:r>
    </w:p>
    <w:p w14:paraId="18E5519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Times New Roman" w:hAnsi="Times New Roman"/>
          <w:color w:val="000000"/>
          <w:kern w:val="32"/>
          <w:lang w:bidi="ar"/>
        </w:rPr>
      </w:pPr>
      <w:r>
        <w:rPr>
          <w:rFonts w:hint="eastAsia" w:eastAsia="楷体_GB2312"/>
          <w:bCs/>
          <w:kern w:val="32"/>
          <w:shd w:val="clear" w:color="auto" w:fill="FFFFFF"/>
        </w:rPr>
        <w:t>（三）优化基层服务。</w:t>
      </w:r>
      <w:r>
        <w:rPr>
          <w:rFonts w:hint="eastAsia"/>
          <w:color w:val="000000"/>
          <w:kern w:val="32"/>
          <w:lang w:bidi="ar"/>
        </w:rPr>
        <w:t>加快构建网格化经办服务体系，大力推动医疗救助经办服务下沉，做实“15分钟医保服务圈”，发挥网格治理体系在调查走访、政策宣传、经办服务、主动发现的基层服务优势，持续做好基本医疗保险、商业补充医疗保险参保的宣传发动、医疗困难人员的主动摸排、调查核实、主动申报等工作，并充分发挥各街道自身优势和社会力量进一步加大救助力度，确保辖区内</w:t>
      </w:r>
      <w:r>
        <w:rPr>
          <w:rFonts w:hint="eastAsia" w:ascii="Times New Roman" w:hAnsi="Times New Roman"/>
          <w:color w:val="000000"/>
          <w:kern w:val="32"/>
          <w:lang w:bidi="ar"/>
        </w:rPr>
        <w:t>医疗困难人群动态清零。</w:t>
      </w:r>
    </w:p>
    <w:p w14:paraId="2FBEB3D9">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color w:val="000000"/>
          <w:kern w:val="32"/>
          <w:lang w:val="en-US" w:eastAsia="zh-CN" w:bidi="ar"/>
        </w:rPr>
      </w:pPr>
      <w:r>
        <w:rPr>
          <w:rFonts w:hint="eastAsia" w:ascii="Times New Roman" w:hAnsi="Times New Roman" w:eastAsia="楷体_GB2312"/>
          <w:bCs/>
          <w:kern w:val="32"/>
          <w:shd w:val="clear" w:color="auto" w:fill="FFFFFF"/>
          <w:lang w:val="en-US" w:eastAsia="zh-CN"/>
        </w:rPr>
        <w:t>（四）加强信息统筹。</w:t>
      </w:r>
      <w:r>
        <w:rPr>
          <w:rFonts w:hint="default" w:ascii="Times New Roman" w:hAnsi="Times New Roman"/>
          <w:color w:val="000000"/>
          <w:kern w:val="32"/>
          <w:lang w:eastAsia="zh-CN" w:bidi="ar"/>
        </w:rPr>
        <w:t>完善</w:t>
      </w:r>
      <w:r>
        <w:rPr>
          <w:rFonts w:hint="eastAsia" w:ascii="Times New Roman" w:hAnsi="Times New Roman"/>
          <w:color w:val="000000"/>
          <w:kern w:val="32"/>
          <w:lang w:val="en-US" w:eastAsia="zh-CN" w:bidi="ar"/>
        </w:rPr>
        <w:t>综合性民生保障应用场景建设，整合医保、社会救助、慈善帮扶等数据资源，形成全面、高效的信息共享、联动共处机制，实现困难群体各类民生保障政策享受情况主动归集，全面分析困难群众医疗费用情况，主动预警、发现潜在问题风险，最终实现多部门协同化解困难群众高额医疗费用负担目标。</w:t>
      </w:r>
    </w:p>
    <w:p w14:paraId="33DC2A0A">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color w:val="000000"/>
          <w:kern w:val="32"/>
          <w:lang w:bidi="ar"/>
        </w:rPr>
      </w:pPr>
      <w:r>
        <w:rPr>
          <w:rFonts w:hint="eastAsia" w:eastAsia="楷体_GB2312"/>
          <w:bCs/>
          <w:kern w:val="32"/>
          <w:shd w:val="clear" w:color="auto" w:fill="FFFFFF"/>
        </w:rPr>
        <w:t>（</w:t>
      </w:r>
      <w:r>
        <w:rPr>
          <w:rFonts w:hint="eastAsia" w:eastAsia="楷体_GB2312"/>
          <w:bCs/>
          <w:kern w:val="32"/>
          <w:shd w:val="clear" w:color="auto" w:fill="FFFFFF"/>
          <w:lang w:val="en-US" w:eastAsia="zh-CN"/>
        </w:rPr>
        <w:t>五</w:t>
      </w:r>
      <w:r>
        <w:rPr>
          <w:rFonts w:hint="eastAsia" w:eastAsia="楷体_GB2312"/>
          <w:bCs/>
          <w:kern w:val="32"/>
          <w:shd w:val="clear" w:color="auto" w:fill="FFFFFF"/>
        </w:rPr>
        <w:t>）加强宣传引导。</w:t>
      </w:r>
      <w:r>
        <w:rPr>
          <w:rFonts w:hint="eastAsia"/>
          <w:kern w:val="32"/>
        </w:rPr>
        <w:t>通过各种途径加强政策宣传和</w:t>
      </w:r>
      <w:r>
        <w:rPr>
          <w:rFonts w:hint="eastAsia"/>
          <w:color w:val="000000"/>
          <w:kern w:val="32"/>
        </w:rPr>
        <w:t>解读，及时回应社会关切，合理引导预期。</w:t>
      </w:r>
      <w:r>
        <w:rPr>
          <w:rFonts w:hint="eastAsia"/>
          <w:kern w:val="32"/>
        </w:rPr>
        <w:t>要</w:t>
      </w:r>
      <w:r>
        <w:rPr>
          <w:rFonts w:hint="eastAsia"/>
          <w:color w:val="000000"/>
          <w:kern w:val="32"/>
          <w:lang w:bidi="ar"/>
        </w:rPr>
        <w:t>凝聚社会共识，</w:t>
      </w:r>
      <w:r>
        <w:rPr>
          <w:rFonts w:hint="eastAsia"/>
          <w:color w:val="000000"/>
          <w:kern w:val="32"/>
        </w:rPr>
        <w:t>充分调动更多社会资源投</w:t>
      </w:r>
      <w:r>
        <w:rPr>
          <w:rFonts w:hint="eastAsia"/>
          <w:color w:val="000000"/>
          <w:kern w:val="32"/>
          <w:lang w:bidi="ar"/>
        </w:rPr>
        <w:t>入困难群众高额医疗费用负担化解工作，为政策落地营造良好氛围。</w:t>
      </w:r>
    </w:p>
    <w:p w14:paraId="3A3C079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kern w:val="32"/>
        </w:rPr>
      </w:pPr>
      <w:r>
        <w:rPr>
          <w:rFonts w:hint="eastAsia"/>
          <w:color w:val="000000"/>
          <w:kern w:val="32"/>
          <w:lang w:bidi="ar"/>
        </w:rPr>
        <w:t>本实施</w:t>
      </w:r>
      <w:r>
        <w:rPr>
          <w:rFonts w:hint="eastAsia"/>
          <w:kern w:val="32"/>
          <w:lang w:bidi="ar"/>
        </w:rPr>
        <w:t>方案自2024年X月X日起施行。国家、省、市另有规定的，从其规定</w:t>
      </w:r>
      <w:r>
        <w:rPr>
          <w:rFonts w:hint="eastAsia"/>
          <w:kern w:val="32"/>
          <w:lang w:eastAsia="zh-CN" w:bidi="ar"/>
        </w:rPr>
        <w:t>，本区同类政策不重复享受</w:t>
      </w:r>
      <w:r>
        <w:rPr>
          <w:rFonts w:hint="eastAsia"/>
          <w:kern w:val="32"/>
          <w:lang w:bidi="ar"/>
        </w:rPr>
        <w:t>。</w:t>
      </w:r>
    </w:p>
    <w:p w14:paraId="2645BC86">
      <w:pPr>
        <w:keepNext w:val="0"/>
        <w:keepLines w:val="0"/>
        <w:pageBreakBefore w:val="0"/>
        <w:widowControl w:val="0"/>
        <w:kinsoku/>
        <w:wordWrap/>
        <w:overflowPunct/>
        <w:topLinePunct w:val="0"/>
        <w:autoSpaceDE/>
        <w:autoSpaceDN/>
        <w:bidi w:val="0"/>
        <w:adjustRightInd/>
        <w:snapToGrid/>
        <w:spacing w:line="579" w:lineRule="exact"/>
        <w:textAlignment w:val="auto"/>
      </w:pPr>
    </w:p>
    <w:p w14:paraId="56CE92F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rPr>
      </w:pPr>
      <w:r>
        <w:rPr>
          <w:rFonts w:hint="eastAsia"/>
        </w:rPr>
        <w:t>附件：</w:t>
      </w:r>
      <w:r>
        <w:rPr>
          <w:rFonts w:hint="eastAsia"/>
          <w:lang w:val="en-US" w:eastAsia="zh-CN"/>
        </w:rPr>
        <w:t>1.</w:t>
      </w:r>
      <w:r>
        <w:rPr>
          <w:rFonts w:hint="eastAsia"/>
        </w:rPr>
        <w:t>合理医疗费用负面清单</w:t>
      </w:r>
    </w:p>
    <w:p w14:paraId="464184B2">
      <w:pPr>
        <w:keepNext w:val="0"/>
        <w:keepLines w:val="0"/>
        <w:pageBreakBefore w:val="0"/>
        <w:widowControl w:val="0"/>
        <w:kinsoku/>
        <w:wordWrap/>
        <w:overflowPunct/>
        <w:topLinePunct w:val="0"/>
        <w:autoSpaceDE/>
        <w:autoSpaceDN/>
        <w:bidi w:val="0"/>
        <w:adjustRightInd/>
        <w:snapToGrid/>
        <w:spacing w:line="579" w:lineRule="exact"/>
        <w:ind w:firstLine="1600" w:firstLineChars="500"/>
        <w:textAlignment w:val="auto"/>
        <w:rPr>
          <w:rFonts w:hint="eastAsia"/>
        </w:rPr>
      </w:pPr>
      <w:r>
        <w:rPr>
          <w:rFonts w:hint="eastAsia"/>
          <w:lang w:val="en-US" w:eastAsia="zh-CN"/>
        </w:rPr>
        <w:t>2.</w:t>
      </w:r>
      <w:r>
        <w:rPr>
          <w:rFonts w:hint="eastAsia"/>
        </w:rPr>
        <w:t>梯次减负项目清单</w:t>
      </w:r>
    </w:p>
    <w:p w14:paraId="1B828E7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rPr>
      </w:pPr>
    </w:p>
    <w:p w14:paraId="57FF4802"/>
    <w:p w14:paraId="2FBF0C2F">
      <w:pPr>
        <w:rPr>
          <w:rFonts w:hint="eastAsia" w:ascii="黑体" w:hAnsi="黑体" w:eastAsia="黑体" w:cs="黑体"/>
        </w:rPr>
      </w:pPr>
      <w:r>
        <w:rPr>
          <w:rFonts w:hint="eastAsia" w:ascii="黑体" w:hAnsi="黑体" w:eastAsia="黑体" w:cs="黑体"/>
        </w:rPr>
        <w:t>附件</w:t>
      </w:r>
      <w:r>
        <w:rPr>
          <w:rFonts w:hint="eastAsia" w:ascii="黑体" w:hAnsi="黑体" w:eastAsia="黑体" w:cs="黑体"/>
          <w:lang w:val="en-US" w:eastAsia="zh-CN"/>
        </w:rPr>
        <w:t>1</w:t>
      </w:r>
      <w:r>
        <w:rPr>
          <w:rFonts w:hint="eastAsia" w:ascii="黑体" w:hAnsi="黑体" w:eastAsia="黑体" w:cs="黑体"/>
        </w:rPr>
        <w:t xml:space="preserve"> </w:t>
      </w:r>
    </w:p>
    <w:p w14:paraId="4C0C13C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困难家庭医疗费用负担封顶制</w:t>
      </w:r>
      <w:r>
        <w:rPr>
          <w:rFonts w:hint="eastAsia" w:ascii="方正小标宋简体" w:hAnsi="方正小标宋简体" w:eastAsia="方正小标宋简体" w:cs="方正小标宋简体"/>
          <w:b w:val="0"/>
          <w:bCs/>
          <w:sz w:val="44"/>
          <w:szCs w:val="44"/>
        </w:rPr>
        <w:cr/>
      </w:r>
      <w:r>
        <w:rPr>
          <w:rFonts w:hint="eastAsia" w:ascii="方正小标宋简体" w:hAnsi="方正小标宋简体" w:eastAsia="方正小标宋简体" w:cs="方正小标宋简体"/>
          <w:b w:val="0"/>
          <w:bCs/>
          <w:sz w:val="44"/>
          <w:szCs w:val="44"/>
        </w:rPr>
        <w:t>合理医疗费用负面清单</w:t>
      </w:r>
    </w:p>
    <w:p w14:paraId="375F80F6"/>
    <w:tbl>
      <w:tblPr>
        <w:tblStyle w:val="5"/>
        <w:tblW w:w="90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7252"/>
      </w:tblGrid>
      <w:tr w14:paraId="76E57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14:paraId="60447FE8">
            <w:pPr>
              <w:jc w:val="center"/>
              <w:rPr>
                <w:rFonts w:hint="eastAsia" w:ascii="黑体" w:hAnsi="黑体" w:eastAsia="黑体" w:cs="黑体"/>
                <w:b w:val="0"/>
                <w:bCs/>
              </w:rPr>
            </w:pPr>
            <w:r>
              <w:rPr>
                <w:rFonts w:hint="eastAsia" w:ascii="黑体" w:hAnsi="黑体" w:eastAsia="黑体" w:cs="黑体"/>
                <w:b w:val="0"/>
                <w:bCs/>
              </w:rPr>
              <w:t>类别</w:t>
            </w:r>
          </w:p>
        </w:tc>
        <w:tc>
          <w:tcPr>
            <w:tcW w:w="7252" w:type="dxa"/>
          </w:tcPr>
          <w:p w14:paraId="0AE74CE2">
            <w:pPr>
              <w:jc w:val="center"/>
              <w:rPr>
                <w:rFonts w:hint="eastAsia" w:ascii="黑体" w:hAnsi="黑体" w:eastAsia="黑体" w:cs="黑体"/>
                <w:b w:val="0"/>
                <w:bCs/>
              </w:rPr>
            </w:pPr>
            <w:r>
              <w:rPr>
                <w:rFonts w:hint="eastAsia" w:ascii="黑体" w:hAnsi="黑体" w:eastAsia="黑体" w:cs="黑体"/>
                <w:b w:val="0"/>
                <w:bCs/>
              </w:rPr>
              <w:t>范</w:t>
            </w:r>
            <w:r>
              <w:rPr>
                <w:rFonts w:hint="eastAsia" w:ascii="黑体" w:hAnsi="黑体" w:eastAsia="黑体" w:cs="黑体"/>
                <w:b w:val="0"/>
                <w:bCs/>
                <w:lang w:val="en-US" w:eastAsia="zh-CN"/>
              </w:rPr>
              <w:t xml:space="preserve">  </w:t>
            </w:r>
            <w:r>
              <w:rPr>
                <w:rFonts w:hint="eastAsia" w:ascii="黑体" w:hAnsi="黑体" w:eastAsia="黑体" w:cs="黑体"/>
                <w:b w:val="0"/>
                <w:bCs/>
              </w:rPr>
              <w:t>围</w:t>
            </w:r>
          </w:p>
        </w:tc>
      </w:tr>
      <w:tr w14:paraId="12F76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2C44E775">
            <w:pPr>
              <w:jc w:val="center"/>
            </w:pPr>
            <w:r>
              <w:rPr>
                <w:rFonts w:hint="eastAsia"/>
              </w:rPr>
              <w:t>医疗服务项目</w:t>
            </w:r>
          </w:p>
        </w:tc>
        <w:tc>
          <w:tcPr>
            <w:tcW w:w="7252" w:type="dxa"/>
          </w:tcPr>
          <w:p w14:paraId="6CCBAFA4">
            <w:pPr>
              <w:keepNext w:val="0"/>
              <w:keepLines w:val="0"/>
              <w:pageBreakBefore w:val="0"/>
              <w:widowControl w:val="0"/>
              <w:kinsoku/>
              <w:wordWrap/>
              <w:overflowPunct/>
              <w:topLinePunct w:val="0"/>
              <w:autoSpaceDE/>
              <w:autoSpaceDN/>
              <w:bidi w:val="0"/>
              <w:adjustRightInd/>
              <w:snapToGrid/>
              <w:spacing w:line="579" w:lineRule="exact"/>
              <w:ind w:left="0" w:firstLine="640" w:firstLineChars="200"/>
              <w:textAlignment w:val="auto"/>
            </w:pPr>
            <w:r>
              <w:rPr>
                <w:rFonts w:hint="eastAsia"/>
              </w:rPr>
              <w:t>浙江省基本医疗服务项目以外的其他医疗服务项目。（包括医疗机构开展的特需医疗服务项目、非医疗的经营性服务项目、用于医学科研目的的项目、技术尚不成熟的新技术服务项目和预防保健机构提供的公共卫生服务项目，种植牙相关费用等）</w:t>
            </w:r>
          </w:p>
        </w:tc>
      </w:tr>
      <w:tr w14:paraId="2C4E9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vAlign w:val="center"/>
          </w:tcPr>
          <w:p w14:paraId="1B2B9B9C">
            <w:pPr>
              <w:jc w:val="center"/>
            </w:pPr>
            <w:r>
              <w:rPr>
                <w:rFonts w:hint="eastAsia"/>
              </w:rPr>
              <w:t>药</w:t>
            </w:r>
            <w:r>
              <w:rPr>
                <w:rFonts w:hint="eastAsia"/>
                <w:lang w:val="en-US" w:eastAsia="zh-CN"/>
              </w:rPr>
              <w:t xml:space="preserve">  </w:t>
            </w:r>
            <w:r>
              <w:rPr>
                <w:rFonts w:hint="eastAsia"/>
              </w:rPr>
              <w:t>品</w:t>
            </w:r>
          </w:p>
        </w:tc>
        <w:tc>
          <w:tcPr>
            <w:tcW w:w="7252" w:type="dxa"/>
          </w:tcPr>
          <w:p w14:paraId="6220B878">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pPr>
            <w:r>
              <w:rPr>
                <w:rFonts w:hint="default" w:ascii="Times New Roman" w:hAnsi="Times New Roman" w:eastAsia="仿宋_GB2312" w:cs="Tahoma"/>
                <w:kern w:val="2"/>
                <w:sz w:val="32"/>
                <w:szCs w:val="24"/>
                <w:lang w:val="en-US" w:eastAsia="zh-CN" w:bidi="ar-SA"/>
              </w:rPr>
              <w:t>1</w:t>
            </w:r>
            <w:r>
              <w:rPr>
                <w:rFonts w:hint="eastAsia" w:cs="Tahoma"/>
                <w:kern w:val="2"/>
                <w:sz w:val="32"/>
                <w:szCs w:val="24"/>
                <w:lang w:val="en-US" w:eastAsia="zh-CN" w:bidi="ar-SA"/>
              </w:rPr>
              <w:t>.</w:t>
            </w:r>
            <w:r>
              <w:rPr>
                <w:rFonts w:hint="eastAsia"/>
              </w:rPr>
              <w:t>未纳入医保支付范围的中成药、中药饮片、中药配方颗粒、自制制剂；</w:t>
            </w:r>
          </w:p>
          <w:p w14:paraId="39A4C123">
            <w:pPr>
              <w:pStyle w:val="7"/>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pPr>
            <w:r>
              <w:rPr>
                <w:rFonts w:hint="default" w:ascii="Times New Roman" w:hAnsi="Times New Roman" w:eastAsia="仿宋_GB2312" w:cs="Tahoma"/>
                <w:kern w:val="2"/>
                <w:sz w:val="32"/>
                <w:szCs w:val="24"/>
                <w:lang w:val="en-US" w:eastAsia="zh-CN" w:bidi="ar-SA"/>
              </w:rPr>
              <w:t>2</w:t>
            </w:r>
            <w:r>
              <w:rPr>
                <w:rFonts w:hint="eastAsia" w:cs="Tahoma"/>
                <w:kern w:val="2"/>
                <w:sz w:val="32"/>
                <w:szCs w:val="24"/>
                <w:lang w:val="en-US" w:eastAsia="zh-CN" w:bidi="ar-SA"/>
              </w:rPr>
              <w:t>.</w:t>
            </w:r>
            <w:r>
              <w:rPr>
                <w:rFonts w:hint="eastAsia"/>
              </w:rPr>
              <w:t>除第1条外的其他药品年度总费用30万元以上部分。</w:t>
            </w:r>
          </w:p>
        </w:tc>
      </w:tr>
      <w:tr w14:paraId="47AC1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tcPr>
          <w:p w14:paraId="39805475">
            <w:pPr>
              <w:jc w:val="center"/>
            </w:pPr>
            <w:r>
              <w:rPr>
                <w:rFonts w:hint="eastAsia"/>
              </w:rPr>
              <w:t>医用耗材</w:t>
            </w:r>
          </w:p>
        </w:tc>
        <w:tc>
          <w:tcPr>
            <w:tcW w:w="7252" w:type="dxa"/>
          </w:tcPr>
          <w:p w14:paraId="3FD2DD43">
            <w:pPr>
              <w:ind w:firstLine="640" w:firstLineChars="200"/>
            </w:pPr>
            <w:r>
              <w:rPr>
                <w:rFonts w:hint="eastAsia"/>
              </w:rPr>
              <w:t>年度医用耗材总费用10万元以上部分。</w:t>
            </w:r>
          </w:p>
        </w:tc>
      </w:tr>
    </w:tbl>
    <w:p w14:paraId="3CA1200C"/>
    <w:p w14:paraId="333EEFCA"/>
    <w:p w14:paraId="173E2F9E"/>
    <w:p w14:paraId="18A15118">
      <w:pPr>
        <w:spacing w:before="299" w:line="183" w:lineRule="auto"/>
        <w:rPr>
          <w:rFonts w:hint="eastAsia" w:ascii="黑体" w:hAnsi="黑体" w:eastAsia="黑体" w:cs="黑体"/>
          <w:sz w:val="32"/>
          <w:szCs w:val="32"/>
        </w:rPr>
      </w:pPr>
    </w:p>
    <w:p w14:paraId="3E853C22">
      <w:pPr>
        <w:spacing w:before="299" w:line="183" w:lineRule="auto"/>
        <w:rPr>
          <w:rFonts w:hint="eastAsia" w:ascii="黑体" w:hAnsi="黑体" w:eastAsia="黑体" w:cs="黑体"/>
          <w:sz w:val="32"/>
          <w:szCs w:val="32"/>
          <w:lang w:val="en-US" w:eastAsia="zh-CN"/>
          <w:woUserID w:val="1"/>
        </w:rPr>
      </w:pPr>
      <w:r>
        <w:rPr>
          <w:rFonts w:hint="eastAsia" w:ascii="黑体" w:hAnsi="黑体" w:eastAsia="黑体" w:cs="黑体"/>
          <w:sz w:val="32"/>
          <w:szCs w:val="32"/>
          <w:woUserID w:val="1"/>
        </w:rPr>
        <w:t>附件</w:t>
      </w:r>
      <w:r>
        <w:rPr>
          <w:rFonts w:hint="eastAsia" w:ascii="黑体" w:hAnsi="黑体" w:eastAsia="黑体" w:cs="黑体"/>
          <w:sz w:val="32"/>
          <w:szCs w:val="32"/>
          <w:lang w:val="en-US" w:eastAsia="zh-CN"/>
          <w:woUserID w:val="1"/>
        </w:rPr>
        <w:t>2</w:t>
      </w:r>
    </w:p>
    <w:p w14:paraId="2CD0951E">
      <w:pPr>
        <w:spacing w:line="183" w:lineRule="auto"/>
        <w:jc w:val="center"/>
        <w:rPr>
          <w:rFonts w:ascii="方正小标宋简体" w:hAnsi="方正小标宋简体" w:eastAsia="方正小标宋简体" w:cs="方正小标宋简体"/>
          <w:sz w:val="44"/>
          <w:szCs w:val="44"/>
          <w:woUserID w:val="1"/>
        </w:rPr>
      </w:pPr>
      <w:r>
        <w:rPr>
          <w:rFonts w:hint="eastAsia" w:ascii="方正小标宋简体" w:hAnsi="方正小标宋简体" w:eastAsia="方正小标宋简体" w:cs="方正小标宋简体"/>
          <w:spacing w:val="-2"/>
          <w:sz w:val="44"/>
          <w:szCs w:val="44"/>
          <w:woUserID w:val="1"/>
        </w:rPr>
        <w:t>梯次减负项目清单</w:t>
      </w:r>
    </w:p>
    <w:tbl>
      <w:tblPr>
        <w:tblStyle w:val="10"/>
        <w:tblW w:w="852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05"/>
        <w:gridCol w:w="2150"/>
        <w:gridCol w:w="5671"/>
      </w:tblGrid>
      <w:tr w14:paraId="4EB2D7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705" w:type="dxa"/>
            <w:vMerge w:val="restart"/>
            <w:tcBorders>
              <w:bottom w:val="nil"/>
            </w:tcBorders>
            <w:vAlign w:val="center"/>
          </w:tcPr>
          <w:p w14:paraId="7A0864DC">
            <w:pPr>
              <w:spacing w:before="78" w:line="186" w:lineRule="exact"/>
              <w:jc w:val="center"/>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kern w:val="0"/>
                <w:position w:val="-5"/>
                <w:sz w:val="24"/>
                <w:szCs w:val="24"/>
                <w:lang w:eastAsia="en-US"/>
                <w:woUserID w:val="1"/>
              </w:rPr>
              <w:t>一</w:t>
            </w:r>
          </w:p>
        </w:tc>
        <w:tc>
          <w:tcPr>
            <w:tcW w:w="2150" w:type="dxa"/>
            <w:vMerge w:val="restart"/>
            <w:tcBorders>
              <w:bottom w:val="nil"/>
            </w:tcBorders>
            <w:vAlign w:val="center"/>
          </w:tcPr>
          <w:p w14:paraId="0DAE48A8">
            <w:pPr>
              <w:spacing w:before="78" w:line="300" w:lineRule="exact"/>
              <w:ind w:left="131"/>
              <w:jc w:val="center"/>
              <w:rPr>
                <w:rFonts w:hint="eastAsia" w:ascii="宋体" w:hAnsi="宋体" w:eastAsia="宋体" w:cs="宋体"/>
                <w:snapToGrid w:val="0"/>
                <w:color w:val="000000"/>
                <w:kern w:val="0"/>
                <w:sz w:val="24"/>
                <w:szCs w:val="24"/>
                <w:lang w:eastAsia="zh-CN"/>
                <w:woUserID w:val="1"/>
              </w:rPr>
            </w:pPr>
            <w:r>
              <w:rPr>
                <w:rFonts w:hint="eastAsia" w:ascii="宋体" w:hAnsi="宋体" w:eastAsia="宋体" w:cs="宋体"/>
                <w:snapToGrid w:val="0"/>
                <w:color w:val="000000"/>
                <w:spacing w:val="-3"/>
                <w:kern w:val="0"/>
                <w:sz w:val="24"/>
                <w:szCs w:val="24"/>
                <w:lang w:eastAsia="zh-CN"/>
                <w:woUserID w:val="1"/>
              </w:rPr>
              <w:t>区人力社保局</w:t>
            </w:r>
          </w:p>
        </w:tc>
        <w:tc>
          <w:tcPr>
            <w:tcW w:w="5671" w:type="dxa"/>
            <w:vAlign w:val="center"/>
          </w:tcPr>
          <w:p w14:paraId="4D8AA495">
            <w:pPr>
              <w:spacing w:before="47" w:line="320" w:lineRule="exact"/>
              <w:ind w:left="131"/>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5"/>
                <w:kern w:val="0"/>
                <w:sz w:val="24"/>
                <w:szCs w:val="24"/>
                <w:lang w:eastAsia="en-US"/>
                <w:woUserID w:val="1"/>
              </w:rPr>
              <w:t>1.基本医疗</w:t>
            </w:r>
          </w:p>
        </w:tc>
      </w:tr>
      <w:tr w14:paraId="01682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705" w:type="dxa"/>
            <w:vMerge w:val="continue"/>
            <w:tcBorders>
              <w:top w:val="nil"/>
              <w:bottom w:val="nil"/>
            </w:tcBorders>
            <w:vAlign w:val="center"/>
          </w:tcPr>
          <w:p w14:paraId="7C3C0F02">
            <w:pPr>
              <w:jc w:val="center"/>
              <w:rPr>
                <w:snapToGrid w:val="0"/>
                <w:color w:val="000000"/>
                <w:kern w:val="0"/>
                <w:lang w:eastAsia="en-US"/>
                <w:woUserID w:val="1"/>
              </w:rPr>
            </w:pPr>
          </w:p>
        </w:tc>
        <w:tc>
          <w:tcPr>
            <w:tcW w:w="2150" w:type="dxa"/>
            <w:vMerge w:val="continue"/>
            <w:tcBorders>
              <w:top w:val="nil"/>
              <w:bottom w:val="nil"/>
            </w:tcBorders>
            <w:vAlign w:val="center"/>
          </w:tcPr>
          <w:p w14:paraId="0B3689C4">
            <w:pPr>
              <w:spacing w:line="300" w:lineRule="exact"/>
              <w:jc w:val="center"/>
              <w:rPr>
                <w:snapToGrid w:val="0"/>
                <w:color w:val="000000"/>
                <w:kern w:val="0"/>
                <w:lang w:eastAsia="en-US"/>
                <w:woUserID w:val="1"/>
              </w:rPr>
            </w:pPr>
          </w:p>
        </w:tc>
        <w:tc>
          <w:tcPr>
            <w:tcW w:w="5671" w:type="dxa"/>
            <w:vAlign w:val="center"/>
          </w:tcPr>
          <w:p w14:paraId="536F3EEF">
            <w:pPr>
              <w:spacing w:before="48" w:line="320" w:lineRule="exact"/>
              <w:ind w:left="116"/>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3"/>
                <w:kern w:val="0"/>
                <w:sz w:val="24"/>
                <w:szCs w:val="24"/>
                <w:lang w:eastAsia="en-US"/>
                <w:woUserID w:val="1"/>
              </w:rPr>
              <w:t>2.大病保险</w:t>
            </w:r>
          </w:p>
        </w:tc>
      </w:tr>
      <w:tr w14:paraId="1690FA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jc w:val="center"/>
        </w:trPr>
        <w:tc>
          <w:tcPr>
            <w:tcW w:w="705" w:type="dxa"/>
            <w:vMerge w:val="continue"/>
            <w:tcBorders>
              <w:top w:val="nil"/>
              <w:bottom w:val="nil"/>
            </w:tcBorders>
            <w:vAlign w:val="center"/>
          </w:tcPr>
          <w:p w14:paraId="756F9ECB">
            <w:pPr>
              <w:jc w:val="center"/>
              <w:rPr>
                <w:snapToGrid w:val="0"/>
                <w:color w:val="000000"/>
                <w:kern w:val="0"/>
                <w:lang w:eastAsia="en-US"/>
                <w:woUserID w:val="1"/>
              </w:rPr>
            </w:pPr>
          </w:p>
        </w:tc>
        <w:tc>
          <w:tcPr>
            <w:tcW w:w="2150" w:type="dxa"/>
            <w:vMerge w:val="continue"/>
            <w:tcBorders>
              <w:top w:val="nil"/>
              <w:bottom w:val="nil"/>
            </w:tcBorders>
            <w:vAlign w:val="center"/>
          </w:tcPr>
          <w:p w14:paraId="4C9C617F">
            <w:pPr>
              <w:spacing w:line="300" w:lineRule="exact"/>
              <w:jc w:val="center"/>
              <w:rPr>
                <w:snapToGrid w:val="0"/>
                <w:color w:val="000000"/>
                <w:kern w:val="0"/>
                <w:lang w:eastAsia="en-US"/>
                <w:woUserID w:val="1"/>
              </w:rPr>
            </w:pPr>
          </w:p>
        </w:tc>
        <w:tc>
          <w:tcPr>
            <w:tcW w:w="5671" w:type="dxa"/>
            <w:vAlign w:val="center"/>
          </w:tcPr>
          <w:p w14:paraId="4CA84B64">
            <w:pPr>
              <w:spacing w:before="49" w:line="320" w:lineRule="exact"/>
              <w:ind w:left="118"/>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3"/>
                <w:kern w:val="0"/>
                <w:sz w:val="24"/>
                <w:szCs w:val="24"/>
                <w:lang w:eastAsia="en-US"/>
                <w:woUserID w:val="1"/>
              </w:rPr>
              <w:t>3.医疗救助</w:t>
            </w:r>
          </w:p>
        </w:tc>
      </w:tr>
      <w:tr w14:paraId="6A479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705" w:type="dxa"/>
            <w:vMerge w:val="continue"/>
            <w:tcBorders>
              <w:top w:val="nil"/>
            </w:tcBorders>
            <w:vAlign w:val="center"/>
          </w:tcPr>
          <w:p w14:paraId="22F46003">
            <w:pPr>
              <w:jc w:val="center"/>
              <w:rPr>
                <w:snapToGrid w:val="0"/>
                <w:color w:val="000000"/>
                <w:kern w:val="0"/>
                <w:lang w:eastAsia="en-US"/>
                <w:woUserID w:val="1"/>
              </w:rPr>
            </w:pPr>
          </w:p>
        </w:tc>
        <w:tc>
          <w:tcPr>
            <w:tcW w:w="2150" w:type="dxa"/>
            <w:vMerge w:val="continue"/>
            <w:tcBorders>
              <w:top w:val="nil"/>
            </w:tcBorders>
            <w:vAlign w:val="center"/>
          </w:tcPr>
          <w:p w14:paraId="63A386C3">
            <w:pPr>
              <w:spacing w:line="300" w:lineRule="exact"/>
              <w:jc w:val="center"/>
              <w:rPr>
                <w:snapToGrid w:val="0"/>
                <w:color w:val="000000"/>
                <w:kern w:val="0"/>
                <w:lang w:eastAsia="en-US"/>
                <w:woUserID w:val="1"/>
              </w:rPr>
            </w:pPr>
          </w:p>
        </w:tc>
        <w:tc>
          <w:tcPr>
            <w:tcW w:w="5671" w:type="dxa"/>
            <w:vAlign w:val="center"/>
          </w:tcPr>
          <w:p w14:paraId="50F71178">
            <w:pPr>
              <w:spacing w:before="48" w:line="320" w:lineRule="exact"/>
              <w:ind w:left="112"/>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4.惠民保</w:t>
            </w:r>
          </w:p>
        </w:tc>
      </w:tr>
      <w:tr w14:paraId="5BE82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705" w:type="dxa"/>
            <w:tcBorders>
              <w:bottom w:val="single" w:color="auto" w:sz="4" w:space="0"/>
            </w:tcBorders>
            <w:vAlign w:val="center"/>
          </w:tcPr>
          <w:p w14:paraId="79C40AD4">
            <w:pPr>
              <w:spacing w:before="93" w:line="178" w:lineRule="auto"/>
              <w:jc w:val="center"/>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kern w:val="0"/>
                <w:sz w:val="24"/>
                <w:szCs w:val="24"/>
                <w:lang w:eastAsia="en-US"/>
                <w:woUserID w:val="1"/>
              </w:rPr>
              <w:t>二</w:t>
            </w:r>
          </w:p>
        </w:tc>
        <w:tc>
          <w:tcPr>
            <w:tcW w:w="2150" w:type="dxa"/>
            <w:tcBorders>
              <w:bottom w:val="single" w:color="auto" w:sz="4" w:space="0"/>
            </w:tcBorders>
            <w:vAlign w:val="center"/>
          </w:tcPr>
          <w:p w14:paraId="5E20D4A2">
            <w:pPr>
              <w:spacing w:before="49" w:line="300" w:lineRule="exact"/>
              <w:jc w:val="center"/>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6"/>
                <w:kern w:val="0"/>
                <w:sz w:val="24"/>
                <w:szCs w:val="24"/>
                <w:lang w:eastAsia="en-US"/>
                <w:woUserID w:val="1"/>
              </w:rPr>
              <w:t>区民政局</w:t>
            </w:r>
          </w:p>
        </w:tc>
        <w:tc>
          <w:tcPr>
            <w:tcW w:w="5671" w:type="dxa"/>
            <w:tcBorders>
              <w:bottom w:val="single" w:color="auto" w:sz="4" w:space="0"/>
            </w:tcBorders>
            <w:vAlign w:val="center"/>
          </w:tcPr>
          <w:p w14:paraId="559F2BF4">
            <w:pPr>
              <w:spacing w:before="48" w:line="320" w:lineRule="exact"/>
              <w:ind w:left="131"/>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4"/>
                <w:kern w:val="0"/>
                <w:sz w:val="24"/>
                <w:szCs w:val="24"/>
                <w:lang w:eastAsia="en-US"/>
                <w:woUserID w:val="1"/>
              </w:rPr>
              <w:t>1.临时救助对象认定及救助金给付。</w:t>
            </w:r>
          </w:p>
        </w:tc>
      </w:tr>
      <w:tr w14:paraId="6E6E45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6380928F">
            <w:pPr>
              <w:spacing w:before="78" w:line="224" w:lineRule="auto"/>
              <w:jc w:val="center"/>
              <w:rPr>
                <w:rFonts w:hint="eastAsia" w:ascii="宋体" w:hAnsi="宋体" w:eastAsia="宋体" w:cs="宋体"/>
                <w:snapToGrid w:val="0"/>
                <w:color w:val="000000"/>
                <w:kern w:val="0"/>
                <w:sz w:val="24"/>
                <w:szCs w:val="24"/>
                <w:lang w:eastAsia="zh-CN"/>
                <w:woUserID w:val="1"/>
              </w:rPr>
            </w:pPr>
            <w:r>
              <w:rPr>
                <w:rFonts w:hint="eastAsia" w:ascii="宋体" w:hAnsi="宋体" w:eastAsia="宋体" w:cs="宋体"/>
                <w:snapToGrid w:val="0"/>
                <w:color w:val="000000"/>
                <w:kern w:val="0"/>
                <w:sz w:val="24"/>
                <w:szCs w:val="24"/>
                <w:lang w:eastAsia="zh-CN"/>
                <w:woUserID w:val="1"/>
              </w:rPr>
              <w:t>三</w:t>
            </w:r>
          </w:p>
        </w:tc>
        <w:tc>
          <w:tcPr>
            <w:tcW w:w="2150" w:type="dxa"/>
            <w:vMerge w:val="restart"/>
            <w:tcBorders>
              <w:top w:val="single" w:color="auto" w:sz="4" w:space="0"/>
              <w:left w:val="single" w:color="auto" w:sz="4" w:space="0"/>
              <w:bottom w:val="single" w:color="auto" w:sz="4" w:space="0"/>
              <w:right w:val="single" w:color="auto" w:sz="4" w:space="0"/>
            </w:tcBorders>
            <w:vAlign w:val="center"/>
          </w:tcPr>
          <w:p w14:paraId="22E7675C">
            <w:pPr>
              <w:spacing w:before="78" w:line="300" w:lineRule="exact"/>
              <w:ind w:left="377" w:firstLine="232" w:firstLineChars="100"/>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4"/>
                <w:kern w:val="0"/>
                <w:sz w:val="24"/>
                <w:szCs w:val="24"/>
                <w:lang w:eastAsia="en-US"/>
                <w:woUserID w:val="1"/>
              </w:rPr>
              <w:t>区卫健局</w:t>
            </w:r>
          </w:p>
        </w:tc>
        <w:tc>
          <w:tcPr>
            <w:tcW w:w="5671" w:type="dxa"/>
            <w:tcBorders>
              <w:top w:val="single" w:color="auto" w:sz="4" w:space="0"/>
              <w:left w:val="single" w:color="auto" w:sz="4" w:space="0"/>
              <w:bottom w:val="single" w:color="auto" w:sz="4" w:space="0"/>
              <w:right w:val="single" w:color="auto" w:sz="4" w:space="0"/>
            </w:tcBorders>
            <w:vAlign w:val="center"/>
          </w:tcPr>
          <w:p w14:paraId="006DF8E2">
            <w:pPr>
              <w:spacing w:before="52" w:line="320" w:lineRule="exact"/>
              <w:ind w:left="131"/>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4"/>
                <w:kern w:val="0"/>
                <w:sz w:val="24"/>
                <w:szCs w:val="24"/>
                <w:lang w:eastAsia="en-US"/>
                <w:woUserID w:val="1"/>
              </w:rPr>
              <w:t>1.</w:t>
            </w:r>
            <w:r>
              <w:rPr>
                <w:rFonts w:ascii="宋体" w:hAnsi="宋体" w:eastAsia="宋体" w:cs="宋体"/>
                <w:snapToGrid w:val="0"/>
                <w:color w:val="000000"/>
                <w:spacing w:val="-2"/>
                <w:kern w:val="0"/>
                <w:sz w:val="24"/>
                <w:szCs w:val="24"/>
                <w:lang w:eastAsia="en-US"/>
                <w:woUserID w:val="1"/>
              </w:rPr>
              <w:t>医护人员综合险</w:t>
            </w:r>
          </w:p>
        </w:tc>
      </w:tr>
      <w:tr w14:paraId="1871B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705" w:type="dxa"/>
            <w:vMerge w:val="continue"/>
            <w:tcBorders>
              <w:top w:val="single" w:color="auto" w:sz="4" w:space="0"/>
              <w:left w:val="single" w:color="auto" w:sz="4" w:space="0"/>
              <w:bottom w:val="single" w:color="auto" w:sz="4" w:space="0"/>
              <w:right w:val="single" w:color="auto" w:sz="4" w:space="0"/>
            </w:tcBorders>
            <w:vAlign w:val="center"/>
          </w:tcPr>
          <w:p w14:paraId="2FF0A16A">
            <w:pPr>
              <w:jc w:val="center"/>
              <w:rPr>
                <w:snapToGrid w:val="0"/>
                <w:color w:val="000000"/>
                <w:kern w:val="0"/>
                <w:lang w:eastAsia="en-US"/>
                <w:woUserID w:val="1"/>
              </w:rPr>
            </w:pPr>
          </w:p>
        </w:tc>
        <w:tc>
          <w:tcPr>
            <w:tcW w:w="2150" w:type="dxa"/>
            <w:vMerge w:val="continue"/>
            <w:tcBorders>
              <w:top w:val="single" w:color="auto" w:sz="4" w:space="0"/>
              <w:left w:val="single" w:color="auto" w:sz="4" w:space="0"/>
              <w:bottom w:val="single" w:color="auto" w:sz="4" w:space="0"/>
              <w:right w:val="single" w:color="auto" w:sz="4" w:space="0"/>
            </w:tcBorders>
            <w:vAlign w:val="center"/>
          </w:tcPr>
          <w:p w14:paraId="0DFE3231">
            <w:pPr>
              <w:spacing w:line="300" w:lineRule="exact"/>
              <w:jc w:val="center"/>
              <w:rPr>
                <w:snapToGrid w:val="0"/>
                <w:color w:val="000000"/>
                <w:kern w:val="0"/>
                <w:lang w:eastAsia="en-US"/>
                <w:woUserID w:val="1"/>
              </w:rPr>
            </w:pPr>
          </w:p>
        </w:tc>
        <w:tc>
          <w:tcPr>
            <w:tcW w:w="5671" w:type="dxa"/>
            <w:tcBorders>
              <w:top w:val="single" w:color="auto" w:sz="4" w:space="0"/>
              <w:left w:val="single" w:color="auto" w:sz="4" w:space="0"/>
              <w:bottom w:val="single" w:color="auto" w:sz="4" w:space="0"/>
              <w:right w:val="single" w:color="auto" w:sz="4" w:space="0"/>
            </w:tcBorders>
            <w:vAlign w:val="center"/>
          </w:tcPr>
          <w:p w14:paraId="1DB060C8">
            <w:pPr>
              <w:spacing w:before="51" w:line="320" w:lineRule="exact"/>
              <w:ind w:left="116"/>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2.惠民医院减免</w:t>
            </w:r>
          </w:p>
        </w:tc>
      </w:tr>
      <w:tr w14:paraId="2005AA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0F2DD009">
            <w:pPr>
              <w:spacing w:before="226" w:line="230" w:lineRule="auto"/>
              <w:jc w:val="center"/>
              <w:rPr>
                <w:rFonts w:hint="eastAsia" w:ascii="宋体" w:hAnsi="宋体" w:eastAsia="宋体" w:cs="宋体"/>
                <w:snapToGrid w:val="0"/>
                <w:color w:val="000000"/>
                <w:kern w:val="0"/>
                <w:sz w:val="24"/>
                <w:szCs w:val="24"/>
                <w:lang w:eastAsia="zh-CN"/>
                <w:woUserID w:val="1"/>
              </w:rPr>
            </w:pPr>
            <w:r>
              <w:rPr>
                <w:rFonts w:hint="eastAsia" w:ascii="宋体" w:hAnsi="宋体" w:eastAsia="宋体" w:cs="宋体"/>
                <w:snapToGrid w:val="0"/>
                <w:color w:val="000000"/>
                <w:kern w:val="0"/>
                <w:sz w:val="24"/>
                <w:szCs w:val="24"/>
                <w:lang w:eastAsia="zh-CN"/>
                <w:woUserID w:val="1"/>
              </w:rPr>
              <w:t>四</w:t>
            </w:r>
          </w:p>
        </w:tc>
        <w:tc>
          <w:tcPr>
            <w:tcW w:w="2150" w:type="dxa"/>
            <w:vMerge w:val="restart"/>
            <w:tcBorders>
              <w:top w:val="single" w:color="auto" w:sz="4" w:space="0"/>
              <w:left w:val="single" w:color="auto" w:sz="4" w:space="0"/>
              <w:bottom w:val="single" w:color="auto" w:sz="4" w:space="0"/>
              <w:right w:val="single" w:color="auto" w:sz="4" w:space="0"/>
            </w:tcBorders>
            <w:vAlign w:val="center"/>
          </w:tcPr>
          <w:p w14:paraId="0FB07656">
            <w:pPr>
              <w:spacing w:before="226" w:line="260" w:lineRule="exact"/>
              <w:jc w:val="center"/>
              <w:rPr>
                <w:rFonts w:hint="eastAsia" w:ascii="宋体" w:hAnsi="宋体" w:eastAsia="宋体" w:cs="宋体"/>
                <w:snapToGrid w:val="0"/>
                <w:color w:val="000000"/>
                <w:kern w:val="0"/>
                <w:sz w:val="24"/>
                <w:szCs w:val="24"/>
                <w:lang w:eastAsia="zh-CN"/>
                <w:woUserID w:val="1"/>
              </w:rPr>
            </w:pPr>
            <w:r>
              <w:rPr>
                <w:rFonts w:ascii="宋体" w:hAnsi="宋体" w:eastAsia="宋体" w:cs="宋体"/>
                <w:snapToGrid w:val="0"/>
                <w:color w:val="000000"/>
                <w:spacing w:val="-3"/>
                <w:kern w:val="0"/>
                <w:sz w:val="24"/>
                <w:szCs w:val="24"/>
                <w:lang w:eastAsia="en-US"/>
                <w:woUserID w:val="1"/>
              </w:rPr>
              <w:t>区</w:t>
            </w:r>
            <w:r>
              <w:rPr>
                <w:rFonts w:hint="eastAsia" w:ascii="宋体" w:hAnsi="宋体" w:eastAsia="宋体" w:cs="宋体"/>
                <w:snapToGrid w:val="0"/>
                <w:color w:val="000000"/>
                <w:spacing w:val="-3"/>
                <w:kern w:val="0"/>
                <w:sz w:val="24"/>
                <w:szCs w:val="24"/>
                <w:lang w:eastAsia="zh-CN"/>
                <w:woUserID w:val="1"/>
              </w:rPr>
              <w:t>退役军人事务局</w:t>
            </w:r>
          </w:p>
        </w:tc>
        <w:tc>
          <w:tcPr>
            <w:tcW w:w="5671" w:type="dxa"/>
            <w:tcBorders>
              <w:top w:val="single" w:color="auto" w:sz="4" w:space="0"/>
              <w:left w:val="single" w:color="auto" w:sz="4" w:space="0"/>
              <w:bottom w:val="single" w:color="auto" w:sz="4" w:space="0"/>
              <w:right w:val="single" w:color="auto" w:sz="4" w:space="0"/>
            </w:tcBorders>
            <w:vAlign w:val="center"/>
          </w:tcPr>
          <w:p w14:paraId="75804EBD">
            <w:pPr>
              <w:spacing w:before="51" w:line="320" w:lineRule="exact"/>
              <w:ind w:left="131"/>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1.最低生活保障家庭中退役军人优抚</w:t>
            </w:r>
          </w:p>
        </w:tc>
      </w:tr>
      <w:tr w14:paraId="3307B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705" w:type="dxa"/>
            <w:vMerge w:val="continue"/>
            <w:tcBorders>
              <w:top w:val="single" w:color="auto" w:sz="4" w:space="0"/>
              <w:left w:val="single" w:color="auto" w:sz="4" w:space="0"/>
            </w:tcBorders>
            <w:vAlign w:val="center"/>
          </w:tcPr>
          <w:p w14:paraId="1E8724A0">
            <w:pPr>
              <w:jc w:val="center"/>
              <w:rPr>
                <w:snapToGrid w:val="0"/>
                <w:color w:val="000000"/>
                <w:kern w:val="0"/>
                <w:lang w:eastAsia="en-US"/>
                <w:woUserID w:val="1"/>
              </w:rPr>
            </w:pPr>
          </w:p>
        </w:tc>
        <w:tc>
          <w:tcPr>
            <w:tcW w:w="2150" w:type="dxa"/>
            <w:vMerge w:val="continue"/>
            <w:tcBorders>
              <w:top w:val="single" w:color="auto" w:sz="4" w:space="0"/>
            </w:tcBorders>
            <w:vAlign w:val="center"/>
          </w:tcPr>
          <w:p w14:paraId="561839B5">
            <w:pPr>
              <w:spacing w:line="300" w:lineRule="exact"/>
              <w:jc w:val="center"/>
              <w:rPr>
                <w:snapToGrid w:val="0"/>
                <w:color w:val="000000"/>
                <w:kern w:val="0"/>
                <w:lang w:eastAsia="en-US"/>
                <w:woUserID w:val="1"/>
              </w:rPr>
            </w:pPr>
          </w:p>
        </w:tc>
        <w:tc>
          <w:tcPr>
            <w:tcW w:w="5671" w:type="dxa"/>
            <w:tcBorders>
              <w:top w:val="single" w:color="auto" w:sz="4" w:space="0"/>
            </w:tcBorders>
            <w:vAlign w:val="center"/>
          </w:tcPr>
          <w:p w14:paraId="2DED8534">
            <w:pPr>
              <w:spacing w:before="52" w:line="320" w:lineRule="exact"/>
              <w:ind w:left="116"/>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1"/>
                <w:kern w:val="0"/>
                <w:sz w:val="24"/>
                <w:szCs w:val="24"/>
                <w:lang w:eastAsia="en-US"/>
                <w:woUserID w:val="1"/>
              </w:rPr>
              <w:t>2.最低生活保障边缘家庭中退役军人优抚</w:t>
            </w:r>
          </w:p>
        </w:tc>
      </w:tr>
      <w:tr w14:paraId="6231B4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705" w:type="dxa"/>
            <w:vMerge w:val="restart"/>
            <w:tcBorders>
              <w:bottom w:val="nil"/>
            </w:tcBorders>
            <w:vAlign w:val="center"/>
          </w:tcPr>
          <w:p w14:paraId="1EB70F0D">
            <w:pPr>
              <w:spacing w:before="227" w:line="222" w:lineRule="auto"/>
              <w:jc w:val="center"/>
              <w:rPr>
                <w:rFonts w:hint="eastAsia" w:ascii="宋体" w:hAnsi="宋体" w:eastAsia="宋体" w:cs="宋体"/>
                <w:snapToGrid w:val="0"/>
                <w:color w:val="000000"/>
                <w:kern w:val="0"/>
                <w:sz w:val="24"/>
                <w:szCs w:val="24"/>
                <w:lang w:eastAsia="zh-CN"/>
                <w:woUserID w:val="1"/>
              </w:rPr>
            </w:pPr>
            <w:r>
              <w:rPr>
                <w:rFonts w:hint="eastAsia" w:ascii="宋体" w:hAnsi="宋体" w:eastAsia="宋体" w:cs="宋体"/>
                <w:snapToGrid w:val="0"/>
                <w:color w:val="000000"/>
                <w:kern w:val="0"/>
                <w:sz w:val="24"/>
                <w:szCs w:val="24"/>
                <w:lang w:eastAsia="zh-CN"/>
                <w:woUserID w:val="1"/>
              </w:rPr>
              <w:t>五</w:t>
            </w:r>
          </w:p>
        </w:tc>
        <w:tc>
          <w:tcPr>
            <w:tcW w:w="2150" w:type="dxa"/>
            <w:vMerge w:val="restart"/>
            <w:tcBorders>
              <w:bottom w:val="nil"/>
            </w:tcBorders>
            <w:vAlign w:val="center"/>
          </w:tcPr>
          <w:p w14:paraId="0786A55A">
            <w:pPr>
              <w:spacing w:before="226" w:line="300" w:lineRule="exact"/>
              <w:ind w:left="617"/>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6"/>
                <w:kern w:val="0"/>
                <w:sz w:val="24"/>
                <w:szCs w:val="24"/>
                <w:lang w:eastAsia="en-US"/>
                <w:woUserID w:val="1"/>
              </w:rPr>
              <w:t>区总工会</w:t>
            </w:r>
          </w:p>
        </w:tc>
        <w:tc>
          <w:tcPr>
            <w:tcW w:w="5671" w:type="dxa"/>
            <w:vAlign w:val="center"/>
          </w:tcPr>
          <w:p w14:paraId="78D5C934">
            <w:pPr>
              <w:spacing w:before="48" w:line="320" w:lineRule="exact"/>
              <w:ind w:left="112"/>
              <w:rPr>
                <w:rFonts w:ascii="宋体" w:hAnsi="宋体" w:eastAsia="宋体" w:cs="宋体"/>
                <w:snapToGrid w:val="0"/>
                <w:color w:val="000000"/>
                <w:spacing w:val="-2"/>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1.</w:t>
            </w:r>
            <w:r>
              <w:rPr>
                <w:rFonts w:hint="eastAsia" w:ascii="宋体" w:hAnsi="宋体" w:eastAsia="宋体" w:cs="宋体"/>
                <w:snapToGrid w:val="0"/>
                <w:color w:val="000000"/>
                <w:spacing w:val="-2"/>
                <w:kern w:val="0"/>
                <w:sz w:val="24"/>
                <w:szCs w:val="24"/>
                <w:lang w:eastAsia="zh-CN"/>
                <w:woUserID w:val="1"/>
              </w:rPr>
              <w:t>“</w:t>
            </w:r>
            <w:r>
              <w:rPr>
                <w:rFonts w:ascii="宋体" w:hAnsi="宋体" w:eastAsia="宋体" w:cs="宋体"/>
                <w:snapToGrid w:val="0"/>
                <w:color w:val="000000"/>
                <w:spacing w:val="-2"/>
                <w:kern w:val="0"/>
                <w:sz w:val="24"/>
                <w:szCs w:val="24"/>
                <w:lang w:eastAsia="en-US"/>
                <w:woUserID w:val="1"/>
              </w:rPr>
              <w:t>在职职工医疗互助”保障</w:t>
            </w:r>
          </w:p>
        </w:tc>
      </w:tr>
      <w:tr w14:paraId="6159AC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05" w:type="dxa"/>
            <w:vMerge w:val="continue"/>
            <w:tcBorders>
              <w:top w:val="nil"/>
            </w:tcBorders>
            <w:vAlign w:val="center"/>
          </w:tcPr>
          <w:p w14:paraId="27D35CD9">
            <w:pPr>
              <w:jc w:val="center"/>
              <w:rPr>
                <w:snapToGrid w:val="0"/>
                <w:color w:val="000000"/>
                <w:kern w:val="0"/>
                <w:lang w:eastAsia="en-US"/>
                <w:woUserID w:val="1"/>
              </w:rPr>
            </w:pPr>
          </w:p>
        </w:tc>
        <w:tc>
          <w:tcPr>
            <w:tcW w:w="2150" w:type="dxa"/>
            <w:vMerge w:val="continue"/>
            <w:tcBorders>
              <w:top w:val="nil"/>
            </w:tcBorders>
            <w:vAlign w:val="center"/>
          </w:tcPr>
          <w:p w14:paraId="2430E034">
            <w:pPr>
              <w:spacing w:line="300" w:lineRule="exact"/>
              <w:jc w:val="center"/>
              <w:rPr>
                <w:snapToGrid w:val="0"/>
                <w:color w:val="000000"/>
                <w:kern w:val="0"/>
                <w:lang w:eastAsia="en-US"/>
                <w:woUserID w:val="1"/>
              </w:rPr>
            </w:pPr>
          </w:p>
        </w:tc>
        <w:tc>
          <w:tcPr>
            <w:tcW w:w="5671" w:type="dxa"/>
            <w:vAlign w:val="center"/>
          </w:tcPr>
          <w:p w14:paraId="6C87E856">
            <w:pPr>
              <w:spacing w:before="48" w:line="320" w:lineRule="exact"/>
              <w:ind w:left="112"/>
              <w:rPr>
                <w:rFonts w:ascii="宋体" w:hAnsi="宋体" w:eastAsia="宋体" w:cs="宋体"/>
                <w:snapToGrid w:val="0"/>
                <w:color w:val="000000"/>
                <w:spacing w:val="-2"/>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2.工会困难职工家庭认定及困难职工帮扶</w:t>
            </w:r>
          </w:p>
        </w:tc>
      </w:tr>
      <w:tr w14:paraId="69F351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705" w:type="dxa"/>
            <w:vMerge w:val="restart"/>
            <w:tcBorders>
              <w:bottom w:val="nil"/>
            </w:tcBorders>
            <w:vAlign w:val="center"/>
          </w:tcPr>
          <w:p w14:paraId="675D1744">
            <w:pPr>
              <w:spacing w:before="78" w:line="237" w:lineRule="auto"/>
              <w:jc w:val="center"/>
              <w:rPr>
                <w:rFonts w:hint="eastAsia" w:ascii="宋体" w:hAnsi="宋体" w:eastAsia="宋体" w:cs="宋体"/>
                <w:snapToGrid w:val="0"/>
                <w:color w:val="000000"/>
                <w:kern w:val="0"/>
                <w:sz w:val="24"/>
                <w:szCs w:val="24"/>
                <w:lang w:eastAsia="zh-CN"/>
                <w:woUserID w:val="1"/>
              </w:rPr>
            </w:pPr>
            <w:r>
              <w:rPr>
                <w:rFonts w:hint="eastAsia" w:ascii="宋体" w:hAnsi="宋体" w:eastAsia="宋体" w:cs="宋体"/>
                <w:snapToGrid w:val="0"/>
                <w:color w:val="000000"/>
                <w:kern w:val="0"/>
                <w:sz w:val="24"/>
                <w:szCs w:val="24"/>
                <w:lang w:eastAsia="zh-CN"/>
                <w:woUserID w:val="1"/>
              </w:rPr>
              <w:t>六</w:t>
            </w:r>
          </w:p>
        </w:tc>
        <w:tc>
          <w:tcPr>
            <w:tcW w:w="2150" w:type="dxa"/>
            <w:vMerge w:val="restart"/>
            <w:tcBorders>
              <w:bottom w:val="nil"/>
            </w:tcBorders>
            <w:vAlign w:val="center"/>
          </w:tcPr>
          <w:p w14:paraId="33DB9AEB">
            <w:pPr>
              <w:spacing w:before="78" w:line="300" w:lineRule="exact"/>
              <w:ind w:firstLine="678" w:firstLineChars="300"/>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7"/>
                <w:kern w:val="0"/>
                <w:sz w:val="24"/>
                <w:szCs w:val="24"/>
                <w:lang w:eastAsia="en-US"/>
                <w:woUserID w:val="1"/>
              </w:rPr>
              <w:t>区残联</w:t>
            </w:r>
          </w:p>
        </w:tc>
        <w:tc>
          <w:tcPr>
            <w:tcW w:w="5671" w:type="dxa"/>
            <w:vAlign w:val="center"/>
          </w:tcPr>
          <w:p w14:paraId="178CD719">
            <w:pPr>
              <w:spacing w:before="48" w:line="320" w:lineRule="exact"/>
              <w:ind w:left="112"/>
              <w:rPr>
                <w:rFonts w:ascii="宋体" w:hAnsi="宋体" w:eastAsia="宋体" w:cs="宋体"/>
                <w:snapToGrid w:val="0"/>
                <w:color w:val="000000"/>
                <w:spacing w:val="-2"/>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1.残疾人医疗困难救助</w:t>
            </w:r>
          </w:p>
        </w:tc>
      </w:tr>
      <w:tr w14:paraId="5560B6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705" w:type="dxa"/>
            <w:vMerge w:val="continue"/>
            <w:tcBorders>
              <w:top w:val="nil"/>
              <w:bottom w:val="nil"/>
            </w:tcBorders>
            <w:vAlign w:val="center"/>
          </w:tcPr>
          <w:p w14:paraId="19016B03">
            <w:pPr>
              <w:jc w:val="center"/>
              <w:rPr>
                <w:snapToGrid w:val="0"/>
                <w:color w:val="000000"/>
                <w:kern w:val="0"/>
                <w:lang w:eastAsia="en-US"/>
                <w:woUserID w:val="1"/>
              </w:rPr>
            </w:pPr>
          </w:p>
        </w:tc>
        <w:tc>
          <w:tcPr>
            <w:tcW w:w="2150" w:type="dxa"/>
            <w:vMerge w:val="continue"/>
            <w:tcBorders>
              <w:top w:val="nil"/>
              <w:bottom w:val="nil"/>
            </w:tcBorders>
            <w:vAlign w:val="center"/>
          </w:tcPr>
          <w:p w14:paraId="0318758F">
            <w:pPr>
              <w:spacing w:line="300" w:lineRule="exact"/>
              <w:jc w:val="center"/>
              <w:rPr>
                <w:snapToGrid w:val="0"/>
                <w:color w:val="000000"/>
                <w:kern w:val="0"/>
                <w:lang w:eastAsia="en-US"/>
                <w:woUserID w:val="1"/>
              </w:rPr>
            </w:pPr>
          </w:p>
        </w:tc>
        <w:tc>
          <w:tcPr>
            <w:tcW w:w="5671" w:type="dxa"/>
            <w:vAlign w:val="center"/>
          </w:tcPr>
          <w:p w14:paraId="4F0E92D3">
            <w:pPr>
              <w:spacing w:before="48" w:line="320" w:lineRule="exact"/>
              <w:ind w:left="112"/>
              <w:rPr>
                <w:rFonts w:ascii="宋体" w:hAnsi="宋体" w:eastAsia="宋体" w:cs="宋体"/>
                <w:snapToGrid w:val="0"/>
                <w:color w:val="000000"/>
                <w:spacing w:val="-2"/>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2.残疾人髋或膝关节置换手术补助</w:t>
            </w:r>
          </w:p>
        </w:tc>
      </w:tr>
      <w:tr w14:paraId="28C732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705" w:type="dxa"/>
            <w:vMerge w:val="continue"/>
            <w:tcBorders>
              <w:top w:val="nil"/>
              <w:bottom w:val="nil"/>
            </w:tcBorders>
            <w:vAlign w:val="center"/>
          </w:tcPr>
          <w:p w14:paraId="510B43EA">
            <w:pPr>
              <w:jc w:val="center"/>
              <w:rPr>
                <w:snapToGrid w:val="0"/>
                <w:color w:val="000000"/>
                <w:kern w:val="0"/>
                <w:lang w:eastAsia="en-US"/>
                <w:woUserID w:val="1"/>
              </w:rPr>
            </w:pPr>
          </w:p>
        </w:tc>
        <w:tc>
          <w:tcPr>
            <w:tcW w:w="2150" w:type="dxa"/>
            <w:vMerge w:val="continue"/>
            <w:tcBorders>
              <w:top w:val="nil"/>
              <w:bottom w:val="nil"/>
            </w:tcBorders>
            <w:vAlign w:val="center"/>
          </w:tcPr>
          <w:p w14:paraId="5BDF5DB1">
            <w:pPr>
              <w:spacing w:line="300" w:lineRule="exact"/>
              <w:jc w:val="center"/>
              <w:rPr>
                <w:snapToGrid w:val="0"/>
                <w:color w:val="000000"/>
                <w:kern w:val="0"/>
                <w:lang w:eastAsia="en-US"/>
                <w:woUserID w:val="1"/>
              </w:rPr>
            </w:pPr>
          </w:p>
        </w:tc>
        <w:tc>
          <w:tcPr>
            <w:tcW w:w="5671" w:type="dxa"/>
            <w:vAlign w:val="center"/>
          </w:tcPr>
          <w:p w14:paraId="7EE3C97F">
            <w:pPr>
              <w:spacing w:before="48" w:line="320" w:lineRule="exact"/>
              <w:ind w:left="112"/>
              <w:rPr>
                <w:rFonts w:ascii="宋体" w:hAnsi="宋体" w:eastAsia="宋体" w:cs="宋体"/>
                <w:snapToGrid w:val="0"/>
                <w:color w:val="000000"/>
                <w:spacing w:val="-2"/>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3.残疾人白内障手术补助</w:t>
            </w:r>
          </w:p>
        </w:tc>
      </w:tr>
      <w:tr w14:paraId="4A7EE8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05" w:type="dxa"/>
            <w:vMerge w:val="continue"/>
            <w:tcBorders>
              <w:top w:val="nil"/>
              <w:bottom w:val="nil"/>
            </w:tcBorders>
            <w:vAlign w:val="center"/>
          </w:tcPr>
          <w:p w14:paraId="6E83A39F">
            <w:pPr>
              <w:jc w:val="center"/>
              <w:rPr>
                <w:snapToGrid w:val="0"/>
                <w:color w:val="000000"/>
                <w:kern w:val="0"/>
                <w:lang w:eastAsia="en-US"/>
                <w:woUserID w:val="1"/>
              </w:rPr>
            </w:pPr>
          </w:p>
        </w:tc>
        <w:tc>
          <w:tcPr>
            <w:tcW w:w="2150" w:type="dxa"/>
            <w:vMerge w:val="continue"/>
            <w:tcBorders>
              <w:top w:val="nil"/>
              <w:bottom w:val="nil"/>
            </w:tcBorders>
            <w:vAlign w:val="center"/>
          </w:tcPr>
          <w:p w14:paraId="3D3B68D6">
            <w:pPr>
              <w:spacing w:line="300" w:lineRule="exact"/>
              <w:jc w:val="center"/>
              <w:rPr>
                <w:snapToGrid w:val="0"/>
                <w:color w:val="000000"/>
                <w:kern w:val="0"/>
                <w:lang w:eastAsia="en-US"/>
                <w:woUserID w:val="1"/>
              </w:rPr>
            </w:pPr>
          </w:p>
        </w:tc>
        <w:tc>
          <w:tcPr>
            <w:tcW w:w="5671" w:type="dxa"/>
            <w:vAlign w:val="center"/>
          </w:tcPr>
          <w:p w14:paraId="51C50430">
            <w:pPr>
              <w:spacing w:before="48" w:line="320" w:lineRule="exact"/>
              <w:ind w:left="112"/>
              <w:rPr>
                <w:rFonts w:ascii="宋体" w:hAnsi="宋体" w:eastAsia="宋体" w:cs="宋体"/>
                <w:snapToGrid w:val="0"/>
                <w:color w:val="000000"/>
                <w:spacing w:val="-2"/>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4.精神残疾人住院补助</w:t>
            </w:r>
          </w:p>
        </w:tc>
      </w:tr>
      <w:tr w14:paraId="1FCB7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705" w:type="dxa"/>
            <w:vMerge w:val="continue"/>
            <w:tcBorders>
              <w:top w:val="nil"/>
              <w:bottom w:val="nil"/>
            </w:tcBorders>
            <w:vAlign w:val="center"/>
          </w:tcPr>
          <w:p w14:paraId="6473101F">
            <w:pPr>
              <w:jc w:val="center"/>
              <w:rPr>
                <w:snapToGrid w:val="0"/>
                <w:color w:val="000000"/>
                <w:kern w:val="0"/>
                <w:lang w:eastAsia="en-US"/>
                <w:woUserID w:val="1"/>
              </w:rPr>
            </w:pPr>
          </w:p>
        </w:tc>
        <w:tc>
          <w:tcPr>
            <w:tcW w:w="2150" w:type="dxa"/>
            <w:vMerge w:val="continue"/>
            <w:tcBorders>
              <w:top w:val="nil"/>
              <w:bottom w:val="nil"/>
            </w:tcBorders>
            <w:vAlign w:val="center"/>
          </w:tcPr>
          <w:p w14:paraId="0A1DD3F2">
            <w:pPr>
              <w:spacing w:line="300" w:lineRule="exact"/>
              <w:jc w:val="center"/>
              <w:rPr>
                <w:snapToGrid w:val="0"/>
                <w:color w:val="000000"/>
                <w:kern w:val="0"/>
                <w:lang w:eastAsia="en-US"/>
                <w:woUserID w:val="1"/>
              </w:rPr>
            </w:pPr>
          </w:p>
        </w:tc>
        <w:tc>
          <w:tcPr>
            <w:tcW w:w="5671" w:type="dxa"/>
            <w:vAlign w:val="center"/>
          </w:tcPr>
          <w:p w14:paraId="11D79675">
            <w:pPr>
              <w:spacing w:before="48" w:line="320" w:lineRule="exact"/>
              <w:ind w:left="112"/>
              <w:rPr>
                <w:rFonts w:ascii="宋体" w:hAnsi="宋体" w:eastAsia="宋体" w:cs="宋体"/>
                <w:snapToGrid w:val="0"/>
                <w:color w:val="000000"/>
                <w:spacing w:val="-2"/>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5.残疾儿童人工耳蜗植入手术补助</w:t>
            </w:r>
          </w:p>
        </w:tc>
      </w:tr>
      <w:tr w14:paraId="44C44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705" w:type="dxa"/>
            <w:vMerge w:val="continue"/>
            <w:tcBorders>
              <w:top w:val="nil"/>
              <w:bottom w:val="nil"/>
            </w:tcBorders>
            <w:vAlign w:val="center"/>
          </w:tcPr>
          <w:p w14:paraId="62187E1A">
            <w:pPr>
              <w:jc w:val="center"/>
              <w:rPr>
                <w:snapToGrid w:val="0"/>
                <w:color w:val="000000"/>
                <w:kern w:val="0"/>
                <w:lang w:eastAsia="en-US"/>
                <w:woUserID w:val="1"/>
              </w:rPr>
            </w:pPr>
          </w:p>
        </w:tc>
        <w:tc>
          <w:tcPr>
            <w:tcW w:w="2150" w:type="dxa"/>
            <w:vMerge w:val="continue"/>
            <w:tcBorders>
              <w:top w:val="nil"/>
              <w:bottom w:val="nil"/>
            </w:tcBorders>
            <w:vAlign w:val="center"/>
          </w:tcPr>
          <w:p w14:paraId="50188C3C">
            <w:pPr>
              <w:spacing w:line="300" w:lineRule="exact"/>
              <w:jc w:val="center"/>
              <w:rPr>
                <w:snapToGrid w:val="0"/>
                <w:color w:val="000000"/>
                <w:kern w:val="0"/>
                <w:lang w:eastAsia="en-US"/>
                <w:woUserID w:val="1"/>
              </w:rPr>
            </w:pPr>
          </w:p>
        </w:tc>
        <w:tc>
          <w:tcPr>
            <w:tcW w:w="5671" w:type="dxa"/>
            <w:vAlign w:val="center"/>
          </w:tcPr>
          <w:p w14:paraId="1EDF3830">
            <w:pPr>
              <w:spacing w:before="48" w:line="320" w:lineRule="exact"/>
              <w:ind w:left="112"/>
              <w:rPr>
                <w:rFonts w:ascii="宋体" w:hAnsi="宋体" w:eastAsia="宋体" w:cs="宋体"/>
                <w:snapToGrid w:val="0"/>
                <w:color w:val="000000"/>
                <w:spacing w:val="-2"/>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6.残疾儿童辅助器具适配补助</w:t>
            </w:r>
          </w:p>
        </w:tc>
      </w:tr>
      <w:tr w14:paraId="1D9B37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705" w:type="dxa"/>
            <w:vMerge w:val="continue"/>
            <w:tcBorders>
              <w:top w:val="nil"/>
              <w:bottom w:val="nil"/>
            </w:tcBorders>
            <w:vAlign w:val="center"/>
          </w:tcPr>
          <w:p w14:paraId="12D49071">
            <w:pPr>
              <w:jc w:val="center"/>
              <w:rPr>
                <w:snapToGrid w:val="0"/>
                <w:color w:val="000000"/>
                <w:kern w:val="0"/>
                <w:lang w:eastAsia="en-US"/>
                <w:woUserID w:val="1"/>
              </w:rPr>
            </w:pPr>
          </w:p>
        </w:tc>
        <w:tc>
          <w:tcPr>
            <w:tcW w:w="2150" w:type="dxa"/>
            <w:vMerge w:val="continue"/>
            <w:tcBorders>
              <w:top w:val="nil"/>
              <w:bottom w:val="nil"/>
            </w:tcBorders>
            <w:vAlign w:val="center"/>
          </w:tcPr>
          <w:p w14:paraId="343DD6EF">
            <w:pPr>
              <w:spacing w:line="300" w:lineRule="exact"/>
              <w:jc w:val="center"/>
              <w:rPr>
                <w:snapToGrid w:val="0"/>
                <w:color w:val="000000"/>
                <w:kern w:val="0"/>
                <w:lang w:eastAsia="en-US"/>
                <w:woUserID w:val="1"/>
              </w:rPr>
            </w:pPr>
          </w:p>
        </w:tc>
        <w:tc>
          <w:tcPr>
            <w:tcW w:w="5671" w:type="dxa"/>
            <w:vAlign w:val="center"/>
          </w:tcPr>
          <w:p w14:paraId="7617DBDD">
            <w:pPr>
              <w:spacing w:before="48" w:line="320" w:lineRule="exact"/>
              <w:ind w:left="112"/>
              <w:rPr>
                <w:rFonts w:ascii="宋体" w:hAnsi="宋体" w:eastAsia="宋体" w:cs="宋体"/>
                <w:snapToGrid w:val="0"/>
                <w:color w:val="000000"/>
                <w:spacing w:val="-2"/>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7.残疾儿童康复训练补助</w:t>
            </w:r>
          </w:p>
        </w:tc>
      </w:tr>
      <w:tr w14:paraId="12823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jc w:val="center"/>
        </w:trPr>
        <w:tc>
          <w:tcPr>
            <w:tcW w:w="705" w:type="dxa"/>
            <w:vMerge w:val="continue"/>
            <w:tcBorders>
              <w:top w:val="nil"/>
            </w:tcBorders>
            <w:vAlign w:val="center"/>
          </w:tcPr>
          <w:p w14:paraId="2F4D031E">
            <w:pPr>
              <w:jc w:val="center"/>
              <w:rPr>
                <w:snapToGrid w:val="0"/>
                <w:color w:val="000000"/>
                <w:kern w:val="0"/>
                <w:lang w:eastAsia="en-US"/>
                <w:woUserID w:val="1"/>
              </w:rPr>
            </w:pPr>
          </w:p>
        </w:tc>
        <w:tc>
          <w:tcPr>
            <w:tcW w:w="2150" w:type="dxa"/>
            <w:vMerge w:val="continue"/>
            <w:tcBorders>
              <w:top w:val="nil"/>
            </w:tcBorders>
            <w:vAlign w:val="center"/>
          </w:tcPr>
          <w:p w14:paraId="397EE766">
            <w:pPr>
              <w:spacing w:line="300" w:lineRule="exact"/>
              <w:jc w:val="center"/>
              <w:rPr>
                <w:snapToGrid w:val="0"/>
                <w:color w:val="000000"/>
                <w:kern w:val="0"/>
                <w:lang w:eastAsia="en-US"/>
                <w:woUserID w:val="1"/>
              </w:rPr>
            </w:pPr>
          </w:p>
        </w:tc>
        <w:tc>
          <w:tcPr>
            <w:tcW w:w="5671" w:type="dxa"/>
            <w:vAlign w:val="center"/>
          </w:tcPr>
          <w:p w14:paraId="5D046166">
            <w:pPr>
              <w:spacing w:before="48" w:line="320" w:lineRule="exact"/>
              <w:ind w:left="112"/>
              <w:rPr>
                <w:rFonts w:ascii="宋体" w:hAnsi="宋体" w:eastAsia="宋体" w:cs="宋体"/>
                <w:snapToGrid w:val="0"/>
                <w:color w:val="000000"/>
                <w:spacing w:val="-2"/>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8.困难残疾人临时救助</w:t>
            </w:r>
          </w:p>
        </w:tc>
      </w:tr>
      <w:tr w14:paraId="25E13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705" w:type="dxa"/>
            <w:vAlign w:val="center"/>
          </w:tcPr>
          <w:p w14:paraId="1B1D9E41">
            <w:pPr>
              <w:spacing w:before="52" w:line="217" w:lineRule="auto"/>
              <w:jc w:val="center"/>
              <w:rPr>
                <w:rFonts w:ascii="宋体" w:hAnsi="宋体" w:eastAsia="宋体" w:cs="宋体"/>
                <w:snapToGrid w:val="0"/>
                <w:color w:val="000000"/>
                <w:kern w:val="0"/>
                <w:sz w:val="24"/>
                <w:szCs w:val="24"/>
                <w:lang w:eastAsia="en-US"/>
                <w:woUserID w:val="1"/>
              </w:rPr>
            </w:pPr>
            <w:r>
              <w:rPr>
                <w:rFonts w:hint="eastAsia" w:ascii="宋体" w:hAnsi="宋体" w:eastAsia="宋体" w:cs="宋体"/>
                <w:snapToGrid w:val="0"/>
                <w:color w:val="000000"/>
                <w:kern w:val="0"/>
                <w:sz w:val="24"/>
                <w:szCs w:val="24"/>
                <w:lang w:eastAsia="en-US"/>
                <w:woUserID w:val="1"/>
              </w:rPr>
              <w:t>七</w:t>
            </w:r>
          </w:p>
        </w:tc>
        <w:tc>
          <w:tcPr>
            <w:tcW w:w="2150" w:type="dxa"/>
            <w:vAlign w:val="center"/>
          </w:tcPr>
          <w:p w14:paraId="76B2D6BF">
            <w:pPr>
              <w:spacing w:before="52" w:line="300" w:lineRule="exact"/>
              <w:ind w:firstLine="678" w:firstLineChars="300"/>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7"/>
                <w:kern w:val="0"/>
                <w:sz w:val="24"/>
                <w:szCs w:val="24"/>
                <w:lang w:eastAsia="en-US"/>
                <w:woUserID w:val="1"/>
              </w:rPr>
              <w:t>区妇联</w:t>
            </w:r>
          </w:p>
        </w:tc>
        <w:tc>
          <w:tcPr>
            <w:tcW w:w="5671" w:type="dxa"/>
            <w:vAlign w:val="center"/>
          </w:tcPr>
          <w:p w14:paraId="2A121A41">
            <w:pPr>
              <w:spacing w:before="48" w:line="320" w:lineRule="exact"/>
              <w:ind w:left="112"/>
              <w:rPr>
                <w:rFonts w:ascii="宋体" w:hAnsi="宋体" w:eastAsia="宋体" w:cs="宋体"/>
                <w:snapToGrid w:val="0"/>
                <w:color w:val="000000"/>
                <w:spacing w:val="-2"/>
                <w:kern w:val="0"/>
                <w:sz w:val="24"/>
                <w:szCs w:val="24"/>
                <w:lang w:eastAsia="en-US"/>
                <w:woUserID w:val="1"/>
              </w:rPr>
            </w:pPr>
            <w:r>
              <w:rPr>
                <w:rFonts w:hint="eastAsia" w:ascii="宋体" w:hAnsi="宋体" w:eastAsia="宋体" w:cs="宋体"/>
                <w:snapToGrid w:val="0"/>
                <w:color w:val="000000"/>
                <w:spacing w:val="-2"/>
                <w:kern w:val="0"/>
                <w:sz w:val="24"/>
                <w:szCs w:val="24"/>
                <w:lang w:val="en-US" w:eastAsia="zh-CN"/>
                <w:woUserID w:val="1"/>
              </w:rPr>
              <w:t>1.妇女两癌救助</w:t>
            </w:r>
          </w:p>
        </w:tc>
      </w:tr>
      <w:tr w14:paraId="7C7B5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705" w:type="dxa"/>
            <w:vMerge w:val="restart"/>
            <w:tcBorders>
              <w:bottom w:val="nil"/>
            </w:tcBorders>
            <w:vAlign w:val="center"/>
          </w:tcPr>
          <w:p w14:paraId="132E2420">
            <w:pPr>
              <w:spacing w:before="78" w:line="221" w:lineRule="auto"/>
              <w:jc w:val="center"/>
              <w:rPr>
                <w:rFonts w:ascii="宋体" w:hAnsi="宋体" w:eastAsia="宋体" w:cs="宋体"/>
                <w:snapToGrid w:val="0"/>
                <w:color w:val="000000"/>
                <w:kern w:val="0"/>
                <w:sz w:val="24"/>
                <w:szCs w:val="24"/>
                <w:lang w:eastAsia="en-US"/>
                <w:woUserID w:val="1"/>
              </w:rPr>
            </w:pPr>
            <w:r>
              <w:rPr>
                <w:rFonts w:hint="eastAsia" w:ascii="宋体" w:hAnsi="宋体" w:eastAsia="宋体" w:cs="宋体"/>
                <w:snapToGrid w:val="0"/>
                <w:color w:val="000000"/>
                <w:kern w:val="0"/>
                <w:sz w:val="24"/>
                <w:szCs w:val="24"/>
                <w:lang w:eastAsia="en-US"/>
                <w:woUserID w:val="1"/>
              </w:rPr>
              <w:t>八</w:t>
            </w:r>
          </w:p>
        </w:tc>
        <w:tc>
          <w:tcPr>
            <w:tcW w:w="2150" w:type="dxa"/>
            <w:vMerge w:val="restart"/>
            <w:tcBorders>
              <w:bottom w:val="nil"/>
            </w:tcBorders>
            <w:vAlign w:val="center"/>
          </w:tcPr>
          <w:p w14:paraId="36AAD620">
            <w:pPr>
              <w:spacing w:before="78" w:line="300" w:lineRule="exact"/>
              <w:ind w:left="497"/>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5"/>
                <w:kern w:val="0"/>
                <w:sz w:val="24"/>
                <w:szCs w:val="24"/>
                <w:lang w:eastAsia="en-US"/>
                <w:woUserID w:val="1"/>
              </w:rPr>
              <w:t>区红十字会</w:t>
            </w:r>
          </w:p>
        </w:tc>
        <w:tc>
          <w:tcPr>
            <w:tcW w:w="5671" w:type="dxa"/>
            <w:vAlign w:val="center"/>
          </w:tcPr>
          <w:p w14:paraId="720813C6">
            <w:pPr>
              <w:spacing w:before="52" w:line="320" w:lineRule="exact"/>
              <w:ind w:left="131"/>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3"/>
                <w:kern w:val="0"/>
                <w:sz w:val="24"/>
                <w:szCs w:val="24"/>
                <w:lang w:eastAsia="en-US"/>
                <w:woUserID w:val="1"/>
              </w:rPr>
              <w:t>1.中央专项彩票公益金大病儿童救助项目</w:t>
            </w:r>
          </w:p>
        </w:tc>
      </w:tr>
      <w:tr w14:paraId="2EBCB3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jc w:val="center"/>
        </w:trPr>
        <w:tc>
          <w:tcPr>
            <w:tcW w:w="705" w:type="dxa"/>
            <w:vMerge w:val="continue"/>
            <w:tcBorders>
              <w:top w:val="nil"/>
              <w:bottom w:val="single" w:color="auto" w:sz="4" w:space="0"/>
            </w:tcBorders>
            <w:vAlign w:val="center"/>
          </w:tcPr>
          <w:p w14:paraId="2C68B28F">
            <w:pPr>
              <w:jc w:val="center"/>
              <w:rPr>
                <w:snapToGrid w:val="0"/>
                <w:color w:val="000000"/>
                <w:kern w:val="0"/>
                <w:lang w:eastAsia="en-US"/>
                <w:woUserID w:val="1"/>
              </w:rPr>
            </w:pPr>
          </w:p>
        </w:tc>
        <w:tc>
          <w:tcPr>
            <w:tcW w:w="2150" w:type="dxa"/>
            <w:vMerge w:val="continue"/>
            <w:tcBorders>
              <w:top w:val="nil"/>
              <w:bottom w:val="single" w:color="auto" w:sz="4" w:space="0"/>
            </w:tcBorders>
            <w:vAlign w:val="center"/>
          </w:tcPr>
          <w:p w14:paraId="7B70FFF7">
            <w:pPr>
              <w:spacing w:line="300" w:lineRule="exact"/>
              <w:jc w:val="center"/>
              <w:rPr>
                <w:snapToGrid w:val="0"/>
                <w:color w:val="000000"/>
                <w:kern w:val="0"/>
                <w:lang w:eastAsia="en-US"/>
                <w:woUserID w:val="1"/>
              </w:rPr>
            </w:pPr>
          </w:p>
        </w:tc>
        <w:tc>
          <w:tcPr>
            <w:tcW w:w="5671" w:type="dxa"/>
            <w:tcBorders>
              <w:bottom w:val="single" w:color="auto" w:sz="4" w:space="0"/>
            </w:tcBorders>
            <w:vAlign w:val="center"/>
          </w:tcPr>
          <w:p w14:paraId="347E1AE1">
            <w:pPr>
              <w:spacing w:before="53" w:line="320" w:lineRule="exact"/>
              <w:ind w:left="118"/>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3"/>
                <w:kern w:val="0"/>
                <w:sz w:val="24"/>
                <w:szCs w:val="24"/>
                <w:lang w:eastAsia="en-US"/>
                <w:woUserID w:val="1"/>
              </w:rPr>
              <w:t>2.博爱救助</w:t>
            </w:r>
          </w:p>
        </w:tc>
      </w:tr>
      <w:tr w14:paraId="4AA04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705" w:type="dxa"/>
            <w:vMerge w:val="restart"/>
            <w:tcBorders>
              <w:top w:val="single" w:color="auto" w:sz="4" w:space="0"/>
              <w:left w:val="single" w:color="auto" w:sz="4" w:space="0"/>
              <w:bottom w:val="single" w:color="auto" w:sz="4" w:space="0"/>
              <w:right w:val="single" w:color="auto" w:sz="4" w:space="0"/>
            </w:tcBorders>
            <w:vAlign w:val="center"/>
          </w:tcPr>
          <w:p w14:paraId="5148E46E">
            <w:pPr>
              <w:spacing w:before="78" w:line="237" w:lineRule="auto"/>
              <w:jc w:val="center"/>
              <w:rPr>
                <w:rFonts w:hint="default" w:ascii="宋体" w:hAnsi="宋体" w:eastAsia="宋体" w:cs="宋体"/>
                <w:snapToGrid w:val="0"/>
                <w:color w:val="000000"/>
                <w:kern w:val="0"/>
                <w:sz w:val="24"/>
                <w:szCs w:val="24"/>
                <w:lang w:eastAsia="zh-CN"/>
                <w:woUserID w:val="1"/>
              </w:rPr>
            </w:pPr>
            <w:r>
              <w:rPr>
                <w:rFonts w:hint="default" w:ascii="宋体" w:hAnsi="宋体" w:eastAsia="宋体" w:cs="宋体"/>
                <w:snapToGrid w:val="0"/>
                <w:color w:val="000000"/>
                <w:kern w:val="0"/>
                <w:sz w:val="24"/>
                <w:szCs w:val="24"/>
                <w:lang w:eastAsia="zh-CN"/>
                <w:woUserID w:val="1"/>
              </w:rPr>
              <w:t>九</w:t>
            </w:r>
          </w:p>
        </w:tc>
        <w:tc>
          <w:tcPr>
            <w:tcW w:w="2150" w:type="dxa"/>
            <w:vMerge w:val="restart"/>
            <w:tcBorders>
              <w:top w:val="single" w:color="auto" w:sz="4" w:space="0"/>
              <w:left w:val="single" w:color="auto" w:sz="4" w:space="0"/>
              <w:bottom w:val="single" w:color="auto" w:sz="4" w:space="0"/>
              <w:right w:val="single" w:color="auto" w:sz="4" w:space="0"/>
            </w:tcBorders>
            <w:vAlign w:val="center"/>
          </w:tcPr>
          <w:p w14:paraId="717AE938">
            <w:pPr>
              <w:spacing w:before="78" w:line="300" w:lineRule="exact"/>
              <w:ind w:firstLine="690" w:firstLineChars="300"/>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5"/>
                <w:kern w:val="0"/>
                <w:sz w:val="24"/>
                <w:szCs w:val="24"/>
                <w:lang w:eastAsia="en-US"/>
                <w:woUserID w:val="1"/>
              </w:rPr>
              <w:t>区慈善总会</w:t>
            </w:r>
          </w:p>
        </w:tc>
        <w:tc>
          <w:tcPr>
            <w:tcW w:w="5671" w:type="dxa"/>
            <w:tcBorders>
              <w:left w:val="single" w:color="auto" w:sz="4" w:space="0"/>
            </w:tcBorders>
            <w:vAlign w:val="center"/>
          </w:tcPr>
          <w:p w14:paraId="283205D3">
            <w:pPr>
              <w:spacing w:before="49" w:line="320" w:lineRule="exact"/>
              <w:ind w:left="131"/>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3"/>
                <w:kern w:val="0"/>
                <w:sz w:val="24"/>
                <w:szCs w:val="24"/>
                <w:lang w:eastAsia="en-US"/>
                <w:woUserID w:val="1"/>
              </w:rPr>
              <w:t>1.一、二级救助圈困难家庭“十免十减半”项目</w:t>
            </w:r>
          </w:p>
        </w:tc>
      </w:tr>
      <w:tr w14:paraId="3FBD0A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jc w:val="center"/>
        </w:trPr>
        <w:tc>
          <w:tcPr>
            <w:tcW w:w="705" w:type="dxa"/>
            <w:vMerge w:val="continue"/>
            <w:tcBorders>
              <w:top w:val="single" w:color="auto" w:sz="4" w:space="0"/>
              <w:left w:val="single" w:color="auto" w:sz="4" w:space="0"/>
              <w:bottom w:val="single" w:color="auto" w:sz="4" w:space="0"/>
            </w:tcBorders>
            <w:vAlign w:val="center"/>
          </w:tcPr>
          <w:p w14:paraId="31C1A90A">
            <w:pPr>
              <w:jc w:val="center"/>
              <w:rPr>
                <w:snapToGrid w:val="0"/>
                <w:color w:val="000000"/>
                <w:kern w:val="0"/>
                <w:lang w:eastAsia="en-US"/>
                <w:woUserID w:val="1"/>
              </w:rPr>
            </w:pPr>
          </w:p>
        </w:tc>
        <w:tc>
          <w:tcPr>
            <w:tcW w:w="2150" w:type="dxa"/>
            <w:vMerge w:val="continue"/>
            <w:tcBorders>
              <w:top w:val="single" w:color="auto" w:sz="4" w:space="0"/>
              <w:bottom w:val="single" w:color="auto" w:sz="4" w:space="0"/>
              <w:right w:val="single" w:color="auto" w:sz="4" w:space="0"/>
            </w:tcBorders>
            <w:vAlign w:val="center"/>
          </w:tcPr>
          <w:p w14:paraId="2920DA90">
            <w:pPr>
              <w:spacing w:line="300" w:lineRule="exact"/>
              <w:jc w:val="center"/>
              <w:rPr>
                <w:snapToGrid w:val="0"/>
                <w:color w:val="000000"/>
                <w:kern w:val="0"/>
                <w:lang w:eastAsia="en-US"/>
                <w:woUserID w:val="1"/>
              </w:rPr>
            </w:pPr>
          </w:p>
        </w:tc>
        <w:tc>
          <w:tcPr>
            <w:tcW w:w="5671" w:type="dxa"/>
            <w:tcBorders>
              <w:left w:val="single" w:color="auto" w:sz="4" w:space="0"/>
            </w:tcBorders>
            <w:vAlign w:val="center"/>
          </w:tcPr>
          <w:p w14:paraId="4D15282A">
            <w:pPr>
              <w:spacing w:before="50" w:line="320" w:lineRule="exact"/>
              <w:ind w:left="116"/>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1"/>
                <w:kern w:val="0"/>
                <w:sz w:val="24"/>
                <w:szCs w:val="24"/>
                <w:lang w:eastAsia="en-US"/>
                <w:woUserID w:val="1"/>
              </w:rPr>
              <w:t>2.</w:t>
            </w:r>
            <w:r>
              <w:rPr>
                <w:rFonts w:ascii="宋体" w:hAnsi="宋体" w:eastAsia="宋体" w:cs="宋体"/>
                <w:snapToGrid w:val="0"/>
                <w:color w:val="000000"/>
                <w:spacing w:val="-3"/>
                <w:kern w:val="0"/>
                <w:sz w:val="24"/>
                <w:szCs w:val="24"/>
                <w:lang w:eastAsia="en-US"/>
                <w:woUserID w:val="1"/>
              </w:rPr>
              <w:t>一、二级救助圈困难家庭个人零自付项目</w:t>
            </w:r>
          </w:p>
        </w:tc>
      </w:tr>
      <w:tr w14:paraId="791562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jc w:val="center"/>
        </w:trPr>
        <w:tc>
          <w:tcPr>
            <w:tcW w:w="705" w:type="dxa"/>
            <w:vMerge w:val="continue"/>
            <w:tcBorders>
              <w:top w:val="single" w:color="auto" w:sz="4" w:space="0"/>
              <w:left w:val="single" w:color="auto" w:sz="4" w:space="0"/>
              <w:bottom w:val="single" w:color="auto" w:sz="4" w:space="0"/>
            </w:tcBorders>
            <w:vAlign w:val="center"/>
          </w:tcPr>
          <w:p w14:paraId="10C93DC5">
            <w:pPr>
              <w:jc w:val="center"/>
              <w:rPr>
                <w:snapToGrid w:val="0"/>
                <w:color w:val="000000"/>
                <w:kern w:val="0"/>
                <w:lang w:eastAsia="en-US"/>
                <w:woUserID w:val="1"/>
              </w:rPr>
            </w:pPr>
          </w:p>
        </w:tc>
        <w:tc>
          <w:tcPr>
            <w:tcW w:w="2150" w:type="dxa"/>
            <w:vMerge w:val="continue"/>
            <w:tcBorders>
              <w:top w:val="single" w:color="auto" w:sz="4" w:space="0"/>
              <w:bottom w:val="single" w:color="auto" w:sz="4" w:space="0"/>
              <w:right w:val="single" w:color="auto" w:sz="4" w:space="0"/>
            </w:tcBorders>
            <w:vAlign w:val="center"/>
          </w:tcPr>
          <w:p w14:paraId="38F034BD">
            <w:pPr>
              <w:spacing w:line="300" w:lineRule="exact"/>
              <w:jc w:val="center"/>
              <w:rPr>
                <w:snapToGrid w:val="0"/>
                <w:color w:val="000000"/>
                <w:kern w:val="0"/>
                <w:lang w:eastAsia="en-US"/>
                <w:woUserID w:val="1"/>
              </w:rPr>
            </w:pPr>
          </w:p>
        </w:tc>
        <w:tc>
          <w:tcPr>
            <w:tcW w:w="5671" w:type="dxa"/>
            <w:tcBorders>
              <w:left w:val="single" w:color="auto" w:sz="4" w:space="0"/>
            </w:tcBorders>
            <w:vAlign w:val="center"/>
          </w:tcPr>
          <w:p w14:paraId="6389F97C">
            <w:pPr>
              <w:spacing w:before="50" w:line="320" w:lineRule="exact"/>
              <w:ind w:left="118"/>
              <w:rPr>
                <w:rFonts w:ascii="宋体" w:hAnsi="宋体" w:eastAsia="宋体" w:cs="宋体"/>
                <w:snapToGrid w:val="0"/>
                <w:color w:val="000000"/>
                <w:kern w:val="0"/>
                <w:sz w:val="24"/>
                <w:szCs w:val="24"/>
                <w:lang w:eastAsia="en-US"/>
                <w:woUserID w:val="1"/>
              </w:rPr>
            </w:pPr>
            <w:r>
              <w:rPr>
                <w:rFonts w:ascii="宋体" w:hAnsi="宋体" w:eastAsia="宋体" w:cs="宋体"/>
                <w:snapToGrid w:val="0"/>
                <w:color w:val="000000"/>
                <w:spacing w:val="-2"/>
                <w:kern w:val="0"/>
                <w:sz w:val="24"/>
                <w:szCs w:val="24"/>
                <w:lang w:eastAsia="en-US"/>
                <w:woUserID w:val="1"/>
              </w:rPr>
              <w:t>3.二、</w:t>
            </w:r>
            <w:r>
              <w:rPr>
                <w:rFonts w:ascii="宋体" w:hAnsi="宋体" w:eastAsia="宋体" w:cs="宋体"/>
                <w:snapToGrid w:val="0"/>
                <w:color w:val="000000"/>
                <w:spacing w:val="-3"/>
                <w:kern w:val="0"/>
                <w:sz w:val="24"/>
                <w:szCs w:val="24"/>
                <w:lang w:eastAsia="en-US"/>
                <w:woUserID w:val="1"/>
              </w:rPr>
              <w:t>三、四级救助圈困难家庭因病致困医疗救助项目</w:t>
            </w:r>
          </w:p>
        </w:tc>
      </w:tr>
    </w:tbl>
    <w:p w14:paraId="7D80C23A">
      <w:pPr>
        <w:rPr>
          <w:woUserID w:val="1"/>
        </w:rPr>
      </w:pPr>
      <w:r>
        <w:rPr>
          <w:woUserID w:val="1"/>
        </w:rPr>
        <mc:AlternateContent>
          <mc:Choice Requires="wps">
            <w:drawing>
              <wp:anchor distT="0" distB="0" distL="114300" distR="114300" simplePos="0" relativeHeight="251661312" behindDoc="0" locked="0" layoutInCell="1" allowOverlap="1">
                <wp:simplePos x="0" y="0"/>
                <wp:positionH relativeFrom="column">
                  <wp:posOffset>2397760</wp:posOffset>
                </wp:positionH>
                <wp:positionV relativeFrom="paragraph">
                  <wp:posOffset>858520</wp:posOffset>
                </wp:positionV>
                <wp:extent cx="635" cy="635"/>
                <wp:effectExtent l="0" t="0" r="0" b="0"/>
                <wp:wrapNone/>
                <wp:docPr id="5" name="墨迹 5"/>
                <wp:cNvGraphicFramePr/>
                <a:graphic xmlns:a="http://schemas.openxmlformats.org/drawingml/2006/main">
                  <a:graphicData uri="http://schemas.microsoft.com/office/word/2010/wordprocessingInk">
                    <mc:AlternateContent xmlns:a14="http://schemas.microsoft.com/office/drawing/2010/main">
                      <mc:Choice Requires="a14">
                        <w14:contentPart bwMode="clr" r:id="rId6">
                          <w14:nvContentPartPr>
                            <w14:cNvPr id="5" name="墨迹 5"/>
                            <w14:cNvContentPartPr/>
                          </w14:nvContentPartPr>
                          <w14:xfrm>
                            <a:off x="3405505" y="9392285"/>
                            <a:ext cx="635" cy="635"/>
                          </w14:xfrm>
                        </w14:contentPart>
                      </mc:Choice>
                    </mc:AlternateContent>
                  </a:graphicData>
                </a:graphic>
              </wp:anchor>
            </w:drawing>
          </mc:Choice>
          <mc:Fallback>
            <w:pict>
              <v:shape id="_x0000_s1026" o:spid="_x0000_s1026" o:spt="75" style="position:absolute;left:0pt;margin-left:188.8pt;margin-top:67.6pt;height:0.05pt;width:0.05pt;z-index:251661312;mso-width-relative:page;mso-height-relative:page;" coordsize="21600,21600" o:gfxdata="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">
                <v:imagedata r:id="rId7" o:title=""/>
                <o:lock v:ext="edit"/>
              </v:shape>
            </w:pict>
          </mc:Fallback>
        </mc:AlternateContent>
      </w:r>
    </w:p>
    <w:p w14:paraId="66C4CB5B">
      <w:r>
        <mc:AlternateContent>
          <mc:Choice Requires="wps">
            <w:drawing>
              <wp:anchor distT="0" distB="0" distL="114300" distR="114300" simplePos="0" relativeHeight="251659264" behindDoc="0" locked="0" layoutInCell="1" allowOverlap="1">
                <wp:simplePos x="0" y="0"/>
                <wp:positionH relativeFrom="column">
                  <wp:posOffset>2397760</wp:posOffset>
                </wp:positionH>
                <wp:positionV relativeFrom="paragraph">
                  <wp:posOffset>858520</wp:posOffset>
                </wp:positionV>
                <wp:extent cx="635" cy="635"/>
                <wp:effectExtent l="0" t="0" r="0" b="0"/>
                <wp:wrapNone/>
                <wp:docPr id="3" name="墨迹 3"/>
                <wp:cNvGraphicFramePr/>
                <a:graphic xmlns:a="http://schemas.openxmlformats.org/drawingml/2006/main">
                  <a:graphicData uri="http://schemas.microsoft.com/office/word/2010/wordprocessingInk">
                    <mc:AlternateContent xmlns:a14="http://schemas.microsoft.com/office/drawing/2010/main">
                      <mc:Choice Requires="a14">
                        <w14:contentPart bwMode="clr" r:id="rId8">
                          <w14:nvContentPartPr>
                            <w14:cNvPr id="3" name="墨迹 3"/>
                            <w14:cNvContentPartPr/>
                          </w14:nvContentPartPr>
                          <w14:xfrm>
                            <a:off x="3405505" y="9392285"/>
                            <a:ext cx="635" cy="635"/>
                          </w14:xfrm>
                        </w14:contentPart>
                      </mc:Choice>
                    </mc:AlternateContent>
                  </a:graphicData>
                </a:graphic>
              </wp:anchor>
            </w:drawing>
          </mc:Choice>
          <mc:Fallback>
            <w:pict>
              <v:shape id="_x0000_s1026" o:spid="_x0000_s1026" o:spt="75" style="position:absolute;left:0pt;margin-left:188.8pt;margin-top:67.6pt;height:0.05pt;width:0.05pt;z-index:251659264;mso-width-relative:page;mso-height-relative:page;" coordsize="21600,21600" o:gfxdata="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">
                <v:imagedata r:id="rId7" o:title=""/>
                <o:lock v:ext="edit"/>
              </v:shape>
            </w:pict>
          </mc:Fallback>
        </mc:AlternateContent>
      </w:r>
    </w:p>
    <w:sectPr>
      <w:headerReference r:id="rId3" w:type="default"/>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汉仪仿宋KW">
    <w:altName w:val="仿宋"/>
    <w:panose1 w:val="00020600040101010101"/>
    <w:charset w:val="86"/>
    <w:family w:val="auto"/>
    <w:pitch w:val="default"/>
    <w:sig w:usb0="00000000" w:usb1="00000000" w:usb2="00000016" w:usb3="00000000" w:csb0="00040000" w:csb1="00000000"/>
  </w:font>
  <w:font w:name="Tahoma">
    <w:panose1 w:val="020B0604030504040204"/>
    <w:charset w:val="00"/>
    <w:family w:val="swiss"/>
    <w:pitch w:val="default"/>
    <w:sig w:usb0="E1002EFF" w:usb1="C000605B" w:usb2="00000029" w:usb3="00000000" w:csb0="200101FF" w:csb1="2028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汉仪楷体KW">
    <w:altName w:val="宋体"/>
    <w:panose1 w:val="00020600040101010101"/>
    <w:charset w:val="86"/>
    <w:family w:val="auto"/>
    <w:pitch w:val="default"/>
    <w:sig w:usb0="00000000" w:usb1="00000000" w:usb2="00000016"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altName w:val="方正舒体"/>
    <w:panose1 w:val="03000509000000000000"/>
    <w:charset w:val="86"/>
    <w:family w:val="auto"/>
    <w:pitch w:val="default"/>
    <w:sig w:usb0="00000000" w:usb1="00000000" w:usb2="00000000" w:usb3="00000000" w:csb0="00040000" w:csb1="00000000"/>
  </w:font>
  <w:font w:name="汉仪书宋二KW">
    <w:altName w:val="宋体"/>
    <w:panose1 w:val="00020600040101010101"/>
    <w:charset w:val="86"/>
    <w:family w:val="auto"/>
    <w:pitch w:val="default"/>
    <w:sig w:usb0="00000000" w:usb1="00000000" w:usb2="00000016"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7669D">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2E368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42E3681">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874917">
    <w:pPr>
      <w:pStyle w:val="3"/>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mMTY1OWZjNjIyYzVhMmZkZDQ5MDllNTVkZTRlYTcifQ=="/>
  </w:docVars>
  <w:rsids>
    <w:rsidRoot w:val="00642189"/>
    <w:rsid w:val="000E4D4C"/>
    <w:rsid w:val="00155C3A"/>
    <w:rsid w:val="00281A55"/>
    <w:rsid w:val="00397ADE"/>
    <w:rsid w:val="003F5930"/>
    <w:rsid w:val="004447C9"/>
    <w:rsid w:val="00453A2F"/>
    <w:rsid w:val="00493701"/>
    <w:rsid w:val="00572C2B"/>
    <w:rsid w:val="00633747"/>
    <w:rsid w:val="00642189"/>
    <w:rsid w:val="00647429"/>
    <w:rsid w:val="00797F37"/>
    <w:rsid w:val="00804790"/>
    <w:rsid w:val="00834B10"/>
    <w:rsid w:val="00960646"/>
    <w:rsid w:val="009662C6"/>
    <w:rsid w:val="00BF69DA"/>
    <w:rsid w:val="00D62346"/>
    <w:rsid w:val="00D8151A"/>
    <w:rsid w:val="00E27D11"/>
    <w:rsid w:val="00E86461"/>
    <w:rsid w:val="00EE5DB1"/>
    <w:rsid w:val="00F849BA"/>
    <w:rsid w:val="04D42966"/>
    <w:rsid w:val="0D1656A7"/>
    <w:rsid w:val="0F3D68BD"/>
    <w:rsid w:val="12C53E9E"/>
    <w:rsid w:val="12E84402"/>
    <w:rsid w:val="131364C7"/>
    <w:rsid w:val="14E84FBD"/>
    <w:rsid w:val="17D699C3"/>
    <w:rsid w:val="17F51F87"/>
    <w:rsid w:val="194B0C28"/>
    <w:rsid w:val="1B2F53EA"/>
    <w:rsid w:val="1B3A3D98"/>
    <w:rsid w:val="1FFA6DD6"/>
    <w:rsid w:val="21DE2EFF"/>
    <w:rsid w:val="2ACA2381"/>
    <w:rsid w:val="37CB567B"/>
    <w:rsid w:val="38096976"/>
    <w:rsid w:val="38125555"/>
    <w:rsid w:val="39977806"/>
    <w:rsid w:val="3B1D5A0B"/>
    <w:rsid w:val="3DD750E6"/>
    <w:rsid w:val="4E6F045E"/>
    <w:rsid w:val="4EEA67EB"/>
    <w:rsid w:val="4F8253C4"/>
    <w:rsid w:val="515E5F4E"/>
    <w:rsid w:val="51FD30BD"/>
    <w:rsid w:val="56C3573E"/>
    <w:rsid w:val="585913E5"/>
    <w:rsid w:val="587529A2"/>
    <w:rsid w:val="5BDA212E"/>
    <w:rsid w:val="5BEA651E"/>
    <w:rsid w:val="5CBF14E9"/>
    <w:rsid w:val="601E014B"/>
    <w:rsid w:val="614702BD"/>
    <w:rsid w:val="63A775B0"/>
    <w:rsid w:val="6674227F"/>
    <w:rsid w:val="6E9559CC"/>
    <w:rsid w:val="721D0CD0"/>
    <w:rsid w:val="738A1B7C"/>
    <w:rsid w:val="738C244E"/>
    <w:rsid w:val="74B548B8"/>
    <w:rsid w:val="77FF8A4E"/>
    <w:rsid w:val="79F73CBA"/>
    <w:rsid w:val="7AEE4837"/>
    <w:rsid w:val="7DE9080A"/>
    <w:rsid w:val="7E0038C5"/>
    <w:rsid w:val="7EC7678D"/>
    <w:rsid w:val="7F9B50F5"/>
    <w:rsid w:val="E7AF137C"/>
    <w:rsid w:val="ECFF8D17"/>
    <w:rsid w:val="F3AF1258"/>
    <w:rsid w:val="FA3E3B47"/>
    <w:rsid w:val="FFDB6DDC"/>
    <w:rsid w:val="FFFFE6B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ahoma"/>
      <w:kern w:val="2"/>
      <w:sz w:val="32"/>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99"/>
    <w:pPr>
      <w:ind w:firstLine="420" w:firstLineChars="200"/>
    </w:pPr>
  </w:style>
  <w:style w:type="character" w:customStyle="1" w:styleId="8">
    <w:name w:val="页眉 字符"/>
    <w:basedOn w:val="6"/>
    <w:link w:val="3"/>
    <w:qFormat/>
    <w:uiPriority w:val="0"/>
    <w:rPr>
      <w:rFonts w:ascii="Times New Roman" w:hAnsi="Times New Roman" w:eastAsia="仿宋_GB2312" w:cs="Tahoma"/>
      <w:kern w:val="2"/>
      <w:sz w:val="18"/>
      <w:szCs w:val="18"/>
    </w:rPr>
  </w:style>
  <w:style w:type="character" w:customStyle="1" w:styleId="9">
    <w:name w:val="页脚 字符"/>
    <w:basedOn w:val="6"/>
    <w:link w:val="2"/>
    <w:qFormat/>
    <w:uiPriority w:val="0"/>
    <w:rPr>
      <w:rFonts w:ascii="Times New Roman" w:hAnsi="Times New Roman" w:eastAsia="仿宋_GB2312" w:cs="Tahoma"/>
      <w:kern w:val="2"/>
      <w:sz w:val="18"/>
      <w:szCs w:val="18"/>
    </w:rPr>
  </w:style>
  <w:style w:type="table" w:customStyle="1" w:styleId="10">
    <w:name w:val="Table Normal"/>
    <w:semiHidden/>
    <w:unhideWhenUsed/>
    <w:qFormat/>
    <w:uiPriority w:val="0"/>
    <w:rPr>
      <w:rFonts w:ascii="Arial" w:hAnsi="Arial" w:cs="Arial"/>
      <w:snapToGrid w:val="0"/>
      <w:color w:val="000000"/>
      <w:szCs w:val="21"/>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ustomXml" Target="ink/ink2.xml"/><Relationship Id="rId7" Type="http://schemas.openxmlformats.org/officeDocument/2006/relationships/image" Target="media/image1.png"/><Relationship Id="rId6" Type="http://schemas.openxmlformats.org/officeDocument/2006/relationships/customXml" Target="ink/ink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ink/ink1.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2-27T22:04:04"/>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10090.000 117800.000,'0.000'0.000</inkml:trace>
</inkml:ink>
</file>

<file path=word/ink/ink2.xml><?xml version="1.0" encoding="utf-8"?>
<inkml:ink xmlns:inkml="http://www.w3.org/2003/InkML">
  <inkml:definitions>
    <inkml:context xml:id="ctx0">
      <inkml:inkSource xml:id="inkSrc0">
        <inkml:traceFormat>
          <inkml:channel name="X" type="integer" units="cm"/>
          <inkml:channel name="Y" type="integer" units="cm"/>
        </inkml:traceFormat>
        <inkml:channelProperties>
          <inkml:channelProperty channel="X" name="resolution" value="28.3464566929134" units="1/cm"/>
          <inkml:channelProperty channel="Y" name="resolution" value="28.3464566929134" units="1/cm"/>
        </inkml:channelProperties>
      </inkml:inkSource>
      <inkml:timestamp xml:id="ts0" timeString="2024-02-27T22:04:04"/>
    </inkml:context>
    <inkml:brush xml:id="br0">
      <inkml:brushProperty name="width" value="0.05292" units="cm"/>
      <inkml:brushProperty name="height" value="0.05292" units="cm"/>
      <inkml:brushProperty name="color" value="#f80600"/>
      <inkml:brushProperty name="ignorePressure" value="0"/>
    </inkml:brush>
  </inkml:definitions>
  <inkml:trace contextRef="#ctx0" brushRef="#br0">10090.000 117800.000,'0.000'0.000</inkml:trace>
</inkml:ink>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3172</Words>
  <Characters>3225</Characters>
  <Lines>1</Lines>
  <Paragraphs>1</Paragraphs>
  <TotalTime>1</TotalTime>
  <ScaleCrop>false</ScaleCrop>
  <LinksUpToDate>false</LinksUpToDate>
  <CharactersWithSpaces>3230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2023-11-16T04:13:00Z</dcterms:created>
  <dc:creator>41755</dc:creator>
  <cp:lastModifiedBy>小孩</cp:lastModifiedBy>
  <cp:lastPrinted>2024-02-28T15:06:00Z</cp:lastPrinted>
  <dcterms:modified xsi:type="dcterms:W3CDTF">2025-04-27T08:41:40Z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E9C3E99AD10043D780F2BF4DB0A0E8F9_12</vt:lpwstr>
  </property>
  <property fmtid="{D5CDD505-2E9C-101B-9397-08002B2CF9AE}" pid="4" name="KSOTemplateDocerSaveRecord">
    <vt:lpwstr>eyJoZGlkIjoiODlhYzFjODVjYTQ2ODc2MWU5MWNiNGZjMTQ3MDhiMDEiLCJ1c2VySWQiOiIxMTIyMjAyNzIxIn0=</vt:lpwstr>
  </property>
</Properties>
</file>