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hint="eastAsia" w:ascii="宋体" w:hAnsi="宋体" w:eastAsia="宋体" w:cs="宋体"/>
          <w:color w:val="auto"/>
          <w:highlight w:val="none"/>
          <w:lang w:val="en-US" w:eastAsia="zh-CN"/>
        </w:rPr>
      </w:pPr>
      <w:r>
        <w:rPr>
          <w:rFonts w:hint="eastAsia" w:ascii="宋体" w:hAnsi="宋体" w:eastAsia="宋体" w:cs="宋体"/>
          <w:b/>
          <w:bCs/>
          <w:color w:val="auto"/>
          <w:sz w:val="32"/>
          <w:szCs w:val="32"/>
          <w:highlight w:val="none"/>
          <w:lang w:val="en-US" w:eastAsia="zh-CN"/>
        </w:rPr>
        <w:t>2025年台州市路桥区燃气</w:t>
      </w:r>
      <w:r>
        <w:rPr>
          <w:rFonts w:hint="eastAsia" w:ascii="宋体" w:hAnsi="宋体" w:cs="宋体"/>
          <w:b/>
          <w:bCs/>
          <w:color w:val="auto"/>
          <w:sz w:val="32"/>
          <w:szCs w:val="32"/>
          <w:highlight w:val="none"/>
          <w:lang w:val="en-US" w:eastAsia="zh-CN"/>
        </w:rPr>
        <w:t>器具</w:t>
      </w:r>
      <w:bookmarkStart w:id="0" w:name="_GoBack"/>
      <w:bookmarkEnd w:id="0"/>
      <w:r>
        <w:rPr>
          <w:rFonts w:hint="eastAsia" w:ascii="宋体" w:hAnsi="宋体" w:eastAsia="宋体" w:cs="宋体"/>
          <w:b/>
          <w:bCs/>
          <w:color w:val="auto"/>
          <w:sz w:val="32"/>
          <w:szCs w:val="32"/>
          <w:highlight w:val="none"/>
          <w:lang w:val="en-US" w:eastAsia="zh-CN"/>
        </w:rPr>
        <w:t>相关产品质量监督抽查实施细则</w:t>
      </w: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每批次产品抽取数量见表</w:t>
      </w:r>
      <w:r>
        <w:rPr>
          <w:rFonts w:hint="eastAsia" w:ascii="宋体" w:hAnsi="宋体" w:eastAsia="宋体" w:cs="宋体"/>
          <w:color w:val="auto"/>
          <w:sz w:val="21"/>
          <w:szCs w:val="21"/>
          <w:highlight w:val="none"/>
          <w:lang w:val="en-US" w:eastAsia="zh-CN"/>
        </w:rPr>
        <w:t>1。</w:t>
      </w:r>
    </w:p>
    <w:p>
      <w:pPr>
        <w:keepNext w:val="0"/>
        <w:keepLines w:val="0"/>
        <w:pageBreakBefore w:val="0"/>
        <w:kinsoku/>
        <w:wordWrap/>
        <w:overflowPunct/>
        <w:topLinePunct w:val="0"/>
        <w:autoSpaceDE/>
        <w:autoSpaceDN/>
        <w:bidi w:val="0"/>
        <w:adjustRightInd/>
        <w:snapToGrid w:val="0"/>
        <w:spacing w:line="44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表</w:t>
      </w:r>
      <w:r>
        <w:rPr>
          <w:rFonts w:hint="eastAsia" w:ascii="宋体" w:hAnsi="宋体" w:eastAsia="宋体" w:cs="宋体"/>
          <w:color w:val="auto"/>
          <w:sz w:val="21"/>
          <w:szCs w:val="21"/>
          <w:highlight w:val="none"/>
          <w:lang w:val="en-US" w:eastAsia="zh-CN"/>
        </w:rPr>
        <w:t>1抽样数量</w:t>
      </w:r>
    </w:p>
    <w:tbl>
      <w:tblPr>
        <w:tblStyle w:val="10"/>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887"/>
        <w:gridCol w:w="1537"/>
        <w:gridCol w:w="188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7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388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产品名称</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抽样数量</w:t>
            </w:r>
          </w:p>
        </w:tc>
        <w:tc>
          <w:tcPr>
            <w:tcW w:w="188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检样数量</w:t>
            </w:r>
          </w:p>
        </w:tc>
        <w:tc>
          <w:tcPr>
            <w:tcW w:w="135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388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家用燃气灶</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2台</w:t>
            </w:r>
          </w:p>
        </w:tc>
        <w:tc>
          <w:tcPr>
            <w:tcW w:w="188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1台</w:t>
            </w:r>
          </w:p>
        </w:tc>
        <w:tc>
          <w:tcPr>
            <w:tcW w:w="135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w:t>
            </w:r>
          </w:p>
        </w:tc>
        <w:tc>
          <w:tcPr>
            <w:tcW w:w="388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
              </w:rPr>
              <w:t>商用燃气燃烧器具</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2台</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1台</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3</w:t>
            </w:r>
          </w:p>
        </w:tc>
        <w:tc>
          <w:tcPr>
            <w:tcW w:w="388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家用燃气快速热水器</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2台</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1台</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4</w:t>
            </w:r>
          </w:p>
        </w:tc>
        <w:tc>
          <w:tcPr>
            <w:tcW w:w="388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燃气采暖热水炉</w:t>
            </w:r>
          </w:p>
        </w:tc>
        <w:tc>
          <w:tcPr>
            <w:tcW w:w="1537" w:type="dxa"/>
            <w:shd w:val="clear" w:color="auto" w:fill="auto"/>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2台</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1台</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w:t>
            </w:r>
          </w:p>
        </w:tc>
        <w:tc>
          <w:tcPr>
            <w:tcW w:w="38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eastAsia="zh-CN"/>
              </w:rPr>
              <w:t>液化石油气调压器</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4个</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2个</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6</w:t>
            </w:r>
          </w:p>
        </w:tc>
        <w:tc>
          <w:tcPr>
            <w:tcW w:w="38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燃气用具连接内用橡胶复合软管</w:t>
            </w:r>
            <w:r>
              <w:rPr>
                <w:rFonts w:hint="eastAsia" w:ascii="宋体" w:hAnsi="宋体" w:eastAsia="宋体" w:cs="宋体"/>
                <w:bCs/>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（GB 44023-2024）</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米</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vertAlign w:val="baseline"/>
                <w:lang w:val="en-US" w:eastAsia="zh-CN"/>
              </w:rPr>
              <w:t>4米</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vertAlign w:val="baseline"/>
                <w:lang w:val="en-US" w:eastAsia="zh-CN"/>
              </w:rPr>
              <w:t>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7</w:t>
            </w:r>
          </w:p>
        </w:tc>
        <w:tc>
          <w:tcPr>
            <w:tcW w:w="38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燃气用具连接用金属包覆软管</w:t>
            </w:r>
            <w:r>
              <w:rPr>
                <w:rFonts w:hint="eastAsia" w:ascii="宋体" w:hAnsi="宋体" w:eastAsia="宋体" w:cs="宋体"/>
                <w:bCs/>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eastAsia="zh-CN"/>
              </w:rPr>
              <w:t>（GB 44017-2024）</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根</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vertAlign w:val="baseline"/>
                <w:lang w:val="en-US" w:eastAsia="zh-CN"/>
              </w:rPr>
              <w:t>4根</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vertAlign w:val="baseline"/>
                <w:lang w:val="en-US" w:eastAsia="zh-CN"/>
              </w:rPr>
              <w:t>4根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8</w:t>
            </w:r>
          </w:p>
        </w:tc>
        <w:tc>
          <w:tcPr>
            <w:tcW w:w="38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燃气用具连接用不锈钢波纹软管</w:t>
            </w:r>
          </w:p>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eastAsia="zh-CN"/>
              </w:rPr>
              <w:t>（GB 41317-2024）</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vertAlign w:val="baseline"/>
                <w:lang w:val="en-US" w:eastAsia="zh-CN"/>
              </w:rPr>
              <w:t>8</w:t>
            </w:r>
            <w:r>
              <w:rPr>
                <w:rFonts w:hint="eastAsia" w:ascii="宋体" w:hAnsi="宋体" w:eastAsia="宋体" w:cs="宋体"/>
                <w:color w:val="auto"/>
                <w:sz w:val="21"/>
                <w:szCs w:val="21"/>
                <w:highlight w:val="none"/>
                <w:vertAlign w:val="baseline"/>
                <w:lang w:val="en-US" w:eastAsia="zh-CN"/>
              </w:rPr>
              <w:t>根</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vertAlign w:val="baseline"/>
                <w:lang w:val="en-US" w:eastAsia="zh-CN"/>
              </w:rPr>
              <w:t>4根</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vertAlign w:val="baseline"/>
                <w:lang w:val="en-US" w:eastAsia="zh-CN"/>
              </w:rPr>
              <w:t>4根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9</w:t>
            </w:r>
          </w:p>
        </w:tc>
        <w:tc>
          <w:tcPr>
            <w:tcW w:w="38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燃气用具连接用不锈钢波纹软管</w:t>
            </w:r>
          </w:p>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（CJ/T 197-2010）</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lang w:val="en-US" w:eastAsia="zh-CN" w:bidi="ar-SA"/>
              </w:rPr>
              <w:t>10根</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lang w:val="en-US" w:eastAsia="zh-CN" w:bidi="ar-SA"/>
              </w:rPr>
              <w:t>5根</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lang w:val="en-US" w:eastAsia="zh-CN" w:bidi="ar-SA"/>
              </w:rPr>
              <w:t>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10</w:t>
            </w:r>
          </w:p>
        </w:tc>
        <w:tc>
          <w:tcPr>
            <w:tcW w:w="38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燃气用具连接用金属包覆软管</w:t>
            </w:r>
          </w:p>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 xml:space="preserve">CJ/T 490-2016 </w:t>
            </w:r>
            <w:r>
              <w:rPr>
                <w:rFonts w:hint="eastAsia" w:ascii="宋体" w:hAnsi="宋体" w:eastAsia="宋体" w:cs="宋体"/>
                <w:color w:val="auto"/>
                <w:kern w:val="2"/>
                <w:sz w:val="21"/>
                <w:szCs w:val="21"/>
                <w:highlight w:val="none"/>
                <w:lang w:val="en-US" w:eastAsia="zh-CN" w:bidi="ar-SA"/>
              </w:rPr>
              <w:t>）</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10根</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5根</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11</w:t>
            </w:r>
          </w:p>
        </w:tc>
        <w:tc>
          <w:tcPr>
            <w:tcW w:w="3887"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独立式感烟火灾探测报警器</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4只</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2只</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3887"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家用可燃气体探测器</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4只</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2只</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13</w:t>
            </w:r>
          </w:p>
        </w:tc>
        <w:tc>
          <w:tcPr>
            <w:tcW w:w="38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u w:val="none"/>
              </w:rPr>
              <w:t>家用燃气报警器及传感器</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4只</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2只</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14</w:t>
            </w:r>
          </w:p>
        </w:tc>
        <w:tc>
          <w:tcPr>
            <w:tcW w:w="38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rPr>
              <w:t>工业及商业用途便携式可燃气体探测器</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4只</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2只</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15</w:t>
            </w:r>
          </w:p>
        </w:tc>
        <w:tc>
          <w:tcPr>
            <w:tcW w:w="3887"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sz w:val="21"/>
                <w:szCs w:val="21"/>
                <w:highlight w:val="none"/>
                <w:u w:val="none"/>
                <w:lang w:eastAsia="zh-CN"/>
              </w:rPr>
              <w:t>家用和小型餐饮厨房用燃气报警器及传感器</w:t>
            </w:r>
          </w:p>
        </w:tc>
        <w:tc>
          <w:tcPr>
            <w:tcW w:w="1537"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4只</w:t>
            </w:r>
          </w:p>
        </w:tc>
        <w:tc>
          <w:tcPr>
            <w:tcW w:w="188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2只</w:t>
            </w:r>
          </w:p>
        </w:tc>
        <w:tc>
          <w:tcPr>
            <w:tcW w:w="1359" w:type="dxa"/>
            <w:shd w:val="clear" w:color="auto" w:fill="auto"/>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2只</w:t>
            </w:r>
          </w:p>
        </w:tc>
      </w:tr>
    </w:tbl>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pStyle w:val="4"/>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表</w:t>
      </w:r>
      <w:r>
        <w:rPr>
          <w:rFonts w:hint="eastAsia" w:ascii="宋体" w:hAnsi="宋体" w:eastAsia="宋体" w:cs="宋体"/>
          <w:color w:val="auto"/>
          <w:sz w:val="21"/>
          <w:szCs w:val="21"/>
          <w:highlight w:val="none"/>
          <w:lang w:val="en-US" w:eastAsia="zh-CN"/>
        </w:rPr>
        <w:t>2家用燃气灶具检验项目</w:t>
      </w:r>
    </w:p>
    <w:tbl>
      <w:tblPr>
        <w:tblStyle w:val="9"/>
        <w:tblW w:w="87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2"/>
        <w:gridCol w:w="3803"/>
        <w:gridCol w:w="3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序号</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检验项目</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44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气密性</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 xml:space="preserve">GB 16410-2020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热负荷</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 xml:space="preserve">GB 16410-2020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离焰</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 xml:space="preserve">GB 16410-2020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熄火</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 xml:space="preserve">GB 16410-2020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回火</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 xml:space="preserve">GB 16410-2020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防触电保护</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 xml:space="preserve">GB 16410-2020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接地电阻</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 xml:space="preserve">GB 16410-2020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CN"/>
              </w:rPr>
              <w:t>熄火保护装置</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GB 16410-2020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CN"/>
              </w:rPr>
              <w:t>电点火装置</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GB 16410-2020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燃烧器的熄火保护装置</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GB 16410-2020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燃气导管</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GB 16410-2020 </w:t>
            </w:r>
          </w:p>
        </w:tc>
      </w:tr>
    </w:tbl>
    <w:p>
      <w:pPr>
        <w:pStyle w:val="4"/>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lang w:eastAsia="zh-CN"/>
        </w:rPr>
      </w:pPr>
    </w:p>
    <w:p>
      <w:pPr>
        <w:pStyle w:val="4"/>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表</w:t>
      </w:r>
      <w:r>
        <w:rPr>
          <w:rFonts w:hint="eastAsia" w:ascii="宋体" w:hAnsi="宋体" w:eastAsia="宋体" w:cs="宋体"/>
          <w:color w:val="auto"/>
          <w:sz w:val="21"/>
          <w:szCs w:val="21"/>
          <w:highlight w:val="none"/>
          <w:lang w:val="en-US" w:eastAsia="zh-CN"/>
        </w:rPr>
        <w:t>3商用燃气燃烧器具检验项目</w:t>
      </w:r>
    </w:p>
    <w:tbl>
      <w:tblPr>
        <w:tblStyle w:val="9"/>
        <w:tblW w:w="87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2"/>
        <w:gridCol w:w="3803"/>
        <w:gridCol w:w="3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序号</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检验项目</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44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外观</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rPr>
              <w:t>GB 35848-2024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燃气系统密封性</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rPr>
              <w:t>GB 35848-2024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热负荷准确度</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rPr>
              <w:t>GB 35848-2024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燃烧工况-火焰传递</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rPr>
              <w:t>GB 35848-2024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燃烧工况-火焰状态</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rPr>
              <w:t>GB 35848-2024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燃烧工况-主燃烧器火焰稳定性</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rPr>
              <w:t>GB 35848-2024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i w:val="0"/>
                <w:iCs w:val="0"/>
                <w:color w:val="auto"/>
                <w:sz w:val="21"/>
                <w:szCs w:val="21"/>
                <w:highlight w:val="none"/>
                <w:u w:val="none"/>
                <w:lang w:eastAsia="zh-CN"/>
              </w:rPr>
              <w:t>点火性能</w:t>
            </w:r>
          </w:p>
        </w:tc>
        <w:tc>
          <w:tcPr>
            <w:tcW w:w="38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rPr>
              <w:t>GB 35848-2024</w:t>
            </w:r>
          </w:p>
        </w:tc>
      </w:tr>
    </w:tbl>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表4</w:t>
      </w:r>
      <w:r>
        <w:rPr>
          <w:rFonts w:hint="eastAsia" w:ascii="宋体" w:hAnsi="宋体" w:eastAsia="宋体" w:cs="宋体"/>
          <w:i w:val="0"/>
          <w:iCs w:val="0"/>
          <w:color w:val="auto"/>
          <w:sz w:val="21"/>
          <w:szCs w:val="21"/>
          <w:highlight w:val="none"/>
          <w:u w:val="none"/>
          <w:lang w:val="en-US" w:eastAsia="zh-CN"/>
        </w:rPr>
        <w:t>家用燃气快速热水器</w:t>
      </w:r>
      <w:r>
        <w:rPr>
          <w:rFonts w:hint="eastAsia" w:ascii="宋体" w:hAnsi="宋体" w:eastAsia="宋体" w:cs="宋体"/>
          <w:color w:val="auto"/>
          <w:sz w:val="21"/>
          <w:szCs w:val="21"/>
          <w:highlight w:val="none"/>
          <w:lang w:val="en-US" w:eastAsia="zh-CN"/>
        </w:rPr>
        <w:t>检验项目</w:t>
      </w:r>
    </w:p>
    <w:tbl>
      <w:tblPr>
        <w:tblStyle w:val="9"/>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4888"/>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888"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2635"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8" w:hRule="atLeast"/>
          <w:tblHeader/>
          <w:jc w:val="center"/>
        </w:trPr>
        <w:tc>
          <w:tcPr>
            <w:tcW w:w="1141"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left="0" w:leftChars="0" w:right="0" w:rightChars="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
              </w:rPr>
              <w:t>燃气系统气密性</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rPr>
              <w:t xml:space="preserve">GB 6932-2015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right="0" w:rightChars="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
              </w:rPr>
              <w:t>燃烧工况（无风状态）-烟气中CO含量</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rPr>
              <w:t xml:space="preserve">GB 6932-2015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left="0" w:leftChars="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
              </w:rPr>
              <w:t>燃烧工况（无风状态）-火焰稳定性</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sz w:val="21"/>
                <w:szCs w:val="21"/>
              </w:rPr>
              <w:t xml:space="preserve">GB 6932-2015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right="0" w:right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eastAsia="zh"/>
              </w:rPr>
              <w:t>安全装置-烟道堵塞安全装置（强制排气式）</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sz w:val="21"/>
                <w:szCs w:val="21"/>
              </w:rPr>
              <w:t xml:space="preserve">GB 6932-2015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left="0" w:leftChars="0"/>
              <w:jc w:val="center"/>
              <w:textAlignment w:val="center"/>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eastAsia="zh"/>
              </w:rPr>
              <w:t>安全装置-风压过大安全装置（强制排气式）</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rPr>
              <w:t xml:space="preserve">GB 6932-2015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right="0" w:right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eastAsia="zh"/>
              </w:rPr>
              <w:t>安全装置-防干烧安全装置</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rPr>
              <w:t xml:space="preserve">GB 6932-2015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eastAsia="zh"/>
              </w:rPr>
              <w:t>电气强度</w:t>
            </w:r>
          </w:p>
        </w:tc>
        <w:tc>
          <w:tcPr>
            <w:tcW w:w="263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sz w:val="21"/>
                <w:szCs w:val="21"/>
              </w:rPr>
              <w:t xml:space="preserve">GB 6932-2015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
              </w:rPr>
              <w:t>接地措施</w:t>
            </w:r>
          </w:p>
        </w:tc>
        <w:tc>
          <w:tcPr>
            <w:tcW w:w="263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rPr>
              <w:t xml:space="preserve">GB 6932-2015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rPr>
                <w:rFonts w:hint="eastAsia" w:ascii="宋体" w:hAnsi="宋体" w:eastAsia="宋体" w:cs="宋体"/>
                <w:i w:val="0"/>
                <w:iCs w:val="0"/>
                <w:color w:val="auto"/>
                <w:sz w:val="21"/>
                <w:szCs w:val="21"/>
                <w:highlight w:val="none"/>
                <w:u w:val="none"/>
                <w:lang w:eastAsia="zh"/>
              </w:rPr>
            </w:pPr>
            <w:r>
              <w:rPr>
                <w:rFonts w:hint="eastAsia" w:ascii="宋体" w:hAnsi="宋体" w:eastAsia="宋体" w:cs="宋体"/>
                <w:i w:val="0"/>
                <w:iCs w:val="0"/>
                <w:color w:val="auto"/>
                <w:sz w:val="21"/>
                <w:szCs w:val="21"/>
                <w:highlight w:val="none"/>
                <w:u w:val="none"/>
                <w:lang w:eastAsia="zh"/>
              </w:rPr>
              <w:t>标志-铭牌</w:t>
            </w:r>
          </w:p>
        </w:tc>
        <w:tc>
          <w:tcPr>
            <w:tcW w:w="263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GB 6932-2015 </w:t>
            </w:r>
          </w:p>
        </w:tc>
      </w:tr>
    </w:tbl>
    <w:p>
      <w:pPr>
        <w:pStyle w:val="5"/>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表5</w:t>
      </w:r>
      <w:r>
        <w:rPr>
          <w:rFonts w:hint="eastAsia" w:ascii="宋体" w:hAnsi="宋体" w:eastAsia="宋体" w:cs="宋体"/>
          <w:i w:val="0"/>
          <w:iCs w:val="0"/>
          <w:color w:val="auto"/>
          <w:kern w:val="0"/>
          <w:sz w:val="21"/>
          <w:szCs w:val="21"/>
          <w:highlight w:val="none"/>
          <w:u w:val="none"/>
          <w:lang w:val="en-US" w:eastAsia="zh-CN" w:bidi="ar"/>
        </w:rPr>
        <w:t>燃气采暖热水炉</w:t>
      </w:r>
      <w:r>
        <w:rPr>
          <w:rFonts w:hint="eastAsia" w:ascii="宋体" w:hAnsi="宋体" w:eastAsia="宋体" w:cs="宋体"/>
          <w:color w:val="auto"/>
          <w:sz w:val="21"/>
          <w:szCs w:val="21"/>
          <w:highlight w:val="none"/>
          <w:lang w:val="en-US" w:eastAsia="zh-CN"/>
        </w:rPr>
        <w:t>检验项目</w:t>
      </w:r>
    </w:p>
    <w:tbl>
      <w:tblPr>
        <w:tblStyle w:val="9"/>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4888"/>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888"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2635"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blHeader/>
          <w:jc w:val="center"/>
        </w:trPr>
        <w:tc>
          <w:tcPr>
            <w:tcW w:w="1141"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left="0" w:leftChars="0" w:right="0" w:rightChars="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
              </w:rPr>
              <w:t>一般要求</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right="0" w:rightChars="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
              </w:rPr>
              <w:t>燃气系统密封性</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left="0" w:leftChars="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
              </w:rPr>
              <w:t>电源运行安全性</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sz w:val="21"/>
                <w:szCs w:val="21"/>
                <w:lang w:val="en-US" w:eastAsia="zh-CN"/>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right="0" w:right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eastAsia="zh"/>
              </w:rPr>
              <w:t>泄漏电流和电气强度</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sz w:val="21"/>
                <w:szCs w:val="21"/>
                <w:lang w:val="en-US" w:eastAsia="zh-CN"/>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left="0" w:leftChars="0"/>
              <w:jc w:val="center"/>
              <w:textAlignment w:val="center"/>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eastAsia="zh"/>
              </w:rPr>
              <w:t>内部布线</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right="0" w:right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eastAsia="zh"/>
              </w:rPr>
              <w:t>电源连接和外部软线</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eastAsia="zh"/>
              </w:rPr>
              <w:t>接地措施</w:t>
            </w:r>
          </w:p>
        </w:tc>
        <w:tc>
          <w:tcPr>
            <w:tcW w:w="263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sz w:val="21"/>
                <w:szCs w:val="21"/>
                <w:lang w:val="en-US" w:eastAsia="zh-CN"/>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jc w:val="center"/>
              <w:textAlignment w:val="center"/>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
              </w:rPr>
              <w:t>热效率</w:t>
            </w:r>
          </w:p>
        </w:tc>
        <w:tc>
          <w:tcPr>
            <w:tcW w:w="263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25034-2020</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GB 20665-2015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jc w:val="center"/>
              <w:textAlignment w:val="center"/>
              <w:rPr>
                <w:rFonts w:hint="eastAsia" w:ascii="宋体" w:hAnsi="宋体" w:eastAsia="宋体" w:cs="宋体"/>
                <w:i w:val="0"/>
                <w:iCs w:val="0"/>
                <w:color w:val="auto"/>
                <w:sz w:val="21"/>
                <w:szCs w:val="21"/>
                <w:highlight w:val="none"/>
                <w:u w:val="none"/>
                <w:lang w:eastAsia="zh"/>
              </w:rPr>
            </w:pPr>
            <w:r>
              <w:rPr>
                <w:rFonts w:hint="eastAsia" w:ascii="宋体" w:hAnsi="宋体" w:eastAsia="宋体" w:cs="宋体"/>
                <w:i w:val="0"/>
                <w:iCs w:val="0"/>
                <w:color w:val="auto"/>
                <w:sz w:val="21"/>
                <w:szCs w:val="21"/>
                <w:highlight w:val="none"/>
                <w:u w:val="none"/>
                <w:lang w:eastAsia="zh"/>
              </w:rPr>
              <w:t>产热水能力</w:t>
            </w:r>
          </w:p>
        </w:tc>
        <w:tc>
          <w:tcPr>
            <w:tcW w:w="263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jc w:val="center"/>
              <w:textAlignment w:val="center"/>
              <w:rPr>
                <w:rFonts w:hint="eastAsia" w:ascii="宋体" w:hAnsi="宋体" w:eastAsia="宋体" w:cs="宋体"/>
                <w:i w:val="0"/>
                <w:iCs w:val="0"/>
                <w:color w:val="auto"/>
                <w:sz w:val="21"/>
                <w:szCs w:val="21"/>
                <w:highlight w:val="none"/>
                <w:u w:val="none"/>
                <w:lang w:eastAsia="zh"/>
              </w:rPr>
            </w:pPr>
            <w:r>
              <w:rPr>
                <w:rFonts w:hint="eastAsia" w:ascii="宋体" w:hAnsi="宋体" w:eastAsia="宋体" w:cs="宋体"/>
                <w:i w:val="0"/>
                <w:iCs w:val="0"/>
                <w:color w:val="auto"/>
                <w:sz w:val="21"/>
                <w:szCs w:val="21"/>
                <w:highlight w:val="none"/>
                <w:u w:val="none"/>
                <w:lang w:eastAsia="zh"/>
              </w:rPr>
              <w:t>室外型采暖炉防冻性能</w:t>
            </w:r>
          </w:p>
        </w:tc>
        <w:tc>
          <w:tcPr>
            <w:tcW w:w="263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rPr>
                <w:rFonts w:hint="eastAsia" w:ascii="宋体" w:hAnsi="宋体" w:eastAsia="宋体" w:cs="宋体"/>
                <w:i w:val="0"/>
                <w:iCs w:val="0"/>
                <w:color w:val="auto"/>
                <w:sz w:val="21"/>
                <w:szCs w:val="21"/>
                <w:highlight w:val="none"/>
                <w:u w:val="none"/>
                <w:lang w:eastAsia="zh"/>
              </w:rPr>
            </w:pPr>
            <w:r>
              <w:rPr>
                <w:rFonts w:hint="eastAsia" w:ascii="宋体" w:hAnsi="宋体" w:eastAsia="宋体" w:cs="宋体"/>
                <w:i w:val="0"/>
                <w:iCs w:val="0"/>
                <w:color w:val="auto"/>
                <w:sz w:val="21"/>
                <w:szCs w:val="21"/>
                <w:highlight w:val="none"/>
                <w:u w:val="none"/>
                <w:lang w:eastAsia="zh"/>
              </w:rPr>
              <w:t>铭牌</w:t>
            </w:r>
          </w:p>
        </w:tc>
        <w:tc>
          <w:tcPr>
            <w:tcW w:w="263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GB 25034-2020</w:t>
            </w:r>
          </w:p>
        </w:tc>
      </w:tr>
    </w:tbl>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表6</w:t>
      </w:r>
      <w:r>
        <w:rPr>
          <w:rFonts w:hint="eastAsia" w:ascii="宋体" w:hAnsi="宋体" w:eastAsia="宋体" w:cs="宋体"/>
          <w:b w:val="0"/>
          <w:bCs w:val="0"/>
          <w:color w:val="auto"/>
          <w:sz w:val="21"/>
          <w:szCs w:val="21"/>
          <w:highlight w:val="none"/>
          <w:lang w:eastAsia="zh-CN"/>
        </w:rPr>
        <w:t>液化石油气调压器</w:t>
      </w:r>
      <w:r>
        <w:rPr>
          <w:rFonts w:hint="eastAsia" w:ascii="宋体" w:hAnsi="宋体" w:eastAsia="宋体" w:cs="宋体"/>
          <w:color w:val="auto"/>
          <w:sz w:val="21"/>
          <w:szCs w:val="21"/>
          <w:highlight w:val="none"/>
          <w:lang w:val="en-US" w:eastAsia="zh-CN"/>
        </w:rPr>
        <w:t>检验项目</w:t>
      </w:r>
    </w:p>
    <w:tbl>
      <w:tblPr>
        <w:tblStyle w:val="9"/>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4888"/>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888"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2635"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8" w:hRule="atLeast"/>
          <w:tblHeader/>
          <w:jc w:val="center"/>
        </w:trPr>
        <w:tc>
          <w:tcPr>
            <w:tcW w:w="1141"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left="0" w:leftChars="0" w:right="0" w:rightChars="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
              </w:rPr>
              <w:t>气密性-调压器气密性</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GB 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right="0" w:rightChars="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
              </w:rPr>
              <w:t>气密性-手动关闭机构气密性</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GB 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left="0" w:leftChars="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eastAsia="zh"/>
              </w:rPr>
              <w:t>关闭压力</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GB 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right="0" w:right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eastAsia="zh"/>
              </w:rPr>
              <w:t>出口压力</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GB 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after="0" w:line="240" w:lineRule="auto"/>
              <w:ind w:left="0" w:leftChars="0"/>
              <w:jc w:val="center"/>
              <w:textAlignment w:val="center"/>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eastAsia="zh"/>
              </w:rPr>
              <w:t>机械强度-耐压性</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GB 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141" w:type="dxa"/>
            <w:noWrap w:val="0"/>
            <w:vAlign w:val="center"/>
          </w:tcPr>
          <w:p>
            <w:pPr>
              <w:keepNext w:val="0"/>
              <w:keepLines w:val="0"/>
              <w:pageBreakBefore w:val="0"/>
              <w:kinsoku/>
              <w:wordWrap/>
              <w:overflowPunct/>
              <w:topLinePunct w:val="0"/>
              <w:autoSpaceDE/>
              <w:autoSpaceDN/>
              <w:bidi w:val="0"/>
              <w:spacing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888" w:type="dxa"/>
            <w:noWrap w:val="0"/>
            <w:vAlign w:val="center"/>
          </w:tcPr>
          <w:p>
            <w:pPr>
              <w:keepNext w:val="0"/>
              <w:keepLines w:val="0"/>
              <w:pageBreakBefore w:val="0"/>
              <w:kinsoku/>
              <w:wordWrap/>
              <w:overflowPunct/>
              <w:topLinePunct w:val="0"/>
              <w:autoSpaceDE/>
              <w:autoSpaceDN/>
              <w:bidi w:val="0"/>
              <w:snapToGrid w:val="0"/>
              <w:spacing w:before="0" w:after="0" w:line="440" w:lineRule="exact"/>
              <w:ind w:right="0"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eastAsia="zh"/>
              </w:rPr>
              <w:t>外观</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GB 35844-2018</w:t>
            </w:r>
          </w:p>
        </w:tc>
      </w:tr>
    </w:tbl>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1"/>
          <w:szCs w:val="21"/>
          <w:highlight w:val="none"/>
          <w:lang w:val="en-US" w:eastAsia="zh-CN"/>
        </w:rPr>
      </w:pPr>
    </w:p>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表7</w:t>
      </w:r>
      <w:r>
        <w:rPr>
          <w:rFonts w:hint="eastAsia" w:ascii="宋体" w:hAnsi="宋体" w:eastAsia="宋体" w:cs="宋体"/>
          <w:bCs/>
          <w:color w:val="auto"/>
          <w:sz w:val="21"/>
          <w:szCs w:val="21"/>
          <w:highlight w:val="none"/>
          <w:lang w:eastAsia="zh-CN"/>
        </w:rPr>
        <w:t>燃气用具连接内用橡胶复合软管检验项目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4288"/>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15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4288"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检验项目</w:t>
            </w:r>
          </w:p>
        </w:tc>
        <w:tc>
          <w:tcPr>
            <w:tcW w:w="3081"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153"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p>
        </w:tc>
        <w:tc>
          <w:tcPr>
            <w:tcW w:w="428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耐压性</w:t>
            </w:r>
          </w:p>
        </w:tc>
        <w:tc>
          <w:tcPr>
            <w:tcW w:w="3081"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GB 44023-2024</w:t>
            </w:r>
          </w:p>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GB/T 5563-2013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153"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428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气密性</w:t>
            </w:r>
          </w:p>
        </w:tc>
        <w:tc>
          <w:tcPr>
            <w:tcW w:w="3081"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GB 44023-2024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153"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p>
        </w:tc>
        <w:tc>
          <w:tcPr>
            <w:tcW w:w="428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耐燃烧性</w:t>
            </w:r>
          </w:p>
        </w:tc>
        <w:tc>
          <w:tcPr>
            <w:tcW w:w="3081"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GB 44023-2024</w:t>
            </w:r>
            <w:r>
              <w:rPr>
                <w:rFonts w:hint="eastAsia" w:ascii="宋体" w:hAnsi="宋体" w:eastAsia="宋体" w:cs="宋体"/>
                <w:bCs/>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153"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428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耐热性</w:t>
            </w:r>
          </w:p>
        </w:tc>
        <w:tc>
          <w:tcPr>
            <w:tcW w:w="3081"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GB 44023-2024</w:t>
            </w:r>
            <w:r>
              <w:rPr>
                <w:rFonts w:hint="eastAsia" w:ascii="宋体" w:hAnsi="宋体" w:eastAsia="宋体" w:cs="宋体"/>
                <w:bCs/>
                <w:color w:val="auto"/>
                <w:sz w:val="21"/>
                <w:szCs w:val="21"/>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表8</w:t>
      </w:r>
      <w:r>
        <w:rPr>
          <w:rFonts w:hint="eastAsia" w:ascii="宋体" w:hAnsi="宋体" w:eastAsia="宋体" w:cs="宋体"/>
          <w:bCs/>
          <w:color w:val="auto"/>
          <w:sz w:val="21"/>
          <w:szCs w:val="21"/>
          <w:highlight w:val="none"/>
          <w:lang w:eastAsia="zh-CN"/>
        </w:rPr>
        <w:t>燃气用具连接用金属包覆软管检验项目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76"/>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1188"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427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检验项目</w:t>
            </w:r>
          </w:p>
        </w:tc>
        <w:tc>
          <w:tcPr>
            <w:tcW w:w="3058"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188"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p>
        </w:tc>
        <w:tc>
          <w:tcPr>
            <w:tcW w:w="427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highlight w:val="none"/>
                <w:vertAlign w:val="baseline"/>
                <w:lang w:val="en-US" w:eastAsia="zh"/>
              </w:rPr>
            </w:pPr>
            <w:r>
              <w:rPr>
                <w:rFonts w:hint="eastAsia" w:ascii="宋体" w:hAnsi="宋体" w:eastAsia="宋体" w:cs="宋体"/>
                <w:i w:val="0"/>
                <w:iCs w:val="0"/>
                <w:color w:val="auto"/>
                <w:sz w:val="21"/>
                <w:szCs w:val="21"/>
                <w:highlight w:val="none"/>
                <w:u w:val="none"/>
                <w:lang w:eastAsia="zh"/>
              </w:rPr>
              <w:t>包覆管气密性</w:t>
            </w:r>
          </w:p>
        </w:tc>
        <w:tc>
          <w:tcPr>
            <w:tcW w:w="3058"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GB 44017-2024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188"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427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highlight w:val="none"/>
                <w:vertAlign w:val="baseline"/>
                <w:lang w:val="en-US" w:eastAsia="zh"/>
              </w:rPr>
            </w:pPr>
            <w:r>
              <w:rPr>
                <w:rFonts w:hint="eastAsia" w:ascii="宋体" w:hAnsi="宋体" w:eastAsia="宋体" w:cs="宋体"/>
                <w:i w:val="0"/>
                <w:iCs w:val="0"/>
                <w:color w:val="auto"/>
                <w:sz w:val="21"/>
                <w:szCs w:val="21"/>
                <w:highlight w:val="none"/>
                <w:u w:val="none"/>
                <w:lang w:eastAsia="zh"/>
              </w:rPr>
              <w:t>包覆管耐压性</w:t>
            </w:r>
          </w:p>
        </w:tc>
        <w:tc>
          <w:tcPr>
            <w:tcW w:w="3058"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GB 44017-2024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188"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p>
        </w:tc>
        <w:tc>
          <w:tcPr>
            <w:tcW w:w="427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highlight w:val="none"/>
                <w:vertAlign w:val="baseline"/>
                <w:lang w:val="en-US" w:eastAsia="zh"/>
              </w:rPr>
            </w:pPr>
            <w:r>
              <w:rPr>
                <w:rFonts w:hint="eastAsia" w:ascii="宋体" w:hAnsi="宋体" w:eastAsia="宋体" w:cs="宋体"/>
                <w:i w:val="0"/>
                <w:iCs w:val="0"/>
                <w:color w:val="auto"/>
                <w:sz w:val="21"/>
                <w:szCs w:val="21"/>
                <w:highlight w:val="none"/>
                <w:u w:val="none"/>
                <w:lang w:eastAsia="zh"/>
              </w:rPr>
              <w:t>包覆管柔软性</w:t>
            </w:r>
          </w:p>
        </w:tc>
        <w:tc>
          <w:tcPr>
            <w:tcW w:w="3058"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GB 44017-2024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188"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4276" w:type="dxa"/>
            <w:shd w:val="clear" w:color="auto" w:fill="auto"/>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sz w:val="21"/>
                <w:szCs w:val="21"/>
                <w:highlight w:val="none"/>
                <w:vertAlign w:val="baseline"/>
                <w:lang w:val="en-US" w:eastAsia="zh"/>
              </w:rPr>
            </w:pPr>
            <w:r>
              <w:rPr>
                <w:rFonts w:hint="eastAsia" w:ascii="宋体" w:hAnsi="宋体" w:eastAsia="宋体" w:cs="宋体"/>
                <w:i w:val="0"/>
                <w:iCs w:val="0"/>
                <w:color w:val="auto"/>
                <w:sz w:val="21"/>
                <w:szCs w:val="21"/>
                <w:highlight w:val="none"/>
                <w:u w:val="none"/>
                <w:lang w:eastAsia="zh"/>
              </w:rPr>
              <w:t>接头耐安装强度</w:t>
            </w:r>
          </w:p>
        </w:tc>
        <w:tc>
          <w:tcPr>
            <w:tcW w:w="3058"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GB 44017-2024</w:t>
            </w:r>
          </w:p>
        </w:tc>
      </w:tr>
    </w:tbl>
    <w:p>
      <w:pPr>
        <w:pStyle w:val="5"/>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表9</w:t>
      </w:r>
      <w:r>
        <w:rPr>
          <w:rFonts w:hint="eastAsia" w:ascii="宋体" w:hAnsi="宋体" w:eastAsia="宋体" w:cs="宋体"/>
          <w:color w:val="auto"/>
          <w:sz w:val="21"/>
          <w:szCs w:val="21"/>
          <w:highlight w:val="none"/>
        </w:rPr>
        <w:t>燃气用具连接用不锈钢波纹软管</w:t>
      </w:r>
      <w:r>
        <w:rPr>
          <w:rFonts w:hint="eastAsia" w:ascii="宋体" w:hAnsi="宋体" w:eastAsia="宋体" w:cs="宋体"/>
          <w:bCs/>
          <w:color w:val="auto"/>
          <w:sz w:val="21"/>
          <w:szCs w:val="21"/>
          <w:highlight w:val="none"/>
          <w:lang w:eastAsia="zh-CN"/>
        </w:rPr>
        <w:t>检验项目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4341"/>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81"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4341"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检验项目</w:t>
            </w:r>
          </w:p>
        </w:tc>
        <w:tc>
          <w:tcPr>
            <w:tcW w:w="2900"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81"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p>
        </w:tc>
        <w:tc>
          <w:tcPr>
            <w:tcW w:w="434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eastAsia="zh"/>
              </w:rPr>
              <w:t>波纹软管气密性</w:t>
            </w:r>
          </w:p>
        </w:tc>
        <w:tc>
          <w:tcPr>
            <w:tcW w:w="2900"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GB 41317-2024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81"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434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eastAsia="zh"/>
              </w:rPr>
              <w:t>波纹软管耐压性</w:t>
            </w:r>
          </w:p>
        </w:tc>
        <w:tc>
          <w:tcPr>
            <w:tcW w:w="2900"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41317-2024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281"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p>
        </w:tc>
        <w:tc>
          <w:tcPr>
            <w:tcW w:w="434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eastAsia="zh"/>
              </w:rPr>
              <w:t>波纹软管耐热性</w:t>
            </w:r>
          </w:p>
        </w:tc>
        <w:tc>
          <w:tcPr>
            <w:tcW w:w="2900"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41317-2024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81"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4341"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eastAsia="zh"/>
              </w:rPr>
              <w:t>波纹软管柔软性</w:t>
            </w:r>
          </w:p>
        </w:tc>
        <w:tc>
          <w:tcPr>
            <w:tcW w:w="2900"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GB 41317-2024</w:t>
            </w:r>
          </w:p>
        </w:tc>
      </w:tr>
    </w:tbl>
    <w:p>
      <w:pPr>
        <w:pStyle w:val="6"/>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val="0"/>
        <w:spacing w:line="440" w:lineRule="exact"/>
        <w:ind w:left="0" w:lef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表10</w:t>
      </w:r>
      <w:r>
        <w:rPr>
          <w:rFonts w:hint="eastAsia" w:ascii="宋体" w:hAnsi="宋体" w:eastAsia="宋体" w:cs="宋体"/>
          <w:color w:val="auto"/>
          <w:sz w:val="21"/>
          <w:szCs w:val="21"/>
          <w:highlight w:val="none"/>
        </w:rPr>
        <w:t>燃气用具连接用不锈钢波纹软管</w:t>
      </w:r>
      <w:r>
        <w:rPr>
          <w:rFonts w:hint="eastAsia" w:ascii="宋体" w:hAnsi="宋体" w:eastAsia="宋体" w:cs="宋体"/>
          <w:color w:val="auto"/>
          <w:sz w:val="21"/>
          <w:szCs w:val="21"/>
          <w:highlight w:val="none"/>
          <w:lang w:val="en-US" w:eastAsia="zh-CN"/>
        </w:rPr>
        <w:t>检验项目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4448"/>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47" w:type="dxa"/>
            <w:noWrap/>
            <w:vAlign w:val="center"/>
          </w:tcPr>
          <w:p>
            <w:pPr>
              <w:pStyle w:val="8"/>
              <w:keepNext w:val="0"/>
              <w:keepLines w:val="0"/>
              <w:pageBreakBefore w:val="0"/>
              <w:kinsoku/>
              <w:wordWrap/>
              <w:overflowPunct/>
              <w:topLinePunct w:val="0"/>
              <w:autoSpaceDE/>
              <w:autoSpaceDN/>
              <w:bidi w:val="0"/>
              <w:adjustRightInd/>
              <w:spacing w:line="440" w:lineRule="exact"/>
              <w:ind w:left="0" w:left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4448" w:type="dxa"/>
            <w:noWrap/>
            <w:vAlign w:val="center"/>
          </w:tcPr>
          <w:p>
            <w:pPr>
              <w:pStyle w:val="8"/>
              <w:keepNext w:val="0"/>
              <w:keepLines w:val="0"/>
              <w:pageBreakBefore w:val="0"/>
              <w:kinsoku/>
              <w:wordWrap/>
              <w:overflowPunct/>
              <w:topLinePunct w:val="0"/>
              <w:autoSpaceDE/>
              <w:autoSpaceDN/>
              <w:bidi w:val="0"/>
              <w:adjustRightInd/>
              <w:spacing w:line="440" w:lineRule="exact"/>
              <w:ind w:left="0" w:left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检验项目</w:t>
            </w:r>
          </w:p>
        </w:tc>
        <w:tc>
          <w:tcPr>
            <w:tcW w:w="2751" w:type="dxa"/>
            <w:noWrap/>
            <w:vAlign w:val="center"/>
          </w:tcPr>
          <w:p>
            <w:pPr>
              <w:pStyle w:val="8"/>
              <w:keepNext w:val="0"/>
              <w:keepLines w:val="0"/>
              <w:pageBreakBefore w:val="0"/>
              <w:kinsoku/>
              <w:wordWrap/>
              <w:overflowPunct/>
              <w:topLinePunct w:val="0"/>
              <w:autoSpaceDE/>
              <w:autoSpaceDN/>
              <w:bidi w:val="0"/>
              <w:adjustRightInd/>
              <w:spacing w:line="440" w:lineRule="exact"/>
              <w:ind w:left="0" w:left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47"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4448" w:type="dxa"/>
            <w:noWrap/>
            <w:vAlign w:val="center"/>
          </w:tcPr>
          <w:p>
            <w:pPr>
              <w:keepNext w:val="0"/>
              <w:keepLines w:val="0"/>
              <w:pageBreakBefore w:val="0"/>
              <w:widowControl/>
              <w:suppressLineNumbers w:val="0"/>
              <w:kinsoku/>
              <w:wordWrap/>
              <w:overflowPunct/>
              <w:topLinePunct w:val="0"/>
              <w:autoSpaceDE/>
              <w:autoSpaceDN/>
              <w:bidi w:val="0"/>
              <w:spacing w:before="0" w:after="0"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结构与尺寸</w:t>
            </w:r>
          </w:p>
        </w:tc>
        <w:tc>
          <w:tcPr>
            <w:tcW w:w="2751" w:type="dxa"/>
            <w:noWrap/>
            <w:vAlign w:val="bottom"/>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7"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4448" w:type="dxa"/>
            <w:noWrap/>
            <w:vAlign w:val="center"/>
          </w:tcPr>
          <w:p>
            <w:pPr>
              <w:keepNext w:val="0"/>
              <w:keepLines w:val="0"/>
              <w:pageBreakBefore w:val="0"/>
              <w:widowControl/>
              <w:suppressLineNumbers w:val="0"/>
              <w:kinsoku/>
              <w:wordWrap/>
              <w:overflowPunct/>
              <w:topLinePunct w:val="0"/>
              <w:autoSpaceDE/>
              <w:autoSpaceDN/>
              <w:bidi w:val="0"/>
              <w:spacing w:before="0" w:after="0"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软管耐压性</w:t>
            </w:r>
          </w:p>
        </w:tc>
        <w:tc>
          <w:tcPr>
            <w:tcW w:w="2751" w:type="dxa"/>
            <w:noWrap/>
            <w:vAlign w:val="bottom"/>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1147"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4448" w:type="dxa"/>
            <w:noWrap/>
            <w:vAlign w:val="center"/>
          </w:tcPr>
          <w:p>
            <w:pPr>
              <w:keepNext w:val="0"/>
              <w:keepLines w:val="0"/>
              <w:pageBreakBefore w:val="0"/>
              <w:widowControl/>
              <w:suppressLineNumbers w:val="0"/>
              <w:kinsoku/>
              <w:wordWrap/>
              <w:overflowPunct/>
              <w:topLinePunct w:val="0"/>
              <w:autoSpaceDE/>
              <w:autoSpaceDN/>
              <w:bidi w:val="0"/>
              <w:spacing w:before="0" w:after="0"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软管气密性</w:t>
            </w:r>
          </w:p>
        </w:tc>
        <w:tc>
          <w:tcPr>
            <w:tcW w:w="2751" w:type="dxa"/>
            <w:noWrap/>
            <w:vAlign w:val="bottom"/>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4448" w:type="dxa"/>
            <w:noWrap/>
            <w:vAlign w:val="center"/>
          </w:tcPr>
          <w:p>
            <w:pPr>
              <w:keepNext w:val="0"/>
              <w:keepLines w:val="0"/>
              <w:pageBreakBefore w:val="0"/>
              <w:widowControl/>
              <w:suppressLineNumbers w:val="0"/>
              <w:kinsoku/>
              <w:wordWrap/>
              <w:overflowPunct/>
              <w:topLinePunct w:val="0"/>
              <w:autoSpaceDE/>
              <w:autoSpaceDN/>
              <w:bidi w:val="0"/>
              <w:spacing w:before="0" w:after="0"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软管耐热性</w:t>
            </w:r>
          </w:p>
        </w:tc>
        <w:tc>
          <w:tcPr>
            <w:tcW w:w="2751" w:type="dxa"/>
            <w:noWrap/>
            <w:vAlign w:val="bottom"/>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47"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4448" w:type="dxa"/>
            <w:noWrap/>
            <w:vAlign w:val="center"/>
          </w:tcPr>
          <w:p>
            <w:pPr>
              <w:keepNext w:val="0"/>
              <w:keepLines w:val="0"/>
              <w:pageBreakBefore w:val="0"/>
              <w:widowControl/>
              <w:suppressLineNumbers w:val="0"/>
              <w:kinsoku/>
              <w:wordWrap/>
              <w:overflowPunct/>
              <w:topLinePunct w:val="0"/>
              <w:autoSpaceDE/>
              <w:autoSpaceDN/>
              <w:bidi w:val="0"/>
              <w:spacing w:before="0" w:after="0"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接头耐安装性</w:t>
            </w:r>
          </w:p>
        </w:tc>
        <w:tc>
          <w:tcPr>
            <w:tcW w:w="2751" w:type="dxa"/>
            <w:noWrap/>
            <w:vAlign w:val="bottom"/>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4448" w:type="dxa"/>
            <w:noWrap/>
            <w:vAlign w:val="center"/>
          </w:tcPr>
          <w:p>
            <w:pPr>
              <w:keepNext w:val="0"/>
              <w:keepLines w:val="0"/>
              <w:pageBreakBefore w:val="0"/>
              <w:widowControl/>
              <w:suppressLineNumbers w:val="0"/>
              <w:kinsoku/>
              <w:wordWrap/>
              <w:overflowPunct/>
              <w:topLinePunct w:val="0"/>
              <w:autoSpaceDE/>
              <w:autoSpaceDN/>
              <w:bidi w:val="0"/>
              <w:spacing w:before="0" w:after="0"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被覆层阻燃性</w:t>
            </w:r>
          </w:p>
        </w:tc>
        <w:tc>
          <w:tcPr>
            <w:tcW w:w="2751" w:type="dxa"/>
            <w:noWrap/>
            <w:vAlign w:val="bottom"/>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CJ/T 197-2010</w:t>
            </w:r>
          </w:p>
        </w:tc>
      </w:tr>
    </w:tbl>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kinsoku/>
        <w:wordWrap/>
        <w:overflowPunct/>
        <w:topLinePunct w:val="0"/>
        <w:autoSpaceDE/>
        <w:autoSpaceDN/>
        <w:bidi w:val="0"/>
        <w:snapToGrid w:val="0"/>
        <w:spacing w:line="440" w:lineRule="exact"/>
        <w:ind w:left="0" w:leftChars="0"/>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表</w:t>
      </w:r>
      <w:r>
        <w:rPr>
          <w:rFonts w:hint="eastAsia" w:ascii="宋体" w:hAnsi="宋体" w:eastAsia="宋体" w:cs="宋体"/>
          <w:bCs/>
          <w:color w:val="auto"/>
          <w:sz w:val="21"/>
          <w:szCs w:val="21"/>
          <w:highlight w:val="none"/>
          <w:lang w:val="en-US" w:eastAsia="zh-CN"/>
        </w:rPr>
        <w:t>11</w:t>
      </w:r>
      <w:r>
        <w:rPr>
          <w:rFonts w:hint="eastAsia" w:ascii="宋体" w:hAnsi="宋体" w:eastAsia="宋体" w:cs="宋体"/>
          <w:color w:val="auto"/>
          <w:sz w:val="21"/>
          <w:szCs w:val="21"/>
          <w:highlight w:val="none"/>
          <w:lang w:eastAsia="zh-CN"/>
        </w:rPr>
        <w:t>金属包覆软管</w:t>
      </w:r>
      <w:r>
        <w:rPr>
          <w:rFonts w:hint="eastAsia" w:ascii="宋体" w:hAnsi="宋体" w:eastAsia="宋体" w:cs="宋体"/>
          <w:bCs/>
          <w:color w:val="auto"/>
          <w:sz w:val="21"/>
          <w:szCs w:val="21"/>
          <w:highlight w:val="none"/>
          <w:lang w:eastAsia="zh-CN"/>
        </w:rPr>
        <w:t>检验项目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4037"/>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1393"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4037" w:type="dxa"/>
            <w:noWrap w:val="0"/>
            <w:vAlign w:val="center"/>
          </w:tcPr>
          <w:p>
            <w:pPr>
              <w:keepNext w:val="0"/>
              <w:keepLines w:val="0"/>
              <w:pageBreakBefore w:val="0"/>
              <w:kinsoku/>
              <w:wordWrap/>
              <w:overflowPunct/>
              <w:topLinePunct w:val="0"/>
              <w:autoSpaceDE/>
              <w:autoSpaceDN/>
              <w:bidi w:val="0"/>
              <w:snapToGrid w:val="0"/>
              <w:spacing w:line="440" w:lineRule="exact"/>
              <w:ind w:left="0" w:left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检验项目</w:t>
            </w:r>
          </w:p>
        </w:tc>
        <w:tc>
          <w:tcPr>
            <w:tcW w:w="3349" w:type="dxa"/>
            <w:noWrap w:val="0"/>
            <w:vAlign w:val="center"/>
          </w:tcPr>
          <w:p>
            <w:pPr>
              <w:keepNext w:val="0"/>
              <w:keepLines w:val="0"/>
              <w:pageBreakBefore w:val="0"/>
              <w:kinsoku/>
              <w:wordWrap/>
              <w:overflowPunct/>
              <w:topLinePunct w:val="0"/>
              <w:autoSpaceDE/>
              <w:autoSpaceDN/>
              <w:bidi w:val="0"/>
              <w:spacing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393"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ind w:left="0" w:lef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p>
        </w:tc>
        <w:tc>
          <w:tcPr>
            <w:tcW w:w="403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耐压性</w:t>
            </w:r>
          </w:p>
        </w:tc>
        <w:tc>
          <w:tcPr>
            <w:tcW w:w="3349"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393"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ind w:left="0" w:lef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403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气密性</w:t>
            </w:r>
          </w:p>
        </w:tc>
        <w:tc>
          <w:tcPr>
            <w:tcW w:w="3349"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393"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ind w:left="0" w:lef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p>
        </w:tc>
        <w:tc>
          <w:tcPr>
            <w:tcW w:w="403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柔软性</w:t>
            </w:r>
          </w:p>
        </w:tc>
        <w:tc>
          <w:tcPr>
            <w:tcW w:w="3349"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CJ/T 490-2016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393"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ind w:left="0" w:lef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403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阻燃性</w:t>
            </w:r>
          </w:p>
        </w:tc>
        <w:tc>
          <w:tcPr>
            <w:tcW w:w="3349"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393" w:type="dxa"/>
            <w:shd w:val="clear" w:color="auto" w:fill="auto"/>
            <w:noWrap w:val="0"/>
            <w:vAlign w:val="center"/>
          </w:tcPr>
          <w:p>
            <w:pPr>
              <w:keepNext w:val="0"/>
              <w:keepLines w:val="0"/>
              <w:pageBreakBefore w:val="0"/>
              <w:kinsoku/>
              <w:wordWrap/>
              <w:overflowPunct/>
              <w:topLinePunct w:val="0"/>
              <w:autoSpaceDE/>
              <w:autoSpaceDN/>
              <w:bidi w:val="0"/>
              <w:snapToGrid w:val="0"/>
              <w:spacing w:line="440" w:lineRule="exact"/>
              <w:ind w:left="0" w:lef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w:t>
            </w:r>
          </w:p>
        </w:tc>
        <w:tc>
          <w:tcPr>
            <w:tcW w:w="403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耐安装性</w:t>
            </w:r>
          </w:p>
        </w:tc>
        <w:tc>
          <w:tcPr>
            <w:tcW w:w="3349"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CJ/T 197-2010</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lang w:val="en-US" w:eastAsia="zh-CN"/>
        </w:rPr>
        <w:t>独立式感烟火灾探测报警器</w:t>
      </w:r>
      <w:r>
        <w:rPr>
          <w:rFonts w:hint="eastAsia" w:ascii="宋体" w:hAnsi="宋体" w:eastAsia="宋体" w:cs="宋体"/>
          <w:color w:val="auto"/>
          <w:kern w:val="0"/>
          <w:sz w:val="21"/>
          <w:szCs w:val="21"/>
          <w:highlight w:val="none"/>
          <w:lang w:val="en-US" w:eastAsia="zh-CN"/>
        </w:rPr>
        <w:t>检验项目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7"/>
        <w:gridCol w:w="4050"/>
        <w:gridCol w:w="3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 w:hRule="atLeast"/>
          <w:tblHeader/>
          <w:jc w:val="center"/>
        </w:trPr>
        <w:tc>
          <w:tcPr>
            <w:tcW w:w="1397"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405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检验项目</w:t>
            </w:r>
          </w:p>
        </w:tc>
        <w:tc>
          <w:tcPr>
            <w:tcW w:w="332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7"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405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音响器件检查</w:t>
            </w:r>
          </w:p>
        </w:tc>
        <w:tc>
          <w:tcPr>
            <w:tcW w:w="3323" w:type="dxa"/>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 20517-2006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 w:hRule="atLeast"/>
          <w:jc w:val="center"/>
        </w:trPr>
        <w:tc>
          <w:tcPr>
            <w:tcW w:w="1397"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405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功能试验</w:t>
            </w:r>
          </w:p>
        </w:tc>
        <w:tc>
          <w:tcPr>
            <w:tcW w:w="3323" w:type="dxa"/>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 20517-2006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7"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405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声压试验</w:t>
            </w:r>
          </w:p>
        </w:tc>
        <w:tc>
          <w:tcPr>
            <w:tcW w:w="3323" w:type="dxa"/>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 20517-2006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 w:hRule="atLeast"/>
          <w:jc w:val="center"/>
        </w:trPr>
        <w:tc>
          <w:tcPr>
            <w:tcW w:w="1397"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405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重复性试验</w:t>
            </w:r>
          </w:p>
        </w:tc>
        <w:tc>
          <w:tcPr>
            <w:tcW w:w="3323" w:type="dxa"/>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 20517-2006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7"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40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电池故障报警</w:t>
            </w:r>
          </w:p>
        </w:tc>
        <w:tc>
          <w:tcPr>
            <w:tcW w:w="3323" w:type="dxa"/>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 20517-2006</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lang w:val="en-US" w:eastAsia="zh-CN"/>
        </w:rPr>
        <w:t>家用可燃气体探测器</w:t>
      </w:r>
      <w:r>
        <w:rPr>
          <w:rFonts w:hint="eastAsia" w:ascii="宋体" w:hAnsi="宋体" w:eastAsia="宋体" w:cs="宋体"/>
          <w:color w:val="auto"/>
          <w:kern w:val="0"/>
          <w:sz w:val="21"/>
          <w:szCs w:val="21"/>
          <w:highlight w:val="none"/>
          <w:lang w:val="en-US" w:eastAsia="zh-CN"/>
        </w:rPr>
        <w:t>检验项目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2"/>
        <w:gridCol w:w="4110"/>
        <w:gridCol w:w="3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 w:hRule="atLeast"/>
          <w:tblHeader/>
          <w:jc w:val="center"/>
        </w:trPr>
        <w:tc>
          <w:tcPr>
            <w:tcW w:w="1392"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411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检验项目</w:t>
            </w:r>
          </w:p>
        </w:tc>
        <w:tc>
          <w:tcPr>
            <w:tcW w:w="3288"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报警动作值试验</w:t>
            </w:r>
          </w:p>
        </w:tc>
        <w:tc>
          <w:tcPr>
            <w:tcW w:w="3288" w:type="dxa"/>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 15322.2-2019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方位试验</w:t>
            </w:r>
          </w:p>
        </w:tc>
        <w:tc>
          <w:tcPr>
            <w:tcW w:w="3288" w:type="dxa"/>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 15322.2-2019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报警重复性试验</w:t>
            </w:r>
          </w:p>
        </w:tc>
        <w:tc>
          <w:tcPr>
            <w:tcW w:w="3288" w:type="dxa"/>
            <w:shd w:val="clear" w:color="auto" w:fill="auto"/>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GB 15322.2-2019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高温（运行）试验</w:t>
            </w:r>
          </w:p>
        </w:tc>
        <w:tc>
          <w:tcPr>
            <w:tcW w:w="3288" w:type="dxa"/>
            <w:shd w:val="clear" w:color="auto" w:fill="auto"/>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GB 15322.2-2019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41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低温（运行）试验</w:t>
            </w:r>
          </w:p>
        </w:tc>
        <w:tc>
          <w:tcPr>
            <w:tcW w:w="3288" w:type="dxa"/>
            <w:shd w:val="clear" w:color="auto" w:fill="auto"/>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GB 15322.2-2019</w:t>
            </w:r>
          </w:p>
        </w:tc>
      </w:tr>
    </w:tbl>
    <w:p>
      <w:pPr>
        <w:pStyle w:val="5"/>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 xml:space="preserve"> </w:t>
      </w:r>
      <w:r>
        <w:rPr>
          <w:rFonts w:hint="eastAsia" w:ascii="宋体" w:hAnsi="宋体" w:eastAsia="宋体" w:cs="宋体"/>
          <w:i w:val="0"/>
          <w:iCs w:val="0"/>
          <w:color w:val="auto"/>
          <w:sz w:val="21"/>
          <w:szCs w:val="21"/>
          <w:highlight w:val="none"/>
          <w:u w:val="none"/>
        </w:rPr>
        <w:t>家用燃气报警器及传感器</w:t>
      </w:r>
      <w:r>
        <w:rPr>
          <w:rFonts w:hint="eastAsia" w:ascii="宋体" w:hAnsi="宋体" w:eastAsia="宋体" w:cs="宋体"/>
          <w:color w:val="auto"/>
          <w:kern w:val="0"/>
          <w:sz w:val="21"/>
          <w:szCs w:val="21"/>
          <w:highlight w:val="none"/>
          <w:lang w:val="en-US" w:eastAsia="zh-CN"/>
        </w:rPr>
        <w:t>检验项目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2"/>
        <w:gridCol w:w="4110"/>
        <w:gridCol w:w="3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 w:hRule="atLeast"/>
          <w:jc w:val="center"/>
        </w:trPr>
        <w:tc>
          <w:tcPr>
            <w:tcW w:w="1392"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411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检验项目</w:t>
            </w:r>
          </w:p>
        </w:tc>
        <w:tc>
          <w:tcPr>
            <w:tcW w:w="3288"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一般结构</w:t>
            </w:r>
          </w:p>
        </w:tc>
        <w:tc>
          <w:tcPr>
            <w:tcW w:w="3288" w:type="dxa"/>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CJ/T 347-2010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报警音量</w:t>
            </w:r>
          </w:p>
        </w:tc>
        <w:tc>
          <w:tcPr>
            <w:tcW w:w="3288" w:type="dxa"/>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CJ/T 347-2010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报警信号及故障表示</w:t>
            </w:r>
          </w:p>
        </w:tc>
        <w:tc>
          <w:tcPr>
            <w:tcW w:w="3288" w:type="dxa"/>
            <w:shd w:val="clear" w:color="auto" w:fill="auto"/>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CJ/T 347-2010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低电压提示声音</w:t>
            </w:r>
          </w:p>
        </w:tc>
        <w:tc>
          <w:tcPr>
            <w:tcW w:w="3288" w:type="dxa"/>
            <w:shd w:val="clear" w:color="auto" w:fill="auto"/>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CJ/T 347-2010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411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eastAsia="zh"/>
              </w:rPr>
              <w:t>报警浓度</w:t>
            </w:r>
          </w:p>
        </w:tc>
        <w:tc>
          <w:tcPr>
            <w:tcW w:w="3288" w:type="dxa"/>
            <w:shd w:val="clear" w:color="auto" w:fill="auto"/>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CJ/T 347-2010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11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i w:val="0"/>
                <w:iCs w:val="0"/>
                <w:color w:val="auto"/>
                <w:sz w:val="21"/>
                <w:szCs w:val="21"/>
                <w:highlight w:val="none"/>
                <w:u w:val="none"/>
                <w:lang w:eastAsia="zh"/>
              </w:rPr>
            </w:pPr>
            <w:r>
              <w:rPr>
                <w:rFonts w:hint="eastAsia" w:ascii="宋体" w:hAnsi="宋体" w:eastAsia="宋体" w:cs="宋体"/>
                <w:i w:val="0"/>
                <w:iCs w:val="0"/>
                <w:color w:val="auto"/>
                <w:sz w:val="21"/>
                <w:szCs w:val="21"/>
                <w:highlight w:val="none"/>
                <w:u w:val="none"/>
                <w:lang w:eastAsia="zh"/>
              </w:rPr>
              <w:t>消音功能</w:t>
            </w:r>
          </w:p>
        </w:tc>
        <w:tc>
          <w:tcPr>
            <w:tcW w:w="3288" w:type="dxa"/>
            <w:shd w:val="clear" w:color="auto" w:fill="auto"/>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CJ/T 347-2010</w:t>
            </w:r>
          </w:p>
        </w:tc>
      </w:tr>
    </w:tbl>
    <w:p>
      <w:pPr>
        <w:pStyle w:val="6"/>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15</w:t>
      </w:r>
      <w:r>
        <w:rPr>
          <w:rFonts w:hint="eastAsia" w:ascii="宋体" w:hAnsi="宋体" w:eastAsia="宋体" w:cs="宋体"/>
          <w:i w:val="0"/>
          <w:iCs w:val="0"/>
          <w:color w:val="auto"/>
          <w:sz w:val="21"/>
          <w:szCs w:val="21"/>
          <w:highlight w:val="none"/>
          <w:u w:val="none"/>
        </w:rPr>
        <w:t>工业及商业用途便携式可燃气体探测器</w:t>
      </w:r>
      <w:r>
        <w:rPr>
          <w:rFonts w:hint="eastAsia" w:ascii="宋体" w:hAnsi="宋体" w:eastAsia="宋体" w:cs="宋体"/>
          <w:color w:val="auto"/>
          <w:kern w:val="0"/>
          <w:sz w:val="21"/>
          <w:szCs w:val="21"/>
          <w:highlight w:val="none"/>
          <w:lang w:val="en-US" w:eastAsia="zh-CN"/>
        </w:rPr>
        <w:t>检验项目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2"/>
        <w:gridCol w:w="4110"/>
        <w:gridCol w:w="3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07" w:hRule="atLeast"/>
          <w:jc w:val="center"/>
        </w:trPr>
        <w:tc>
          <w:tcPr>
            <w:tcW w:w="1392"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411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检验项目</w:t>
            </w:r>
          </w:p>
        </w:tc>
        <w:tc>
          <w:tcPr>
            <w:tcW w:w="3288"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val="en-US" w:eastAsia="zh-CN"/>
              </w:rPr>
              <w:t>报警动作值试验</w:t>
            </w:r>
          </w:p>
        </w:tc>
        <w:tc>
          <w:tcPr>
            <w:tcW w:w="3288" w:type="dxa"/>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rPr>
              <w:t>GB 15322.3-2019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val="en-US" w:eastAsia="zh-CN"/>
              </w:rPr>
              <w:t>方位试验</w:t>
            </w:r>
          </w:p>
        </w:tc>
        <w:tc>
          <w:tcPr>
            <w:tcW w:w="3288" w:type="dxa"/>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rPr>
              <w:t>GB 15322.3-2019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val="en-US" w:eastAsia="zh-CN"/>
              </w:rPr>
              <w:t>报警重复性试验</w:t>
            </w:r>
          </w:p>
        </w:tc>
        <w:tc>
          <w:tcPr>
            <w:tcW w:w="3288" w:type="dxa"/>
            <w:shd w:val="clear" w:color="auto" w:fill="auto"/>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sz w:val="21"/>
                <w:szCs w:val="21"/>
                <w:highlight w:val="none"/>
                <w:u w:val="none"/>
              </w:rPr>
              <w:t>GB 15322.3-2019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val="en-US" w:eastAsia="zh-CN"/>
              </w:rPr>
              <w:t>高温（运行）试验</w:t>
            </w:r>
          </w:p>
        </w:tc>
        <w:tc>
          <w:tcPr>
            <w:tcW w:w="3288" w:type="dxa"/>
            <w:shd w:val="clear" w:color="auto" w:fill="auto"/>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sz w:val="21"/>
                <w:szCs w:val="21"/>
                <w:highlight w:val="none"/>
                <w:u w:val="none"/>
              </w:rPr>
              <w:t>GB 15322.3-2019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411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val="en-US" w:eastAsia="zh-CN"/>
              </w:rPr>
              <w:t>低温（运行）试验</w:t>
            </w:r>
          </w:p>
        </w:tc>
        <w:tc>
          <w:tcPr>
            <w:tcW w:w="3288" w:type="dxa"/>
            <w:shd w:val="clear" w:color="auto" w:fill="auto"/>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sz w:val="21"/>
                <w:szCs w:val="21"/>
                <w:highlight w:val="none"/>
                <w:u w:val="none"/>
              </w:rPr>
              <w:t>GB 15322.3-2019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11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i w:val="0"/>
                <w:iCs w:val="0"/>
                <w:color w:val="auto"/>
                <w:sz w:val="21"/>
                <w:szCs w:val="21"/>
                <w:highlight w:val="none"/>
                <w:u w:val="none"/>
                <w:lang w:eastAsia="zh"/>
              </w:rPr>
            </w:pPr>
            <w:r>
              <w:rPr>
                <w:rFonts w:hint="eastAsia" w:ascii="宋体" w:hAnsi="宋体" w:eastAsia="宋体" w:cs="宋体"/>
                <w:i w:val="0"/>
                <w:iCs w:val="0"/>
                <w:color w:val="auto"/>
                <w:sz w:val="21"/>
                <w:szCs w:val="21"/>
                <w:highlight w:val="none"/>
                <w:u w:val="none"/>
                <w:lang w:val="en-US" w:eastAsia="zh-CN"/>
              </w:rPr>
              <w:t>外观检查</w:t>
            </w:r>
          </w:p>
        </w:tc>
        <w:tc>
          <w:tcPr>
            <w:tcW w:w="3288" w:type="dxa"/>
            <w:shd w:val="clear" w:color="auto" w:fill="auto"/>
            <w:noWrap w:val="0"/>
            <w:vAlign w:val="bottom"/>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rPr>
              <w:t>GB 15322.3-2019</w:t>
            </w:r>
          </w:p>
        </w:tc>
      </w:tr>
    </w:tbl>
    <w:p>
      <w:pPr>
        <w:pStyle w:val="7"/>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16</w:t>
      </w:r>
      <w:r>
        <w:rPr>
          <w:rFonts w:hint="eastAsia" w:ascii="宋体" w:hAnsi="宋体" w:eastAsia="宋体" w:cs="宋体"/>
          <w:i w:val="0"/>
          <w:iCs w:val="0"/>
          <w:color w:val="auto"/>
          <w:sz w:val="21"/>
          <w:szCs w:val="21"/>
          <w:highlight w:val="none"/>
          <w:u w:val="none"/>
          <w:lang w:eastAsia="zh-CN"/>
        </w:rPr>
        <w:t>家用和小型餐饮厨房用燃气报警器及传感器</w:t>
      </w:r>
      <w:r>
        <w:rPr>
          <w:rFonts w:hint="eastAsia" w:ascii="宋体" w:hAnsi="宋体" w:eastAsia="宋体" w:cs="宋体"/>
          <w:color w:val="auto"/>
          <w:kern w:val="0"/>
          <w:sz w:val="21"/>
          <w:szCs w:val="21"/>
          <w:highlight w:val="none"/>
          <w:lang w:val="en-US" w:eastAsia="zh-CN"/>
        </w:rPr>
        <w:t>检验项目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2"/>
        <w:gridCol w:w="4110"/>
        <w:gridCol w:w="3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07" w:hRule="atLeast"/>
          <w:jc w:val="center"/>
        </w:trPr>
        <w:tc>
          <w:tcPr>
            <w:tcW w:w="1392"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411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检验项目</w:t>
            </w:r>
          </w:p>
        </w:tc>
        <w:tc>
          <w:tcPr>
            <w:tcW w:w="3288"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val="en-US" w:eastAsia="zh-CN"/>
              </w:rPr>
              <w:t>状态指示</w:t>
            </w:r>
          </w:p>
        </w:tc>
        <w:tc>
          <w:tcPr>
            <w:tcW w:w="3288" w:type="dxa"/>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GB/T 34004-2017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val="en-US" w:eastAsia="zh-CN"/>
              </w:rPr>
              <w:t>功能检查键</w:t>
            </w:r>
          </w:p>
        </w:tc>
        <w:tc>
          <w:tcPr>
            <w:tcW w:w="3288" w:type="dxa"/>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GB/T 34004-2017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val="en-US" w:eastAsia="zh-CN"/>
              </w:rPr>
              <w:t>报警浓度</w:t>
            </w:r>
          </w:p>
        </w:tc>
        <w:tc>
          <w:tcPr>
            <w:tcW w:w="3288" w:type="dxa"/>
            <w:shd w:val="clear" w:color="auto" w:fill="auto"/>
            <w:noWrap w:val="0"/>
            <w:vAlign w:val="bottom"/>
          </w:tcPr>
          <w:p>
            <w:pPr>
              <w:keepNext w:val="0"/>
              <w:keepLines w:val="0"/>
              <w:widowControl/>
              <w:suppressLineNumbers w:val="0"/>
              <w:jc w:val="center"/>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GB/T 34004-2017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41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val="en-US" w:eastAsia="zh-CN"/>
              </w:rPr>
              <w:t>报警音量</w:t>
            </w:r>
          </w:p>
        </w:tc>
        <w:tc>
          <w:tcPr>
            <w:tcW w:w="3288" w:type="dxa"/>
            <w:shd w:val="clear" w:color="auto" w:fill="auto"/>
            <w:noWrap w:val="0"/>
            <w:vAlign w:val="bottom"/>
          </w:tcPr>
          <w:p>
            <w:pPr>
              <w:keepNext w:val="0"/>
              <w:keepLines w:val="0"/>
              <w:widowControl/>
              <w:suppressLineNumbers w:val="0"/>
              <w:jc w:val="center"/>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GB/T 34004-2017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411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sz w:val="21"/>
                <w:szCs w:val="21"/>
                <w:highlight w:val="none"/>
                <w:u w:val="none"/>
                <w:lang w:val="en-US" w:eastAsia="zh-CN"/>
              </w:rPr>
              <w:t>耐跌落性能</w:t>
            </w:r>
          </w:p>
        </w:tc>
        <w:tc>
          <w:tcPr>
            <w:tcW w:w="3288" w:type="dxa"/>
            <w:shd w:val="clear" w:color="auto" w:fill="auto"/>
            <w:noWrap w:val="0"/>
            <w:vAlign w:val="bottom"/>
          </w:tcPr>
          <w:p>
            <w:pPr>
              <w:keepNext w:val="0"/>
              <w:keepLines w:val="0"/>
              <w:widowControl/>
              <w:suppressLineNumbers w:val="0"/>
              <w:jc w:val="center"/>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GB/T 34004-2017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1392" w:type="dxa"/>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11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i w:val="0"/>
                <w:iCs w:val="0"/>
                <w:color w:val="auto"/>
                <w:sz w:val="21"/>
                <w:szCs w:val="21"/>
                <w:highlight w:val="none"/>
                <w:u w:val="none"/>
                <w:lang w:eastAsia="zh"/>
              </w:rPr>
            </w:pPr>
            <w:r>
              <w:rPr>
                <w:rFonts w:hint="eastAsia" w:ascii="宋体" w:hAnsi="宋体" w:eastAsia="宋体" w:cs="宋体"/>
                <w:i w:val="0"/>
                <w:iCs w:val="0"/>
                <w:color w:val="auto"/>
                <w:sz w:val="21"/>
                <w:szCs w:val="21"/>
                <w:highlight w:val="none"/>
                <w:u w:val="none"/>
                <w:lang w:val="en-US" w:eastAsia="zh-CN"/>
              </w:rPr>
              <w:t>响应时间</w:t>
            </w:r>
          </w:p>
        </w:tc>
        <w:tc>
          <w:tcPr>
            <w:tcW w:w="3288" w:type="dxa"/>
            <w:shd w:val="clear" w:color="auto" w:fill="auto"/>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GB/T 34004-2017</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16410-2020    家用燃气灶具</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35848-2024    商用燃气燃烧器具</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6932-2015     家用燃气快速热水器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25034-2020    燃气采暖热水炉</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20665-2015    家用燃气快速热水器和燃气采暖热水炉能效限定值及能效等级</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35844-2018    瓶装液化石油气调压器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44023-2024    燃气用具连接内用橡胶复合软管</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44017-2024    燃气用具连接用金属包覆软管</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41317-2024    燃气用具连接用不锈钢波纹软管</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CJ/T 197-2010    燃气用具连接用不锈钢波纹软管</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CJ/T 490-2016    燃气用具连接用金属包覆软管</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20517-2006    独立式感烟火灾探测报警器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15322.2-2019  可燃气体探测器 第2部分：家用可燃气体探测器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CJ/T 347-2010    家用燃气报警器及传感器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15322.3-2019   工业及商业用途便携式可燃气体探测器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34004-2017   家用和小型餐饮厨房用燃气报警器及传感器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现行有效的企业标准、团体标准、地方标准及产品明示质量要求</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3.2判定原则</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经检验，检验项目全部合格，判定为被抽查产品所检项目符合本次监督抽查要求；检验项目中任一项或一项以上不合格，判定为被抽查产品不合格。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若被检产品明示的质量要求缺少本细则中检验项目依据的推荐性标准要求时，该项目不参与判定。</w:t>
      </w:r>
    </w:p>
    <w:p>
      <w:pPr>
        <w:pStyle w:val="3"/>
        <w:rPr>
          <w:rFonts w:hint="eastAsia" w:ascii="宋体" w:hAnsi="宋体" w:eastAsia="宋体" w:cs="宋体"/>
          <w:color w:val="auto"/>
          <w:highlight w:val="none"/>
          <w:lang w:val="en-US" w:eastAsia="zh-CN"/>
        </w:rPr>
      </w:pPr>
    </w:p>
    <w:p>
      <w:pPr>
        <w:pStyle w:val="3"/>
        <w:rPr>
          <w:rFonts w:hint="eastAsia" w:ascii="宋体" w:hAnsi="宋体" w:eastAsia="宋体" w:cs="宋体"/>
          <w:color w:val="auto"/>
          <w:highlight w:val="none"/>
          <w:lang w:val="en-US" w:eastAsia="zh-CN"/>
        </w:rPr>
      </w:pPr>
    </w:p>
    <w:p>
      <w:pPr>
        <w:pStyle w:val="3"/>
        <w:rPr>
          <w:rFonts w:hint="eastAsia" w:ascii="宋体" w:hAnsi="宋体" w:eastAsia="宋体" w:cs="宋体"/>
          <w:color w:val="auto"/>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NjZlM2IxODUzODM4NWY0OWM0ZjQxMDE2YzA1NzcifQ=="/>
  </w:docVars>
  <w:rsids>
    <w:rsidRoot w:val="00000000"/>
    <w:rsid w:val="00B32821"/>
    <w:rsid w:val="00B738BC"/>
    <w:rsid w:val="00E121B4"/>
    <w:rsid w:val="01103BA6"/>
    <w:rsid w:val="01EB3F4A"/>
    <w:rsid w:val="026B1259"/>
    <w:rsid w:val="028D7421"/>
    <w:rsid w:val="02DF57A3"/>
    <w:rsid w:val="02F979F4"/>
    <w:rsid w:val="036A2E67"/>
    <w:rsid w:val="03766107"/>
    <w:rsid w:val="03FD54C6"/>
    <w:rsid w:val="05FE69EC"/>
    <w:rsid w:val="06257912"/>
    <w:rsid w:val="06D1542A"/>
    <w:rsid w:val="07A82607"/>
    <w:rsid w:val="07A945ED"/>
    <w:rsid w:val="084F5179"/>
    <w:rsid w:val="09BE4364"/>
    <w:rsid w:val="0A595E3B"/>
    <w:rsid w:val="0A9458FA"/>
    <w:rsid w:val="0B6760AA"/>
    <w:rsid w:val="0B680ADC"/>
    <w:rsid w:val="0B9757AE"/>
    <w:rsid w:val="0DD50CEF"/>
    <w:rsid w:val="0EDC703A"/>
    <w:rsid w:val="111540A7"/>
    <w:rsid w:val="12E520CA"/>
    <w:rsid w:val="13B50FA2"/>
    <w:rsid w:val="15167ED2"/>
    <w:rsid w:val="16684490"/>
    <w:rsid w:val="16AB2114"/>
    <w:rsid w:val="17B6139C"/>
    <w:rsid w:val="17F37D32"/>
    <w:rsid w:val="187B13C9"/>
    <w:rsid w:val="19D84FCE"/>
    <w:rsid w:val="1A98775E"/>
    <w:rsid w:val="1AFA71C6"/>
    <w:rsid w:val="1CB60C20"/>
    <w:rsid w:val="1DB95116"/>
    <w:rsid w:val="1E7E37DC"/>
    <w:rsid w:val="1E8160BE"/>
    <w:rsid w:val="1F7173BA"/>
    <w:rsid w:val="1F8E50D8"/>
    <w:rsid w:val="204C04C4"/>
    <w:rsid w:val="208C34CE"/>
    <w:rsid w:val="20B24CEB"/>
    <w:rsid w:val="2125202B"/>
    <w:rsid w:val="21C423FC"/>
    <w:rsid w:val="21CD3FD4"/>
    <w:rsid w:val="240F76C7"/>
    <w:rsid w:val="24303C58"/>
    <w:rsid w:val="25BF7042"/>
    <w:rsid w:val="26B344C7"/>
    <w:rsid w:val="26C8461C"/>
    <w:rsid w:val="29A23757"/>
    <w:rsid w:val="29F7095B"/>
    <w:rsid w:val="29FD282F"/>
    <w:rsid w:val="2A4B5348"/>
    <w:rsid w:val="2AAA5A09"/>
    <w:rsid w:val="2B0A6FB1"/>
    <w:rsid w:val="2B3D2720"/>
    <w:rsid w:val="2BC2788C"/>
    <w:rsid w:val="2C0D4869"/>
    <w:rsid w:val="2C2C4CCA"/>
    <w:rsid w:val="2D08251C"/>
    <w:rsid w:val="2D4F6EFD"/>
    <w:rsid w:val="2F6C3AD9"/>
    <w:rsid w:val="305E0B3A"/>
    <w:rsid w:val="310E54D8"/>
    <w:rsid w:val="317917F3"/>
    <w:rsid w:val="32EE540A"/>
    <w:rsid w:val="3337675F"/>
    <w:rsid w:val="341669C7"/>
    <w:rsid w:val="343A01EC"/>
    <w:rsid w:val="359202CF"/>
    <w:rsid w:val="35ED19A9"/>
    <w:rsid w:val="36FE0D64"/>
    <w:rsid w:val="375A76DE"/>
    <w:rsid w:val="37B47251"/>
    <w:rsid w:val="38935966"/>
    <w:rsid w:val="38E149FB"/>
    <w:rsid w:val="38E71DF6"/>
    <w:rsid w:val="3B661536"/>
    <w:rsid w:val="3C460065"/>
    <w:rsid w:val="3DA60DBB"/>
    <w:rsid w:val="3E5A1BA6"/>
    <w:rsid w:val="3E8C6FE3"/>
    <w:rsid w:val="3F1955BD"/>
    <w:rsid w:val="42A875EC"/>
    <w:rsid w:val="445B0426"/>
    <w:rsid w:val="450E51C7"/>
    <w:rsid w:val="45625E73"/>
    <w:rsid w:val="46603AD2"/>
    <w:rsid w:val="482467A5"/>
    <w:rsid w:val="48AF2AEE"/>
    <w:rsid w:val="4A0C4A3C"/>
    <w:rsid w:val="4B2C48CA"/>
    <w:rsid w:val="4B43392A"/>
    <w:rsid w:val="4C1E6BF7"/>
    <w:rsid w:val="4DBC3CE3"/>
    <w:rsid w:val="4F6665FD"/>
    <w:rsid w:val="4FBC3CB9"/>
    <w:rsid w:val="508101F8"/>
    <w:rsid w:val="508807F5"/>
    <w:rsid w:val="51655F2F"/>
    <w:rsid w:val="51705511"/>
    <w:rsid w:val="5201260D"/>
    <w:rsid w:val="52FC4B82"/>
    <w:rsid w:val="542B0CF0"/>
    <w:rsid w:val="54594EB0"/>
    <w:rsid w:val="547E0A4C"/>
    <w:rsid w:val="552E2FF3"/>
    <w:rsid w:val="559353B9"/>
    <w:rsid w:val="55B13587"/>
    <w:rsid w:val="561C28D4"/>
    <w:rsid w:val="564D0D0D"/>
    <w:rsid w:val="57633D7E"/>
    <w:rsid w:val="576D24F2"/>
    <w:rsid w:val="57DB57ED"/>
    <w:rsid w:val="57E22433"/>
    <w:rsid w:val="57E26993"/>
    <w:rsid w:val="587F24DD"/>
    <w:rsid w:val="59974AF1"/>
    <w:rsid w:val="5A075E35"/>
    <w:rsid w:val="5A5B2DFD"/>
    <w:rsid w:val="5AB6518D"/>
    <w:rsid w:val="5B223F16"/>
    <w:rsid w:val="5C995CC2"/>
    <w:rsid w:val="5D0815CF"/>
    <w:rsid w:val="5D3A4EF9"/>
    <w:rsid w:val="5D4C66ED"/>
    <w:rsid w:val="5DC9167F"/>
    <w:rsid w:val="5E256742"/>
    <w:rsid w:val="5E8E347A"/>
    <w:rsid w:val="604162CA"/>
    <w:rsid w:val="607C7713"/>
    <w:rsid w:val="613D07BE"/>
    <w:rsid w:val="615B160F"/>
    <w:rsid w:val="61E215ED"/>
    <w:rsid w:val="62AA45FB"/>
    <w:rsid w:val="632919C3"/>
    <w:rsid w:val="63C60FC0"/>
    <w:rsid w:val="65EA52E4"/>
    <w:rsid w:val="672C7CD4"/>
    <w:rsid w:val="693F5B18"/>
    <w:rsid w:val="6AD278A5"/>
    <w:rsid w:val="6B5E536A"/>
    <w:rsid w:val="6BC11098"/>
    <w:rsid w:val="6CA42514"/>
    <w:rsid w:val="6CC15C75"/>
    <w:rsid w:val="6CD7423E"/>
    <w:rsid w:val="6D592EA5"/>
    <w:rsid w:val="6EA43AB0"/>
    <w:rsid w:val="6FCD1BC8"/>
    <w:rsid w:val="6FE06A46"/>
    <w:rsid w:val="6FF70753"/>
    <w:rsid w:val="709D5EE2"/>
    <w:rsid w:val="7370719A"/>
    <w:rsid w:val="7434172B"/>
    <w:rsid w:val="748142F7"/>
    <w:rsid w:val="74DF66EF"/>
    <w:rsid w:val="765A667E"/>
    <w:rsid w:val="781B6E27"/>
    <w:rsid w:val="78450BF6"/>
    <w:rsid w:val="7A38059A"/>
    <w:rsid w:val="7B0C1557"/>
    <w:rsid w:val="7B8E1BD1"/>
    <w:rsid w:val="7BFB64B0"/>
    <w:rsid w:val="7C2D5C29"/>
    <w:rsid w:val="7C597451"/>
    <w:rsid w:val="7D060D93"/>
    <w:rsid w:val="7D06439F"/>
    <w:rsid w:val="7D733F85"/>
    <w:rsid w:val="7DC629E4"/>
    <w:rsid w:val="7E3F39F1"/>
    <w:rsid w:val="7F294E83"/>
    <w:rsid w:val="FF75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b/>
      <w:kern w:val="44"/>
      <w:sz w:val="28"/>
      <w:szCs w:val="28"/>
    </w:rPr>
  </w:style>
  <w:style w:type="paragraph" w:styleId="3">
    <w:name w:val="heading 2"/>
    <w:basedOn w:val="1"/>
    <w:next w:val="1"/>
    <w:qFormat/>
    <w:uiPriority w:val="9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Body Text"/>
    <w:basedOn w:val="1"/>
    <w:next w:val="6"/>
    <w:qFormat/>
    <w:uiPriority w:val="99"/>
    <w:pPr>
      <w:spacing w:line="360" w:lineRule="exact"/>
    </w:pPr>
    <w:rPr>
      <w:sz w:val="24"/>
    </w:rPr>
  </w:style>
  <w:style w:type="paragraph" w:styleId="6">
    <w:name w:val="Body Text First Indent"/>
    <w:basedOn w:val="5"/>
    <w:next w:val="7"/>
    <w:qFormat/>
    <w:uiPriority w:val="99"/>
    <w:pPr>
      <w:ind w:firstLine="420"/>
    </w:pPr>
    <w:rPr>
      <w:rFonts w:ascii="Times New Roman"/>
      <w:sz w:val="21"/>
    </w:rPr>
  </w:style>
  <w:style w:type="paragraph" w:styleId="7">
    <w:name w:val="toc 6"/>
    <w:basedOn w:val="1"/>
    <w:next w:val="1"/>
    <w:qFormat/>
    <w:uiPriority w:val="0"/>
    <w:pPr>
      <w:ind w:left="1050"/>
      <w:jc w:val="left"/>
    </w:pPr>
    <w:rPr>
      <w:sz w:val="18"/>
      <w:szCs w:val="18"/>
    </w:rPr>
  </w:style>
  <w:style w:type="paragraph" w:styleId="8">
    <w:name w:val="Plain Text"/>
    <w:basedOn w:val="1"/>
    <w:qFormat/>
    <w:uiPriority w:val="0"/>
    <w:rPr>
      <w:rFonts w:ascii="宋体" w:hAnsi="Courier New"/>
    </w:rPr>
  </w:style>
  <w:style w:type="table" w:styleId="10">
    <w:name w:val="Table Grid"/>
    <w:basedOn w:val="9"/>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99"/>
    <w:pPr>
      <w:ind w:firstLine="420" w:firstLineChars="200"/>
    </w:pPr>
    <w:rPr>
      <w:rFonts w:ascii="Calibri" w:hAnsi="Calibri" w:cs="Calibri"/>
    </w:rPr>
  </w:style>
  <w:style w:type="paragraph" w:customStyle="1" w:styleId="13">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14">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2375</Words>
  <Characters>3617</Characters>
  <Lines>0</Lines>
  <Paragraphs>0</Paragraphs>
  <TotalTime>0</TotalTime>
  <ScaleCrop>false</ScaleCrop>
  <LinksUpToDate>false</LinksUpToDate>
  <CharactersWithSpaces>3836</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2023-06-20T16:34:00Z</dcterms:created>
  <dc:creator>Administrator</dc:creator>
  <cp:lastModifiedBy>admin1</cp:lastModifiedBy>
  <dcterms:modified xsi:type="dcterms:W3CDTF">2025-05-20T10:50:08Z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9A485DD9898D49BFA5FEAF0A77402D9E_13</vt:lpwstr>
  </property>
  <property fmtid="{D5CDD505-2E9C-101B-9397-08002B2CF9AE}" pid="4" name="KSOTemplateDocerSaveRecord">
    <vt:lpwstr>eyJoZGlkIjoiNWI0ZWI5M2E2ZGJhZmVjMTgzNTkxNzhlNmQxOTNjMGMiLCJ1c2VySWQiOiIxMzA5MzgyNDAyIn0=</vt:lpwstr>
  </property>
</Properties>
</file>