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17"/>
        <w:spacing w:beforeLines="0" w:afterLines="0" w:line="579" w:lineRule="exact"/>
        <w:rPr>
          <w:rFonts w:hint="default" w:ascii="Times New Roman" w:hAnsi="Times New Roman" w:cs="Times New Roman"/>
          <w:highlight w:val="none"/>
        </w:rPr>
      </w:pPr>
      <w:r>
        <w:rPr>
          <w:rFonts w:hint="default" w:ascii="Times New Roman" w:hAnsi="Times New Roman" w:cs="Times New Roman"/>
          <w:highlight w:val="none"/>
        </w:rPr>
        <w:t>浙江省电动汽车</w:t>
      </w:r>
      <w:r>
        <w:rPr>
          <w:rFonts w:hint="eastAsia" w:cs="Times New Roman"/>
          <w:highlight w:val="none"/>
          <w:lang w:eastAsia="zh-CN"/>
        </w:rPr>
        <w:t>充（换）电</w:t>
      </w:r>
      <w:r>
        <w:rPr>
          <w:rFonts w:hint="default" w:ascii="Times New Roman" w:hAnsi="Times New Roman" w:cs="Times New Roman"/>
          <w:highlight w:val="none"/>
        </w:rPr>
        <w:t>基础设施建设运营</w:t>
      </w:r>
    </w:p>
    <w:p>
      <w:pPr>
        <w:pStyle w:val="17"/>
        <w:spacing w:beforeLines="0" w:afterLines="0" w:line="579" w:lineRule="exact"/>
        <w:rPr>
          <w:rFonts w:hint="eastAsia" w:ascii="Times New Roman" w:hAnsi="Times New Roman" w:eastAsia="方正小标宋简体" w:cs="Times New Roman"/>
          <w:highlight w:val="none"/>
          <w:lang w:eastAsia="zh-CN"/>
        </w:rPr>
      </w:pPr>
      <w:r>
        <w:rPr>
          <w:rFonts w:hint="default" w:ascii="Times New Roman" w:hAnsi="Times New Roman" w:cs="Times New Roman"/>
          <w:highlight w:val="none"/>
        </w:rPr>
        <w:t>管理暂行办法</w:t>
      </w:r>
      <w:r>
        <w:rPr>
          <w:rFonts w:hint="eastAsia" w:cs="Times New Roman"/>
          <w:highlight w:val="none"/>
          <w:lang w:eastAsia="zh-CN"/>
        </w:rPr>
        <w:t>（</w:t>
      </w:r>
      <w:r>
        <w:rPr>
          <w:rFonts w:hint="eastAsia" w:cs="Times New Roman"/>
          <w:highlight w:val="none"/>
          <w:lang w:val="en-US" w:eastAsia="zh-CN"/>
        </w:rPr>
        <w:t>征求意见稿</w:t>
      </w:r>
      <w:r>
        <w:rPr>
          <w:rFonts w:hint="eastAsia" w:cs="Times New Roman"/>
          <w:highlight w:val="none"/>
          <w:lang w:eastAsia="zh-CN"/>
        </w:rPr>
        <w:t>）</w:t>
      </w:r>
    </w:p>
    <w:p>
      <w:pPr>
        <w:pStyle w:val="5"/>
        <w:spacing w:beforeLines="0" w:afterLines="0" w:line="579" w:lineRule="exact"/>
        <w:ind w:firstLine="640"/>
        <w:rPr>
          <w:rFonts w:hint="default" w:ascii="Times New Roman" w:hAnsi="Times New Roman" w:eastAsia="仿宋_GB2312" w:cs="Times New Roman"/>
          <w:highlight w:val="none"/>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总  则</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val="en-US" w:eastAsia="zh-CN"/>
        </w:rPr>
        <w:t xml:space="preserve"> </w:t>
      </w:r>
      <w:r>
        <w:rPr>
          <w:rFonts w:hint="default" w:ascii="Times New Roman" w:hAnsi="Times New Roman" w:cs="Times New Roman"/>
          <w:highlight w:val="none"/>
        </w:rPr>
        <w:t>为推进我省电动汽车</w:t>
      </w:r>
      <w:r>
        <w:rPr>
          <w:rFonts w:hint="eastAsia" w:cs="Times New Roman"/>
          <w:highlight w:val="none"/>
          <w:lang w:eastAsia="zh-CN"/>
        </w:rPr>
        <w:t>充（换）电</w:t>
      </w:r>
      <w:r>
        <w:rPr>
          <w:rFonts w:hint="default" w:ascii="Times New Roman" w:hAnsi="Times New Roman" w:cs="Times New Roman"/>
          <w:highlight w:val="none"/>
        </w:rPr>
        <w:t>基础设施发展，规范</w:t>
      </w:r>
      <w:r>
        <w:rPr>
          <w:rFonts w:hint="eastAsia" w:cs="Times New Roman"/>
          <w:highlight w:val="none"/>
          <w:lang w:eastAsia="zh-CN"/>
        </w:rPr>
        <w:t>充（换）电</w:t>
      </w:r>
      <w:r>
        <w:rPr>
          <w:rFonts w:hint="default" w:ascii="Times New Roman" w:hAnsi="Times New Roman" w:cs="Times New Roman"/>
          <w:highlight w:val="none"/>
        </w:rPr>
        <w:t>基础设施投资建设、运营，根据</w:t>
      </w:r>
      <w:r>
        <w:rPr>
          <w:rFonts w:hint="default" w:cs="Times New Roman"/>
          <w:highlight w:val="none"/>
        </w:rPr>
        <w:t>国务院办公厅《关于进一步构建高质量充电基础设施体系的指导意见》（国办发〔2023〕19号）、国家发展改革委 国家能源局《关于加快推进充电基础设施建设 更好支持新能源汽车下乡和乡村振兴的实施意见》（发改综合〔2023〕545号）</w:t>
      </w:r>
      <w:r>
        <w:rPr>
          <w:rFonts w:hint="default" w:ascii="Times New Roman" w:hAnsi="Times New Roman" w:cs="Times New Roman"/>
          <w:highlight w:val="none"/>
        </w:rPr>
        <w:t>、浙江省人民政府办公厅《浙江省完善高质量充电基础设施网络体系促进新能源汽车下乡行动方案（2023—2025年）》</w:t>
      </w:r>
      <w:r>
        <w:rPr>
          <w:rFonts w:hint="eastAsia" w:cs="Times New Roman"/>
          <w:highlight w:val="none"/>
          <w:lang w:eastAsia="zh-CN"/>
        </w:rPr>
        <w:t>（</w:t>
      </w:r>
      <w:r>
        <w:rPr>
          <w:rFonts w:hint="eastAsia" w:cs="Times New Roman"/>
          <w:highlight w:val="none"/>
        </w:rPr>
        <w:t>浙政办发〔</w:t>
      </w:r>
      <w:r>
        <w:rPr>
          <w:rFonts w:hint="eastAsia" w:cs="Times New Roman"/>
          <w:highlight w:val="none"/>
          <w:lang w:eastAsia="zh-CN"/>
        </w:rPr>
        <w:t>2</w:t>
      </w:r>
      <w:r>
        <w:rPr>
          <w:rFonts w:hint="eastAsia" w:cs="Times New Roman"/>
          <w:highlight w:val="none"/>
          <w:lang w:val="en-US" w:eastAsia="zh-CN"/>
        </w:rPr>
        <w:t>023</w:t>
      </w:r>
      <w:r>
        <w:rPr>
          <w:rFonts w:hint="eastAsia" w:cs="Times New Roman"/>
          <w:highlight w:val="none"/>
        </w:rPr>
        <w:t>〕</w:t>
      </w:r>
      <w:r>
        <w:rPr>
          <w:rFonts w:hint="eastAsia" w:cs="Times New Roman"/>
          <w:highlight w:val="none"/>
          <w:lang w:val="en-US" w:eastAsia="zh-CN"/>
        </w:rPr>
        <w:t>42</w:t>
      </w:r>
      <w:r>
        <w:rPr>
          <w:rFonts w:hint="eastAsia" w:cs="Times New Roman"/>
          <w:highlight w:val="none"/>
        </w:rPr>
        <w:t>号</w:t>
      </w:r>
      <w:r>
        <w:rPr>
          <w:rFonts w:hint="eastAsia" w:cs="Times New Roman"/>
          <w:highlight w:val="none"/>
          <w:lang w:eastAsia="zh-CN"/>
        </w:rPr>
        <w:t>）</w:t>
      </w:r>
      <w:r>
        <w:rPr>
          <w:rFonts w:hint="default" w:ascii="Times New Roman" w:hAnsi="Times New Roman" w:cs="Times New Roman"/>
          <w:highlight w:val="none"/>
        </w:rPr>
        <w:t>等文件要求，</w:t>
      </w:r>
      <w:r>
        <w:rPr>
          <w:rFonts w:hint="eastAsia" w:cs="Times New Roman"/>
          <w:highlight w:val="none"/>
          <w:lang w:val="en-US" w:eastAsia="zh-CN"/>
        </w:rPr>
        <w:t>结合</w:t>
      </w:r>
      <w:r>
        <w:rPr>
          <w:rFonts w:hint="default" w:ascii="Times New Roman" w:hAnsi="Times New Roman" w:cs="Times New Roman"/>
          <w:highlight w:val="none"/>
        </w:rPr>
        <w:t>有关</w:t>
      </w:r>
      <w:r>
        <w:rPr>
          <w:rFonts w:hint="eastAsia" w:cs="Times New Roman"/>
          <w:highlight w:val="none"/>
          <w:lang w:eastAsia="zh-CN"/>
        </w:rPr>
        <w:t>法律法规</w:t>
      </w:r>
      <w:r>
        <w:rPr>
          <w:rFonts w:hint="default" w:ascii="Times New Roman" w:hAnsi="Times New Roman" w:cs="Times New Roman"/>
          <w:highlight w:val="none"/>
        </w:rPr>
        <w:t>、规划、文件精神，制定本办法</w:t>
      </w:r>
      <w:r>
        <w:rPr>
          <w:rFonts w:hint="eastAsia" w:cs="Times New Roman"/>
          <w:highlight w:val="none"/>
          <w:lang w:eastAsia="zh-CN"/>
        </w:rPr>
        <w:t>。</w:t>
      </w:r>
      <w:r>
        <w:rPr>
          <w:rFonts w:hint="default" w:ascii="Times New Roman" w:hAnsi="Times New Roman" w:cs="Times New Roman"/>
          <w:highlight w:val="none"/>
        </w:rPr>
        <w:t>原《浙江省电动汽车充电基础设施建设运营管理暂行办法》（浙发改能源〔2017〕52号）同时废止。</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浙江省行政区域内</w:t>
      </w:r>
      <w:r>
        <w:rPr>
          <w:rFonts w:hint="eastAsia" w:cs="Times New Roman"/>
          <w:highlight w:val="none"/>
          <w:lang w:eastAsia="zh-CN"/>
        </w:rPr>
        <w:t>充（换）电</w:t>
      </w:r>
      <w:r>
        <w:rPr>
          <w:rFonts w:hint="default" w:ascii="Times New Roman" w:hAnsi="Times New Roman" w:cs="Times New Roman"/>
          <w:highlight w:val="none"/>
        </w:rPr>
        <w:t>基础设施的规划布局、投资建设、运营维护，以及与投资建设、运营维护相关的</w:t>
      </w:r>
      <w:r>
        <w:rPr>
          <w:rFonts w:hint="eastAsia" w:cs="Times New Roman"/>
          <w:highlight w:val="none"/>
          <w:lang w:eastAsia="zh-CN"/>
        </w:rPr>
        <w:t>充（换）电</w:t>
      </w:r>
      <w:r>
        <w:rPr>
          <w:rFonts w:hint="default" w:ascii="Times New Roman" w:hAnsi="Times New Roman" w:cs="Times New Roman"/>
          <w:highlight w:val="none"/>
        </w:rPr>
        <w:t>基础设施制造、销售、施工、维护等适用本办法。</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本办法所称</w:t>
      </w:r>
      <w:r>
        <w:rPr>
          <w:rFonts w:hint="eastAsia" w:cs="Times New Roman"/>
          <w:highlight w:val="none"/>
          <w:lang w:eastAsia="zh-CN"/>
        </w:rPr>
        <w:t>充（换）电</w:t>
      </w:r>
      <w:r>
        <w:rPr>
          <w:rFonts w:hint="default" w:ascii="Times New Roman" w:hAnsi="Times New Roman" w:cs="Times New Roman"/>
          <w:highlight w:val="none"/>
        </w:rPr>
        <w:t>基础设施是指为电动汽车提供电能</w:t>
      </w:r>
      <w:r>
        <w:rPr>
          <w:rFonts w:hint="default" w:ascii="Times New Roman" w:hAnsi="Times New Roman" w:eastAsia="仿宋_GB2312" w:cs="Times New Roman"/>
          <w:highlight w:val="none"/>
        </w:rPr>
        <w:t>补给的各类</w:t>
      </w:r>
      <w:r>
        <w:rPr>
          <w:rFonts w:hint="eastAsia" w:cs="Times New Roman"/>
          <w:highlight w:val="none"/>
          <w:lang w:val="en-US" w:eastAsia="zh-CN"/>
        </w:rPr>
        <w:t>相关</w:t>
      </w:r>
      <w:r>
        <w:rPr>
          <w:rFonts w:hint="default" w:ascii="Times New Roman" w:hAnsi="Times New Roman" w:eastAsia="仿宋_GB2312" w:cs="Times New Roman"/>
          <w:highlight w:val="none"/>
        </w:rPr>
        <w:t>设施，包括：</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公用</w:t>
      </w:r>
      <w:r>
        <w:rPr>
          <w:rFonts w:hint="default" w:ascii="Times New Roman" w:hAnsi="Times New Roman" w:eastAsia="仿宋_GB2312" w:cs="Times New Roman"/>
          <w:highlight w:val="none"/>
        </w:rPr>
        <w:t>充电设施，指为非特定电动汽车提供充换电服务的经营性充电设施。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自用充电设施，指在居住区专为私人用户车辆提供充电服务的充电设施。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专用充电设施，指</w:t>
      </w:r>
      <w:r>
        <w:rPr>
          <w:rFonts w:hint="default" w:eastAsia="仿宋_GB2312" w:cs="Times New Roman"/>
          <w:highlight w:val="none"/>
        </w:rPr>
        <w:t>在党政机关、企</w:t>
      </w:r>
      <w:r>
        <w:rPr>
          <w:rFonts w:hint="eastAsia" w:eastAsia="仿宋_GB2312" w:cs="Times New Roman"/>
          <w:highlight w:val="none"/>
          <w:lang w:eastAsia="zh-CN"/>
        </w:rPr>
        <w:t>（</w:t>
      </w:r>
      <w:r>
        <w:rPr>
          <w:rFonts w:hint="default" w:eastAsia="仿宋_GB2312" w:cs="Times New Roman"/>
          <w:highlight w:val="none"/>
        </w:rPr>
        <w:t>事</w:t>
      </w:r>
      <w:r>
        <w:rPr>
          <w:rFonts w:hint="eastAsia" w:eastAsia="仿宋_GB2312" w:cs="Times New Roman"/>
          <w:highlight w:val="none"/>
          <w:lang w:eastAsia="zh-CN"/>
        </w:rPr>
        <w:t>）</w:t>
      </w:r>
      <w:r>
        <w:rPr>
          <w:rFonts w:hint="default" w:eastAsia="仿宋_GB2312" w:cs="Times New Roman"/>
          <w:highlight w:val="none"/>
        </w:rPr>
        <w:t>业单位、社会团体、园区等专属停车位</w:t>
      </w:r>
      <w:r>
        <w:rPr>
          <w:rFonts w:hint="eastAsia" w:eastAsia="仿宋_GB2312" w:cs="Times New Roman"/>
          <w:highlight w:val="none"/>
          <w:lang w:eastAsia="zh-CN"/>
        </w:rPr>
        <w:t>，</w:t>
      </w:r>
      <w:r>
        <w:rPr>
          <w:rFonts w:hint="default" w:eastAsia="仿宋_GB2312" w:cs="Times New Roman"/>
          <w:highlight w:val="none"/>
        </w:rPr>
        <w:t>为公务车辆、员工车辆等提供专属充电服务的充电基础设施</w:t>
      </w:r>
      <w:r>
        <w:rPr>
          <w:rFonts w:hint="eastAsia" w:eastAsia="仿宋_GB2312" w:cs="Times New Roman"/>
          <w:highlight w:val="none"/>
          <w:lang w:eastAsia="zh-CN"/>
        </w:rPr>
        <w:t>，</w:t>
      </w:r>
      <w:r>
        <w:rPr>
          <w:rFonts w:hint="default" w:eastAsia="仿宋_GB2312" w:cs="Times New Roman"/>
          <w:highlight w:val="none"/>
        </w:rPr>
        <w:t>以及在公交车、客运汽车、环卫、物流等专用车站场所建设</w:t>
      </w:r>
      <w:r>
        <w:rPr>
          <w:rFonts w:hint="eastAsia" w:eastAsia="仿宋_GB2312" w:cs="Times New Roman"/>
          <w:highlight w:val="none"/>
          <w:lang w:eastAsia="zh-CN"/>
        </w:rPr>
        <w:t>，</w:t>
      </w:r>
      <w:r>
        <w:rPr>
          <w:rFonts w:hint="default" w:eastAsia="仿宋_GB2312" w:cs="Times New Roman"/>
          <w:highlight w:val="none"/>
        </w:rPr>
        <w:t>为专用车辆等提供专属充电服务的充电设施。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eastAsia" w:eastAsia="仿宋_GB2312" w:cs="Times New Roman"/>
          <w:highlight w:val="none"/>
          <w:lang w:eastAsia="zh-CN"/>
        </w:rPr>
      </w:pPr>
      <w:r>
        <w:rPr>
          <w:rFonts w:hint="eastAsia" w:eastAsia="仿宋_GB2312" w:cs="Times New Roman"/>
          <w:highlight w:val="none"/>
          <w:lang w:eastAsia="zh-CN"/>
        </w:rPr>
        <w:t>（</w:t>
      </w:r>
      <w:r>
        <w:rPr>
          <w:rFonts w:hint="eastAsia" w:eastAsia="仿宋_GB2312" w:cs="Times New Roman"/>
          <w:highlight w:val="none"/>
          <w:lang w:val="en-US" w:eastAsia="zh-CN"/>
        </w:rPr>
        <w:t>四</w:t>
      </w:r>
      <w:r>
        <w:rPr>
          <w:rFonts w:hint="eastAsia" w:eastAsia="仿宋_GB2312" w:cs="Times New Roman"/>
          <w:highlight w:val="none"/>
          <w:lang w:eastAsia="zh-CN"/>
        </w:rPr>
        <w:t>）</w:t>
      </w:r>
      <w:r>
        <w:rPr>
          <w:rFonts w:hint="eastAsia" w:eastAsia="仿宋_GB2312" w:cs="Times New Roman"/>
          <w:highlight w:val="none"/>
          <w:lang w:val="en-US" w:eastAsia="zh-CN"/>
        </w:rPr>
        <w:t>公用</w:t>
      </w:r>
      <w:r>
        <w:rPr>
          <w:rFonts w:hint="eastAsia" w:eastAsia="仿宋_GB2312" w:cs="Times New Roman"/>
          <w:highlight w:val="none"/>
          <w:lang w:eastAsia="zh-CN"/>
        </w:rPr>
        <w:t>换电设施，即为</w:t>
      </w:r>
      <w:r>
        <w:rPr>
          <w:rFonts w:hint="eastAsia" w:eastAsia="仿宋_GB2312" w:cs="Times New Roman"/>
          <w:highlight w:val="none"/>
        </w:rPr>
        <w:t>通过电池更换方式为电动汽车提供电能服务的经营性换电设施</w:t>
      </w:r>
      <w:r>
        <w:rPr>
          <w:rFonts w:hint="eastAsia" w:eastAsia="仿宋_GB2312" w:cs="Times New Roman"/>
          <w:highlight w:val="none"/>
          <w:lang w:eastAsia="zh-CN"/>
        </w:rPr>
        <w:t>。</w:t>
      </w:r>
    </w:p>
    <w:p>
      <w:pPr>
        <w:pStyle w:val="6"/>
        <w:ind w:firstLine="640"/>
        <w:rPr>
          <w:rFonts w:hint="default" w:ascii="Times New Roman" w:hAnsi="Times New Roman" w:eastAsia="仿宋_GB2312" w:cs="Times New Roman"/>
          <w:highlight w:val="none"/>
        </w:rPr>
      </w:pPr>
      <w:r>
        <w:rPr>
          <w:rFonts w:hint="eastAsia" w:cs="Times New Roman"/>
          <w:highlight w:val="none"/>
        </w:rPr>
        <w:t>充</w:t>
      </w:r>
      <w:r>
        <w:rPr>
          <w:rFonts w:hint="eastAsia" w:cs="Times New Roman"/>
          <w:highlight w:val="none"/>
          <w:lang w:eastAsia="zh-CN"/>
        </w:rPr>
        <w:t>（</w:t>
      </w:r>
      <w:r>
        <w:rPr>
          <w:rFonts w:hint="eastAsia" w:cs="Times New Roman"/>
          <w:highlight w:val="none"/>
          <w:lang w:val="en-US" w:eastAsia="zh-CN"/>
        </w:rPr>
        <w:t>换</w:t>
      </w:r>
      <w:r>
        <w:rPr>
          <w:rFonts w:hint="eastAsia" w:cs="Times New Roman"/>
          <w:highlight w:val="none"/>
          <w:lang w:eastAsia="zh-CN"/>
        </w:rPr>
        <w:t>）</w:t>
      </w:r>
      <w:r>
        <w:rPr>
          <w:rFonts w:hint="eastAsia" w:cs="Times New Roman"/>
          <w:highlight w:val="none"/>
        </w:rPr>
        <w:t>电基础设施是新型的城市基础设施。</w:t>
      </w:r>
    </w:p>
    <w:p>
      <w:pPr>
        <w:pStyle w:val="6"/>
        <w:numPr>
          <w:ilvl w:val="-1"/>
          <w:numId w:val="0"/>
        </w:numPr>
        <w:ind w:leftChars="0" w:firstLine="632"/>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eastAsia="仿宋_GB2312" w:cs="Times New Roman"/>
          <w:highlight w:val="none"/>
        </w:rPr>
        <w:t>基础设施发展应当坚持科学布局、适度超前、创新融合、安全便捷的原则，构建覆盖广泛、规模适度、结构合理、功能完善的高质量新能源汽车</w:t>
      </w:r>
      <w:r>
        <w:rPr>
          <w:rFonts w:hint="eastAsia" w:cs="Times New Roman"/>
          <w:highlight w:val="none"/>
          <w:lang w:eastAsia="zh-CN"/>
        </w:rPr>
        <w:t>充（换）电</w:t>
      </w:r>
      <w:r>
        <w:rPr>
          <w:rFonts w:hint="default" w:ascii="Times New Roman" w:hAnsi="Times New Roman" w:eastAsia="仿宋_GB2312" w:cs="Times New Roman"/>
          <w:highlight w:val="none"/>
        </w:rPr>
        <w:t>基础设施网络体系。</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cs="Times New Roman"/>
          <w:highlight w:val="none"/>
        </w:rPr>
        <w:t>省发展改革委</w:t>
      </w:r>
      <w:r>
        <w:rPr>
          <w:rFonts w:hint="default" w:ascii="Times New Roman" w:hAnsi="Times New Roman" w:cs="Times New Roman"/>
          <w:highlight w:val="none"/>
          <w:lang w:val="en-US" w:eastAsia="zh-CN"/>
        </w:rPr>
        <w:t>是</w:t>
      </w:r>
      <w:r>
        <w:rPr>
          <w:rFonts w:hint="eastAsia" w:cs="Times New Roman"/>
          <w:highlight w:val="none"/>
          <w:lang w:val="en-US" w:eastAsia="zh-CN"/>
        </w:rPr>
        <w:t>全</w:t>
      </w:r>
      <w:r>
        <w:rPr>
          <w:rFonts w:hint="default" w:ascii="Times New Roman" w:hAnsi="Times New Roman" w:cs="Times New Roman"/>
          <w:highlight w:val="none"/>
        </w:rPr>
        <w:t>省</w:t>
      </w:r>
      <w:r>
        <w:rPr>
          <w:rFonts w:hint="eastAsia" w:cs="Times New Roman"/>
          <w:highlight w:val="none"/>
          <w:lang w:eastAsia="zh-CN"/>
        </w:rPr>
        <w:t>充（换）电</w:t>
      </w:r>
      <w:r>
        <w:rPr>
          <w:rFonts w:hint="default" w:ascii="Times New Roman" w:hAnsi="Times New Roman" w:cs="Times New Roman"/>
          <w:highlight w:val="none"/>
        </w:rPr>
        <w:t>基础设施发展牵头部门</w:t>
      </w:r>
      <w:r>
        <w:rPr>
          <w:rFonts w:hint="eastAsia" w:cs="Times New Roman"/>
          <w:highlight w:val="none"/>
          <w:lang w:eastAsia="zh-CN"/>
        </w:rPr>
        <w:t>，</w:t>
      </w:r>
      <w:r>
        <w:rPr>
          <w:rFonts w:hint="eastAsia" w:cs="Times New Roman"/>
          <w:highlight w:val="none"/>
          <w:lang w:val="en-US" w:eastAsia="zh-CN"/>
        </w:rPr>
        <w:t>并</w:t>
      </w:r>
      <w:r>
        <w:rPr>
          <w:rFonts w:hint="eastAsia" w:cs="Times New Roman"/>
          <w:color w:val="000000"/>
          <w:highlight w:val="none"/>
          <w:lang w:val="en-US" w:eastAsia="zh-CN"/>
        </w:rPr>
        <w:t>负责建设</w:t>
      </w:r>
      <w:r>
        <w:rPr>
          <w:rFonts w:hint="default" w:ascii="Times New Roman" w:hAnsi="Times New Roman" w:cs="Times New Roman"/>
          <w:highlight w:val="none"/>
        </w:rPr>
        <w:t>浙江省充电基础设施治理和监管服务平台（以下简称</w:t>
      </w:r>
      <w:r>
        <w:rPr>
          <w:rFonts w:hint="default" w:ascii="Times New Roman" w:hAnsi="Times New Roman" w:cs="Times New Roman"/>
          <w:highlight w:val="none"/>
          <w:lang w:eastAsia="zh-CN"/>
        </w:rPr>
        <w:t>省充电设施监管服务平台</w:t>
      </w:r>
      <w:r>
        <w:rPr>
          <w:rFonts w:hint="default" w:ascii="Times New Roman" w:hAnsi="Times New Roman" w:cs="Times New Roman"/>
          <w:highlight w:val="none"/>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32" w:firstLineChars="200"/>
        <w:textAlignment w:val="auto"/>
        <w:rPr>
          <w:rFonts w:hint="default" w:ascii="Times New Roman" w:hAnsi="Times New Roman" w:cs="Times New Roman"/>
          <w:color w:val="auto"/>
          <w:spacing w:val="0"/>
          <w:sz w:val="32"/>
          <w:szCs w:val="32"/>
          <w:highlight w:val="none"/>
          <w:lang w:eastAsia="zh-CN" w:bidi="ar"/>
        </w:rPr>
      </w:pPr>
      <w:r>
        <w:rPr>
          <w:rFonts w:hint="default" w:ascii="Times New Roman" w:hAnsi="Times New Roman" w:eastAsia="仿宋_GB2312" w:cs="Times New Roman"/>
          <w:color w:val="auto"/>
          <w:sz w:val="32"/>
          <w:szCs w:val="32"/>
          <w:highlight w:val="none"/>
          <w:u w:val="none"/>
          <w:lang w:val="en-US" w:eastAsia="zh-CN" w:bidi="ar"/>
        </w:rPr>
        <w:t>省农业农村厅</w:t>
      </w:r>
      <w:r>
        <w:rPr>
          <w:rFonts w:hint="eastAsia" w:cs="Times New Roman"/>
          <w:color w:val="auto"/>
          <w:sz w:val="32"/>
          <w:szCs w:val="32"/>
          <w:highlight w:val="none"/>
          <w:u w:val="none"/>
          <w:lang w:val="en-US" w:eastAsia="zh-CN" w:bidi="ar"/>
        </w:rPr>
        <w:t>负责</w:t>
      </w:r>
      <w:r>
        <w:rPr>
          <w:rFonts w:hint="default" w:ascii="Times New Roman" w:hAnsi="Times New Roman" w:eastAsia="仿宋_GB2312" w:cs="Times New Roman"/>
          <w:color w:val="auto"/>
          <w:sz w:val="32"/>
          <w:szCs w:val="32"/>
          <w:highlight w:val="none"/>
          <w:u w:val="none"/>
          <w:lang w:val="en-US" w:eastAsia="zh-CN" w:bidi="ar"/>
        </w:rPr>
        <w:t>做好</w:t>
      </w:r>
      <w:r>
        <w:rPr>
          <w:rFonts w:hint="default" w:ascii="Times New Roman" w:hAnsi="Times New Roman" w:eastAsia="仿宋_GB2312" w:cs="Times New Roman"/>
          <w:color w:val="auto"/>
          <w:spacing w:val="0"/>
          <w:sz w:val="32"/>
          <w:szCs w:val="32"/>
          <w:highlight w:val="none"/>
          <w:lang w:bidi="ar"/>
        </w:rPr>
        <w:t>乡村</w:t>
      </w:r>
      <w:r>
        <w:rPr>
          <w:rFonts w:hint="eastAsia" w:cs="Times New Roman"/>
          <w:color w:val="auto"/>
          <w:spacing w:val="0"/>
          <w:sz w:val="32"/>
          <w:szCs w:val="32"/>
          <w:highlight w:val="none"/>
          <w:lang w:eastAsia="zh-CN" w:bidi="ar"/>
        </w:rPr>
        <w:t>充</w:t>
      </w:r>
      <w:r>
        <w:rPr>
          <w:rFonts w:hint="eastAsia" w:cs="Times New Roman"/>
          <w:highlight w:val="none"/>
          <w:lang w:eastAsia="zh-CN"/>
        </w:rPr>
        <w:t>（换）</w:t>
      </w:r>
      <w:r>
        <w:rPr>
          <w:rFonts w:hint="eastAsia" w:cs="Times New Roman"/>
          <w:color w:val="auto"/>
          <w:spacing w:val="0"/>
          <w:sz w:val="32"/>
          <w:szCs w:val="32"/>
          <w:highlight w:val="none"/>
          <w:lang w:eastAsia="zh-CN" w:bidi="ar"/>
        </w:rPr>
        <w:t>电</w:t>
      </w:r>
      <w:r>
        <w:rPr>
          <w:rFonts w:hint="default" w:ascii="Times New Roman" w:hAnsi="Times New Roman" w:eastAsia="仿宋_GB2312" w:cs="Times New Roman"/>
          <w:color w:val="auto"/>
          <w:spacing w:val="0"/>
          <w:sz w:val="32"/>
          <w:szCs w:val="32"/>
          <w:highlight w:val="none"/>
          <w:lang w:bidi="ar"/>
        </w:rPr>
        <w:t>基础设施推广</w:t>
      </w:r>
      <w:r>
        <w:rPr>
          <w:rFonts w:hint="eastAsia" w:cs="Times New Roman"/>
          <w:color w:val="auto"/>
          <w:spacing w:val="0"/>
          <w:sz w:val="32"/>
          <w:szCs w:val="32"/>
          <w:highlight w:val="none"/>
          <w:lang w:val="en-US" w:eastAsia="zh-CN" w:bidi="ar"/>
        </w:rPr>
        <w:t>工作</w:t>
      </w:r>
      <w:r>
        <w:rPr>
          <w:rFonts w:hint="default" w:ascii="Times New Roman" w:hAnsi="Times New Roman" w:cs="Times New Roman"/>
          <w:color w:val="auto"/>
          <w:spacing w:val="0"/>
          <w:sz w:val="32"/>
          <w:szCs w:val="32"/>
          <w:highlight w:val="none"/>
          <w:lang w:eastAsia="zh-CN" w:bidi="ar"/>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color w:val="auto"/>
          <w:spacing w:val="0"/>
          <w:sz w:val="32"/>
          <w:szCs w:val="32"/>
          <w:highlight w:val="none"/>
          <w:lang w:eastAsia="zh-CN" w:bidi="ar"/>
        </w:rPr>
      </w:pPr>
      <w:r>
        <w:rPr>
          <w:rFonts w:hint="default" w:ascii="Times New Roman" w:hAnsi="Times New Roman" w:eastAsia="仿宋_GB2312" w:cs="Times New Roman"/>
          <w:b w:val="0"/>
          <w:bCs w:val="0"/>
          <w:color w:val="auto"/>
          <w:sz w:val="32"/>
          <w:szCs w:val="32"/>
          <w:highlight w:val="none"/>
          <w:lang w:val="en-US" w:eastAsia="zh-CN"/>
        </w:rPr>
        <w:t>省建设厅</w:t>
      </w:r>
      <w:r>
        <w:rPr>
          <w:rFonts w:hint="eastAsia" w:cs="Times New Roman"/>
          <w:b w:val="0"/>
          <w:bCs w:val="0"/>
          <w:color w:val="auto"/>
          <w:sz w:val="32"/>
          <w:szCs w:val="32"/>
          <w:highlight w:val="none"/>
          <w:lang w:val="en-US" w:eastAsia="zh-CN"/>
        </w:rPr>
        <w:t>负责</w:t>
      </w:r>
      <w:r>
        <w:rPr>
          <w:rFonts w:hint="default" w:ascii="Times New Roman" w:hAnsi="Times New Roman" w:cs="Times New Roman"/>
          <w:b w:val="0"/>
          <w:bCs w:val="0"/>
          <w:color w:val="auto"/>
          <w:sz w:val="32"/>
          <w:szCs w:val="32"/>
          <w:highlight w:val="none"/>
          <w:lang w:val="en-US" w:eastAsia="zh-CN"/>
        </w:rPr>
        <w:t>做好老旧小区、新建居住区、公共建筑配建停车场等区域的</w:t>
      </w:r>
      <w:r>
        <w:rPr>
          <w:rFonts w:hint="eastAsia" w:cs="Times New Roman"/>
          <w:b w:val="0"/>
          <w:bCs w:val="0"/>
          <w:color w:val="auto"/>
          <w:sz w:val="32"/>
          <w:szCs w:val="32"/>
          <w:highlight w:val="none"/>
          <w:lang w:val="en-US" w:eastAsia="zh-CN"/>
        </w:rPr>
        <w:t>充</w:t>
      </w:r>
      <w:r>
        <w:rPr>
          <w:rFonts w:hint="eastAsia" w:cs="Times New Roman"/>
          <w:highlight w:val="none"/>
          <w:lang w:eastAsia="zh-CN"/>
        </w:rPr>
        <w:t>（换）</w:t>
      </w:r>
      <w:r>
        <w:rPr>
          <w:rFonts w:hint="eastAsia" w:cs="Times New Roman"/>
          <w:b w:val="0"/>
          <w:bCs w:val="0"/>
          <w:color w:val="auto"/>
          <w:sz w:val="32"/>
          <w:szCs w:val="32"/>
          <w:highlight w:val="none"/>
          <w:lang w:val="en-US" w:eastAsia="zh-CN"/>
        </w:rPr>
        <w:t>电</w:t>
      </w:r>
      <w:r>
        <w:rPr>
          <w:rFonts w:hint="default" w:ascii="Times New Roman" w:hAnsi="Times New Roman" w:cs="Times New Roman"/>
          <w:b w:val="0"/>
          <w:bCs w:val="0"/>
          <w:color w:val="auto"/>
          <w:sz w:val="32"/>
          <w:szCs w:val="32"/>
          <w:highlight w:val="none"/>
          <w:lang w:val="en-US" w:eastAsia="zh-CN"/>
        </w:rPr>
        <w:t>基础设施推广</w:t>
      </w:r>
      <w:r>
        <w:rPr>
          <w:rFonts w:hint="eastAsia" w:cs="Times New Roman"/>
          <w:b w:val="0"/>
          <w:bCs w:val="0"/>
          <w:color w:val="auto"/>
          <w:sz w:val="32"/>
          <w:szCs w:val="32"/>
          <w:highlight w:val="none"/>
          <w:lang w:val="en-US" w:eastAsia="zh-CN"/>
        </w:rPr>
        <w:t>工作，</w:t>
      </w:r>
      <w:r>
        <w:rPr>
          <w:rFonts w:hint="eastAsia" w:cs="Times New Roman"/>
          <w:bCs w:val="0"/>
          <w:color w:val="auto"/>
          <w:highlight w:val="none"/>
        </w:rPr>
        <w:t>压实充电设施运营企业主体责任，规范日常维护保养、应急处理等，提升设施利用率和故障处置能力</w:t>
      </w:r>
      <w:r>
        <w:rPr>
          <w:rFonts w:hint="eastAsia" w:cs="Times New Roman"/>
          <w:bCs w:val="0"/>
          <w:color w:val="auto"/>
          <w:highlight w:val="none"/>
          <w:lang w:eastAsia="zh-CN"/>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spacing w:val="0"/>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rPr>
        <w:t>省交通运输厅</w:t>
      </w:r>
      <w:r>
        <w:rPr>
          <w:rFonts w:hint="eastAsia" w:cs="Times New Roman"/>
          <w:b w:val="0"/>
          <w:bCs w:val="0"/>
          <w:color w:val="auto"/>
          <w:sz w:val="32"/>
          <w:szCs w:val="32"/>
          <w:highlight w:val="none"/>
          <w:lang w:val="en-US" w:eastAsia="zh-CN"/>
        </w:rPr>
        <w:t>负责</w:t>
      </w:r>
      <w:r>
        <w:rPr>
          <w:rFonts w:hint="default" w:ascii="Times New Roman" w:hAnsi="Times New Roman" w:cs="Times New Roman"/>
          <w:b w:val="0"/>
          <w:bCs w:val="0"/>
          <w:color w:val="auto"/>
          <w:sz w:val="32"/>
          <w:szCs w:val="32"/>
          <w:highlight w:val="none"/>
          <w:lang w:val="en-US" w:eastAsia="zh-CN"/>
        </w:rPr>
        <w:t>做好普通公路、高速</w:t>
      </w:r>
      <w:r>
        <w:rPr>
          <w:rFonts w:hint="default" w:ascii="Times New Roman" w:hAnsi="Times New Roman" w:eastAsia="仿宋_GB2312" w:cs="Times New Roman"/>
          <w:color w:val="auto"/>
          <w:spacing w:val="0"/>
          <w:sz w:val="32"/>
          <w:szCs w:val="32"/>
          <w:highlight w:val="none"/>
          <w:lang w:bidi="ar"/>
        </w:rPr>
        <w:t>公路沿线</w:t>
      </w:r>
      <w:r>
        <w:rPr>
          <w:rFonts w:hint="default" w:ascii="Times New Roman" w:hAnsi="Times New Roman" w:cs="Times New Roman"/>
          <w:color w:val="auto"/>
          <w:spacing w:val="0"/>
          <w:sz w:val="32"/>
          <w:szCs w:val="32"/>
          <w:highlight w:val="none"/>
          <w:lang w:val="en-US" w:eastAsia="zh-CN" w:bidi="ar"/>
        </w:rPr>
        <w:t>等城际</w:t>
      </w:r>
      <w:r>
        <w:rPr>
          <w:rFonts w:hint="eastAsia" w:cs="Times New Roman"/>
          <w:color w:val="auto"/>
          <w:spacing w:val="0"/>
          <w:sz w:val="32"/>
          <w:szCs w:val="32"/>
          <w:highlight w:val="none"/>
          <w:lang w:val="en-US" w:eastAsia="zh-CN" w:bidi="ar"/>
        </w:rPr>
        <w:t>充</w:t>
      </w:r>
      <w:r>
        <w:rPr>
          <w:rFonts w:hint="eastAsia" w:cs="Times New Roman"/>
          <w:highlight w:val="none"/>
          <w:lang w:eastAsia="zh-CN"/>
        </w:rPr>
        <w:t>（换）</w:t>
      </w:r>
      <w:r>
        <w:rPr>
          <w:rFonts w:hint="eastAsia" w:cs="Times New Roman"/>
          <w:color w:val="auto"/>
          <w:spacing w:val="0"/>
          <w:sz w:val="32"/>
          <w:szCs w:val="32"/>
          <w:highlight w:val="none"/>
          <w:lang w:val="en-US" w:eastAsia="zh-CN" w:bidi="ar"/>
        </w:rPr>
        <w:t>电</w:t>
      </w:r>
      <w:r>
        <w:rPr>
          <w:rFonts w:hint="default" w:ascii="Times New Roman" w:hAnsi="Times New Roman" w:cs="Times New Roman"/>
          <w:color w:val="auto"/>
          <w:spacing w:val="0"/>
          <w:sz w:val="32"/>
          <w:szCs w:val="32"/>
          <w:highlight w:val="none"/>
          <w:lang w:val="en-US" w:eastAsia="zh-CN" w:bidi="ar"/>
        </w:rPr>
        <w:t>设施推广</w:t>
      </w:r>
      <w:r>
        <w:rPr>
          <w:rFonts w:hint="eastAsia" w:cs="Times New Roman"/>
          <w:color w:val="auto"/>
          <w:spacing w:val="0"/>
          <w:sz w:val="32"/>
          <w:szCs w:val="32"/>
          <w:highlight w:val="none"/>
          <w:lang w:val="en-US" w:eastAsia="zh-CN" w:bidi="ar"/>
        </w:rPr>
        <w:t>工作</w:t>
      </w:r>
      <w:r>
        <w:rPr>
          <w:rFonts w:hint="default" w:ascii="Times New Roman" w:hAnsi="Times New Roman" w:cs="Times New Roman"/>
          <w:color w:val="auto"/>
          <w:spacing w:val="0"/>
          <w:sz w:val="32"/>
          <w:szCs w:val="32"/>
          <w:highlight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bidi="ar"/>
        </w:rPr>
        <w:t>省财政厅根据全省</w:t>
      </w:r>
      <w:r>
        <w:rPr>
          <w:rFonts w:hint="eastAsia" w:eastAsia="仿宋_GB2312" w:cs="Times New Roman"/>
          <w:color w:val="auto"/>
          <w:spacing w:val="0"/>
          <w:sz w:val="32"/>
          <w:szCs w:val="32"/>
          <w:highlight w:val="none"/>
          <w:lang w:val="en-US" w:eastAsia="zh-CN" w:bidi="ar"/>
        </w:rPr>
        <w:t>充</w:t>
      </w:r>
      <w:r>
        <w:rPr>
          <w:rFonts w:hint="eastAsia" w:cs="Times New Roman"/>
          <w:highlight w:val="none"/>
          <w:lang w:eastAsia="zh-CN"/>
        </w:rPr>
        <w:t>（换）</w:t>
      </w:r>
      <w:r>
        <w:rPr>
          <w:rFonts w:hint="eastAsia" w:eastAsia="仿宋_GB2312" w:cs="Times New Roman"/>
          <w:color w:val="auto"/>
          <w:spacing w:val="0"/>
          <w:sz w:val="32"/>
          <w:szCs w:val="32"/>
          <w:highlight w:val="none"/>
          <w:lang w:val="en-US" w:eastAsia="zh-CN" w:bidi="ar"/>
        </w:rPr>
        <w:t>电</w:t>
      </w:r>
      <w:r>
        <w:rPr>
          <w:rFonts w:hint="default" w:ascii="Times New Roman" w:hAnsi="Times New Roman" w:eastAsia="仿宋_GB2312" w:cs="Times New Roman"/>
          <w:color w:val="auto"/>
          <w:spacing w:val="0"/>
          <w:sz w:val="32"/>
          <w:szCs w:val="32"/>
          <w:highlight w:val="none"/>
          <w:lang w:val="en-US" w:eastAsia="zh-CN" w:bidi="ar"/>
        </w:rPr>
        <w:t>基础设施推广发展需要及有关政策规定，筹措安排相关资金，引导有关市县推进</w:t>
      </w:r>
      <w:r>
        <w:rPr>
          <w:rFonts w:hint="eastAsia" w:eastAsia="仿宋_GB2312" w:cs="Times New Roman"/>
          <w:color w:val="auto"/>
          <w:spacing w:val="0"/>
          <w:sz w:val="32"/>
          <w:szCs w:val="32"/>
          <w:highlight w:val="none"/>
          <w:lang w:val="en-US" w:eastAsia="zh-CN" w:bidi="ar"/>
        </w:rPr>
        <w:t>充</w:t>
      </w:r>
      <w:r>
        <w:rPr>
          <w:rFonts w:hint="eastAsia" w:cs="Times New Roman"/>
          <w:highlight w:val="none"/>
          <w:lang w:eastAsia="zh-CN"/>
        </w:rPr>
        <w:t>（换）</w:t>
      </w:r>
      <w:r>
        <w:rPr>
          <w:rFonts w:hint="eastAsia" w:eastAsia="仿宋_GB2312" w:cs="Times New Roman"/>
          <w:color w:val="auto"/>
          <w:spacing w:val="0"/>
          <w:sz w:val="32"/>
          <w:szCs w:val="32"/>
          <w:highlight w:val="none"/>
          <w:lang w:val="en-US" w:eastAsia="zh-CN" w:bidi="ar"/>
        </w:rPr>
        <w:t>电</w:t>
      </w:r>
      <w:r>
        <w:rPr>
          <w:rFonts w:hint="default" w:ascii="Times New Roman" w:hAnsi="Times New Roman" w:eastAsia="仿宋_GB2312" w:cs="Times New Roman"/>
          <w:color w:val="auto"/>
          <w:spacing w:val="0"/>
          <w:sz w:val="32"/>
          <w:szCs w:val="32"/>
          <w:highlight w:val="none"/>
          <w:lang w:val="en-US" w:eastAsia="zh-CN" w:bidi="ar"/>
        </w:rPr>
        <w:t>基础设施建设。</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firstLine="632" w:firstLineChars="200"/>
        <w:textAlignment w:val="auto"/>
        <w:rPr>
          <w:rFonts w:hint="default" w:ascii="Times New Roman" w:hAnsi="Times New Roman" w:cs="Times New Roman"/>
          <w:color w:val="auto"/>
          <w:spacing w:val="0"/>
          <w:sz w:val="32"/>
          <w:szCs w:val="32"/>
          <w:highlight w:val="none"/>
          <w:lang w:eastAsia="zh-CN" w:bidi="ar"/>
        </w:rPr>
      </w:pPr>
      <w:r>
        <w:rPr>
          <w:rFonts w:hint="default" w:ascii="Times New Roman" w:hAnsi="Times New Roman" w:eastAsia="仿宋_GB2312" w:cs="Times New Roman"/>
          <w:color w:val="auto"/>
          <w:spacing w:val="0"/>
          <w:sz w:val="32"/>
          <w:szCs w:val="32"/>
          <w:highlight w:val="none"/>
          <w:lang w:bidi="ar"/>
        </w:rPr>
        <w:t>省市场监管局</w:t>
      </w:r>
      <w:r>
        <w:rPr>
          <w:rFonts w:hint="default" w:ascii="Times New Roman" w:hAnsi="Times New Roman" w:eastAsia="仿宋_GB2312" w:cs="Times New Roman"/>
          <w:color w:val="auto"/>
          <w:spacing w:val="0"/>
          <w:sz w:val="32"/>
          <w:szCs w:val="32"/>
          <w:highlight w:val="none"/>
          <w:lang w:eastAsia="zh-CN" w:bidi="ar"/>
        </w:rPr>
        <w:t>负责地方标准的立项、审查、批准等工作，各有关主管部门负责本部门、本行业地方标准的立项申请、组织起草、征求意见等工作</w:t>
      </w:r>
      <w:r>
        <w:rPr>
          <w:rFonts w:hint="eastAsia" w:cs="Times New Roman"/>
          <w:color w:val="auto"/>
          <w:spacing w:val="0"/>
          <w:sz w:val="32"/>
          <w:szCs w:val="32"/>
          <w:highlight w:val="none"/>
          <w:lang w:eastAsia="zh-CN" w:bidi="ar"/>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Lines="0" w:afterLines="0" w:line="579" w:lineRule="exact"/>
        <w:ind w:leftChars="200"/>
        <w:textAlignment w:val="auto"/>
        <w:rPr>
          <w:rFonts w:hint="default"/>
          <w:highlight w:val="none"/>
        </w:rPr>
      </w:pPr>
      <w:r>
        <w:rPr>
          <w:rFonts w:hint="default" w:ascii="Times New Roman" w:hAnsi="Times New Roman" w:eastAsia="仿宋_GB2312" w:cs="Times New Roman"/>
          <w:color w:val="auto"/>
          <w:spacing w:val="0"/>
          <w:sz w:val="32"/>
          <w:szCs w:val="32"/>
          <w:highlight w:val="none"/>
          <w:lang w:val="en-US" w:eastAsia="zh-CN" w:bidi="ar"/>
        </w:rPr>
        <w:t>省</w:t>
      </w:r>
      <w:r>
        <w:rPr>
          <w:rFonts w:hint="eastAsia" w:cs="Times New Roman"/>
          <w:color w:val="auto"/>
          <w:spacing w:val="0"/>
          <w:sz w:val="32"/>
          <w:szCs w:val="32"/>
          <w:highlight w:val="none"/>
          <w:lang w:val="en-US" w:eastAsia="zh-CN" w:bidi="ar"/>
        </w:rPr>
        <w:t>文化和旅游厅负责</w:t>
      </w:r>
      <w:r>
        <w:rPr>
          <w:rFonts w:hint="default" w:ascii="Times New Roman" w:hAnsi="Times New Roman" w:cs="Times New Roman"/>
          <w:b w:val="0"/>
          <w:bCs w:val="0"/>
          <w:color w:val="auto"/>
          <w:sz w:val="32"/>
          <w:szCs w:val="32"/>
          <w:highlight w:val="none"/>
          <w:lang w:val="en-US" w:eastAsia="zh-CN"/>
        </w:rPr>
        <w:t>做好</w:t>
      </w:r>
      <w:r>
        <w:rPr>
          <w:rFonts w:hint="default" w:ascii="Times New Roman" w:hAnsi="Times New Roman" w:eastAsia="仿宋_GB2312" w:cs="Times New Roman"/>
          <w:color w:val="auto"/>
          <w:sz w:val="32"/>
          <w:szCs w:val="32"/>
          <w:highlight w:val="none"/>
        </w:rPr>
        <w:t>景区</w:t>
      </w:r>
      <w:r>
        <w:rPr>
          <w:rFonts w:hint="eastAsia" w:cs="Times New Roman"/>
          <w:color w:val="auto"/>
          <w:sz w:val="32"/>
          <w:szCs w:val="32"/>
          <w:highlight w:val="none"/>
          <w:lang w:val="en-US" w:eastAsia="zh-CN"/>
        </w:rPr>
        <w:t>充</w:t>
      </w:r>
      <w:r>
        <w:rPr>
          <w:rFonts w:hint="eastAsia" w:cs="Times New Roman"/>
          <w:highlight w:val="none"/>
          <w:lang w:eastAsia="zh-CN"/>
        </w:rPr>
        <w:t>（换）</w:t>
      </w:r>
      <w:r>
        <w:rPr>
          <w:rFonts w:hint="eastAsia" w:cs="Times New Roman"/>
          <w:color w:val="auto"/>
          <w:sz w:val="32"/>
          <w:szCs w:val="32"/>
          <w:highlight w:val="none"/>
          <w:lang w:val="en-US" w:eastAsia="zh-CN"/>
        </w:rPr>
        <w:t>电</w:t>
      </w:r>
      <w:r>
        <w:rPr>
          <w:rFonts w:hint="default" w:ascii="Times New Roman" w:hAnsi="Times New Roman" w:eastAsia="仿宋_GB2312" w:cs="Times New Roman"/>
          <w:color w:val="auto"/>
          <w:sz w:val="32"/>
          <w:szCs w:val="32"/>
          <w:highlight w:val="none"/>
          <w:lang w:val="en-US" w:eastAsia="zh-CN"/>
        </w:rPr>
        <w:t>基础设施推广</w:t>
      </w:r>
      <w:r>
        <w:rPr>
          <w:rFonts w:hint="eastAsia"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w:t>
      </w:r>
    </w:p>
    <w:p>
      <w:pPr>
        <w:pStyle w:val="6"/>
        <w:spacing w:beforeLines="0" w:afterLines="0" w:line="579" w:lineRule="exact"/>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基础设施发展应重视市场化力量，</w:t>
      </w:r>
      <w:r>
        <w:rPr>
          <w:rFonts w:hint="default" w:ascii="Times New Roman" w:hAnsi="Times New Roman" w:eastAsia="仿宋_GB2312" w:cs="Times New Roman"/>
          <w:highlight w:val="none"/>
        </w:rPr>
        <w:t>促进</w:t>
      </w:r>
      <w:r>
        <w:rPr>
          <w:rFonts w:hint="eastAsia" w:cs="Times New Roman"/>
          <w:highlight w:val="none"/>
          <w:lang w:eastAsia="zh-CN"/>
        </w:rPr>
        <w:t>充（换）电</w:t>
      </w:r>
      <w:r>
        <w:rPr>
          <w:rFonts w:hint="default" w:ascii="Times New Roman" w:hAnsi="Times New Roman" w:eastAsia="仿宋_GB2312" w:cs="Times New Roman"/>
          <w:highlight w:val="none"/>
        </w:rPr>
        <w:t>基础设施投资多元化，引导各类社会资本积极参与建设运营，</w:t>
      </w:r>
      <w:r>
        <w:rPr>
          <w:rFonts w:hint="eastAsia" w:cs="Times New Roman"/>
          <w:highlight w:val="none"/>
          <w:lang w:val="en-US" w:eastAsia="zh-CN"/>
        </w:rPr>
        <w:t>同时</w:t>
      </w:r>
      <w:r>
        <w:rPr>
          <w:rFonts w:hint="default" w:ascii="Times New Roman" w:hAnsi="Times New Roman" w:eastAsia="仿宋_GB2312" w:cs="Times New Roman"/>
          <w:highlight w:val="none"/>
        </w:rPr>
        <w:t>加强国有企业在老旧小区、乡村地区充电基础设施建设的兜底保障</w:t>
      </w:r>
      <w:r>
        <w:rPr>
          <w:rFonts w:hint="eastAsia" w:cs="Times New Roman"/>
          <w:highlight w:val="none"/>
          <w:lang w:eastAsia="zh-CN"/>
        </w:rPr>
        <w:t>，</w:t>
      </w:r>
      <w:r>
        <w:rPr>
          <w:rFonts w:hint="default" w:ascii="Times New Roman" w:hAnsi="Times New Roman" w:eastAsia="仿宋_GB2312" w:cs="Times New Roman"/>
          <w:highlight w:val="none"/>
        </w:rPr>
        <w:t>形成统一开放、竞争有序的</w:t>
      </w:r>
      <w:r>
        <w:rPr>
          <w:rFonts w:hint="eastAsia" w:cs="Times New Roman"/>
          <w:highlight w:val="none"/>
          <w:lang w:eastAsia="zh-CN"/>
        </w:rPr>
        <w:t>充（换）电</w:t>
      </w:r>
      <w:r>
        <w:rPr>
          <w:rFonts w:hint="default" w:ascii="Times New Roman" w:hAnsi="Times New Roman" w:eastAsia="仿宋_GB2312" w:cs="Times New Roman"/>
          <w:highlight w:val="none"/>
        </w:rPr>
        <w:t>服务市场。</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eastAsia" w:cs="Times New Roman"/>
          <w:highlight w:val="none"/>
          <w:lang w:eastAsia="zh-CN"/>
        </w:rPr>
        <w:t>充（换）电</w:t>
      </w:r>
      <w:r>
        <w:rPr>
          <w:rFonts w:hint="default" w:cs="Times New Roman"/>
          <w:highlight w:val="none"/>
        </w:rPr>
        <w:t>基础设施发展</w:t>
      </w:r>
      <w:r>
        <w:rPr>
          <w:rFonts w:hint="eastAsia" w:cs="Times New Roman"/>
          <w:highlight w:val="none"/>
          <w:lang w:val="en-US" w:eastAsia="zh-CN"/>
        </w:rPr>
        <w:t>应重视新能源汽车与电网融合互动，通过</w:t>
      </w:r>
      <w:r>
        <w:rPr>
          <w:rFonts w:hint="default" w:cs="Times New Roman"/>
          <w:highlight w:val="none"/>
        </w:rPr>
        <w:t>智能有序</w:t>
      </w:r>
      <w:r>
        <w:rPr>
          <w:rFonts w:hint="eastAsia" w:cs="Times New Roman"/>
          <w:highlight w:val="none"/>
          <w:lang w:eastAsia="zh-CN"/>
        </w:rPr>
        <w:t>充电</w:t>
      </w:r>
      <w:r>
        <w:rPr>
          <w:rFonts w:hint="default" w:cs="Times New Roman"/>
          <w:highlight w:val="none"/>
        </w:rPr>
        <w:t>、双向充放电等形式，参与削峰填谷、虚拟电厂、聚合交易等应用场景</w:t>
      </w:r>
      <w:r>
        <w:rPr>
          <w:rFonts w:hint="eastAsia" w:cs="Times New Roman"/>
          <w:highlight w:val="none"/>
          <w:lang w:eastAsia="zh-CN"/>
        </w:rPr>
        <w:t>，</w:t>
      </w:r>
      <w:r>
        <w:rPr>
          <w:rFonts w:hint="default" w:cs="Times New Roman"/>
          <w:highlight w:val="none"/>
        </w:rPr>
        <w:t>推动城市服务终端向多功能融合终端发展，为新型电力系统高效经济运行提供重要支撑。</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投资建设</w:t>
      </w:r>
    </w:p>
    <w:p>
      <w:pPr>
        <w:pStyle w:val="6"/>
        <w:spacing w:beforeLines="0" w:afterLines="0" w:line="579" w:lineRule="exact"/>
        <w:ind w:firstLine="640"/>
        <w:rPr>
          <w:rFonts w:hint="default"/>
          <w:highlight w:val="none"/>
        </w:rPr>
      </w:pPr>
      <w:r>
        <w:rPr>
          <w:rFonts w:hint="default" w:ascii="Times New Roman" w:hAnsi="Times New Roman" w:cs="Times New Roman"/>
          <w:highlight w:val="none"/>
        </w:rPr>
        <w:t>鼓励各类资本投资设立</w:t>
      </w:r>
      <w:r>
        <w:rPr>
          <w:rFonts w:hint="eastAsia" w:cs="Times New Roman"/>
          <w:highlight w:val="none"/>
          <w:lang w:eastAsia="zh-CN"/>
        </w:rPr>
        <w:t>充（换）电</w:t>
      </w:r>
      <w:r>
        <w:rPr>
          <w:rFonts w:hint="default" w:ascii="Times New Roman" w:hAnsi="Times New Roman" w:cs="Times New Roman"/>
          <w:highlight w:val="none"/>
        </w:rPr>
        <w:t>设施运营商。鼓励</w:t>
      </w:r>
      <w:r>
        <w:rPr>
          <w:rFonts w:hint="eastAsia" w:cs="Times New Roman"/>
          <w:highlight w:val="none"/>
          <w:lang w:eastAsia="zh-CN"/>
        </w:rPr>
        <w:t>充（换）电</w:t>
      </w:r>
      <w:r>
        <w:rPr>
          <w:rFonts w:hint="default" w:ascii="Times New Roman" w:hAnsi="Times New Roman" w:cs="Times New Roman"/>
          <w:highlight w:val="none"/>
        </w:rPr>
        <w:t>设施运营商参与各类</w:t>
      </w:r>
      <w:r>
        <w:rPr>
          <w:rFonts w:hint="eastAsia" w:cs="Times New Roman"/>
          <w:highlight w:val="none"/>
          <w:lang w:eastAsia="zh-CN"/>
        </w:rPr>
        <w:t>充（换）电</w:t>
      </w:r>
      <w:r>
        <w:rPr>
          <w:rFonts w:hint="default" w:ascii="Times New Roman" w:hAnsi="Times New Roman" w:cs="Times New Roman"/>
          <w:highlight w:val="none"/>
        </w:rPr>
        <w:t>设施投资建设和运营。鼓励</w:t>
      </w:r>
      <w:r>
        <w:rPr>
          <w:rFonts w:hint="eastAsia" w:cs="Times New Roman"/>
          <w:highlight w:val="none"/>
          <w:lang w:eastAsia="zh-CN"/>
        </w:rPr>
        <w:t>充（换）电</w:t>
      </w:r>
      <w:r>
        <w:rPr>
          <w:rFonts w:hint="default" w:ascii="Times New Roman" w:hAnsi="Times New Roman" w:cs="Times New Roman"/>
          <w:highlight w:val="none"/>
        </w:rPr>
        <w:t>设施运营商规模化、连锁化、品牌化发展，提升服务水平。</w:t>
      </w:r>
    </w:p>
    <w:p>
      <w:pPr>
        <w:pStyle w:val="6"/>
        <w:spacing w:beforeLines="0" w:afterLines="0" w:line="579" w:lineRule="exact"/>
        <w:ind w:firstLine="640"/>
        <w:rPr>
          <w:rFonts w:hint="default" w:ascii="Times New Roman" w:hAnsi="Times New Roman" w:cs="Times New Roman"/>
          <w:highlight w:val="none"/>
        </w:rPr>
      </w:pPr>
      <w:r>
        <w:rPr>
          <w:rFonts w:hint="eastAsia" w:cs="Times New Roman"/>
          <w:highlight w:val="none"/>
          <w:lang w:eastAsia="zh-CN"/>
        </w:rPr>
        <w:t>充（换）电</w:t>
      </w:r>
      <w:r>
        <w:rPr>
          <w:rFonts w:hint="default" w:cs="Times New Roman"/>
          <w:highlight w:val="none"/>
        </w:rPr>
        <w:t>设施运营商是指从事</w:t>
      </w:r>
      <w:r>
        <w:rPr>
          <w:rFonts w:hint="eastAsia" w:cs="Times New Roman"/>
          <w:highlight w:val="none"/>
          <w:lang w:eastAsia="zh-CN"/>
        </w:rPr>
        <w:t>充（换）电</w:t>
      </w:r>
      <w:r>
        <w:rPr>
          <w:rFonts w:hint="default" w:cs="Times New Roman"/>
          <w:highlight w:val="none"/>
        </w:rPr>
        <w:t>基础设施投资建设和运营业务，并可以从事</w:t>
      </w:r>
      <w:r>
        <w:rPr>
          <w:rFonts w:hint="eastAsia" w:cs="Times New Roman"/>
          <w:highlight w:val="none"/>
          <w:lang w:eastAsia="zh-CN"/>
        </w:rPr>
        <w:t>充（换）电</w:t>
      </w:r>
      <w:r>
        <w:rPr>
          <w:rFonts w:hint="default" w:cs="Times New Roman"/>
          <w:highlight w:val="none"/>
        </w:rPr>
        <w:t>基础设施制造、销售、施工、维护等业务的企业。</w:t>
      </w:r>
      <w:r>
        <w:rPr>
          <w:rFonts w:hint="eastAsia" w:cs="Times New Roman"/>
          <w:highlight w:val="none"/>
          <w:lang w:eastAsia="zh-CN"/>
        </w:rPr>
        <w:t>充（换）电</w:t>
      </w:r>
      <w:r>
        <w:rPr>
          <w:rFonts w:hint="default" w:cs="Times New Roman"/>
          <w:highlight w:val="none"/>
        </w:rPr>
        <w:t>设施运营商应当符合以下条件：</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eastAsia="仿宋_GB2312" w:cs="Times New Roman"/>
          <w:highlight w:val="none"/>
        </w:rPr>
        <w:t>经市场监管部门登记</w:t>
      </w:r>
      <w:r>
        <w:rPr>
          <w:rFonts w:hint="default" w:ascii="Times New Roman" w:hAnsi="Times New Roman" w:eastAsia="仿宋_GB2312" w:cs="Times New Roman"/>
          <w:highlight w:val="none"/>
        </w:rPr>
        <w:t>，依照《中华人民共和国公司法》注册成立有限责任公司或股份有限公司，且登记的经营范围含有“</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32"/>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企业信用良好，建立信息公开制度和服务投诉处理机制，自觉接受行业监管和用户监督；</w:t>
      </w:r>
    </w:p>
    <w:p>
      <w:pPr>
        <w:pStyle w:val="5"/>
        <w:keepNext w:val="0"/>
        <w:keepLines w:val="0"/>
        <w:pageBreakBefore w:val="0"/>
        <w:widowControl w:val="0"/>
        <w:numPr>
          <w:ilvl w:val="0"/>
          <w:numId w:val="3"/>
        </w:numPr>
        <w:kinsoku/>
        <w:wordWrap/>
        <w:overflowPunct/>
        <w:topLinePunct w:val="0"/>
        <w:autoSpaceDE/>
        <w:autoSpaceDN/>
        <w:bidi w:val="0"/>
        <w:adjustRightInd/>
        <w:snapToGrid/>
        <w:spacing w:beforeLines="0" w:afterLines="0" w:line="579" w:lineRule="exact"/>
        <w:ind w:firstLine="632"/>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具备完善的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基础设施运营管理制度，遵循国家及本省</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基础设施运营和管理的法律法规、技术规范和服务标准；</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四</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具备完善的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基础设施维护保养</w:t>
      </w:r>
      <w:r>
        <w:rPr>
          <w:rFonts w:hint="eastAsia" w:eastAsia="仿宋_GB2312" w:cs="Times New Roman"/>
          <w:highlight w:val="none"/>
          <w:lang w:val="en-US" w:eastAsia="zh-CN"/>
        </w:rPr>
        <w:t>机制</w:t>
      </w:r>
      <w:r>
        <w:rPr>
          <w:rFonts w:hint="default" w:ascii="Times New Roman" w:hAnsi="Times New Roman" w:eastAsia="仿宋_GB2312" w:cs="Times New Roman"/>
          <w:highlight w:val="none"/>
        </w:rPr>
        <w:t>，</w:t>
      </w:r>
      <w:r>
        <w:rPr>
          <w:rFonts w:hint="eastAsia" w:eastAsia="仿宋_GB2312" w:cs="Times New Roman"/>
          <w:highlight w:val="none"/>
          <w:lang w:eastAsia="zh-CN"/>
        </w:rPr>
        <w:t>专职运行维护团队人员数量应满足桩群规模要求，团队中持有高压电工证的专职技术人员不少于2人</w:t>
      </w:r>
      <w:r>
        <w:rPr>
          <w:rFonts w:hint="default" w:ascii="Times New Roman" w:hAnsi="Times New Roman" w:eastAsia="仿宋_GB2312" w:cs="Times New Roman"/>
          <w:highlight w:val="none"/>
        </w:rPr>
        <w:t>；</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五</w:t>
      </w:r>
      <w:r>
        <w:rPr>
          <w:rFonts w:hint="default" w:ascii="Times New Roman" w:hAnsi="Times New Roman" w:eastAsia="仿宋_GB2312" w:cs="Times New Roman"/>
          <w:highlight w:val="none"/>
          <w:lang w:eastAsia="zh-CN"/>
        </w:rPr>
        <w:t>）</w:t>
      </w:r>
      <w:r>
        <w:rPr>
          <w:rFonts w:hint="default" w:eastAsia="仿宋_GB2312" w:cs="Times New Roman"/>
          <w:highlight w:val="none"/>
        </w:rPr>
        <w:t>履行建设运营安全主体责任，建立安全职责制度，明确安全责任人，保证设施运营安全；</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六</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已建立或承诺将建立涵盖自营</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基础设施的运行监测平台，并承诺按规定与</w:t>
      </w:r>
      <w:r>
        <w:rPr>
          <w:rFonts w:hint="default" w:ascii="Times New Roman" w:hAnsi="Times New Roman" w:eastAsia="仿宋_GB2312" w:cs="Times New Roman"/>
          <w:highlight w:val="none"/>
          <w:lang w:eastAsia="zh-CN"/>
        </w:rPr>
        <w:t>省充电设施监管服务平台</w:t>
      </w:r>
      <w:r>
        <w:rPr>
          <w:rFonts w:hint="default" w:ascii="Times New Roman" w:hAnsi="Times New Roman" w:eastAsia="仿宋_GB2312" w:cs="Times New Roman"/>
          <w:highlight w:val="none"/>
        </w:rPr>
        <w:t>连接，进行实时数据推送；</w:t>
      </w:r>
    </w:p>
    <w:p>
      <w:pPr>
        <w:pStyle w:val="5"/>
        <w:spacing w:beforeLines="0" w:afterLines="0" w:line="579" w:lineRule="exact"/>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七</w:t>
      </w:r>
      <w:r>
        <w:rPr>
          <w:rFonts w:hint="default" w:ascii="Times New Roman" w:hAnsi="Times New Roman" w:eastAsia="仿宋_GB2312" w:cs="Times New Roman"/>
          <w:highlight w:val="none"/>
          <w:lang w:eastAsia="zh-CN"/>
        </w:rPr>
        <w:t>）</w:t>
      </w:r>
      <w:r>
        <w:rPr>
          <w:rFonts w:hint="eastAsia" w:eastAsia="仿宋_GB2312" w:cs="Times New Roman"/>
          <w:highlight w:val="none"/>
          <w:lang w:eastAsia="zh-CN"/>
        </w:rPr>
        <w:t>属地设区市和县（区、市）充（换）电基础设施主管部门</w:t>
      </w:r>
      <w:r>
        <w:rPr>
          <w:rFonts w:hint="default" w:ascii="Times New Roman" w:hAnsi="Times New Roman" w:eastAsia="仿宋_GB2312" w:cs="Times New Roman"/>
          <w:highlight w:val="none"/>
        </w:rPr>
        <w:t>认为其他需要增加的条件。</w:t>
      </w:r>
    </w:p>
    <w:p>
      <w:pPr>
        <w:pStyle w:val="6"/>
        <w:widowControl/>
        <w:spacing w:beforeLines="0" w:afterLines="0" w:line="579" w:lineRule="exact"/>
        <w:ind w:firstLine="640"/>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eastAsia="仿宋_GB2312" w:cs="Times New Roman"/>
          <w:highlight w:val="none"/>
        </w:rPr>
        <w:t>设施运营商实行承诺公示制管理，</w:t>
      </w:r>
      <w:r>
        <w:rPr>
          <w:rFonts w:hint="eastAsia" w:cs="Times New Roman"/>
          <w:highlight w:val="none"/>
          <w:lang w:eastAsia="zh-CN"/>
        </w:rPr>
        <w:t>充（换）电</w:t>
      </w:r>
      <w:r>
        <w:rPr>
          <w:rFonts w:hint="default" w:eastAsia="仿宋_GB2312" w:cs="Times New Roman"/>
          <w:highlight w:val="none"/>
        </w:rPr>
        <w:t>设施运营商相关信息在省充电设施监管服务平台上对外公布，接受社会监督。公示内容包括但不限于：公司名称、注册地址、安全运营承诺</w:t>
      </w:r>
      <w:r>
        <w:rPr>
          <w:rFonts w:hint="eastAsia" w:cs="Times New Roman"/>
          <w:highlight w:val="none"/>
          <w:lang w:eastAsia="zh-CN"/>
        </w:rPr>
        <w:t>、</w:t>
      </w:r>
      <w:r>
        <w:rPr>
          <w:rFonts w:hint="eastAsia" w:cs="Times New Roman"/>
          <w:highlight w:val="none"/>
          <w:lang w:val="en-US" w:eastAsia="zh-CN"/>
        </w:rPr>
        <w:t>规范</w:t>
      </w:r>
      <w:r>
        <w:rPr>
          <w:rFonts w:hint="eastAsia" w:cs="Times New Roman"/>
          <w:highlight w:val="none"/>
          <w:lang w:eastAsia="zh-CN"/>
        </w:rPr>
        <w:t>收费承诺</w:t>
      </w:r>
      <w:r>
        <w:rPr>
          <w:rFonts w:hint="default" w:eastAsia="仿宋_GB2312" w:cs="Times New Roman"/>
          <w:highlight w:val="none"/>
        </w:rPr>
        <w:t>等。</w:t>
      </w:r>
    </w:p>
    <w:p>
      <w:pPr>
        <w:pStyle w:val="6"/>
        <w:spacing w:beforeLines="0" w:afterLines="0" w:line="579" w:lineRule="exact"/>
        <w:ind w:firstLine="640"/>
        <w:rPr>
          <w:rFonts w:hint="default"/>
          <w:highlight w:val="none"/>
        </w:rPr>
      </w:pPr>
      <w:r>
        <w:rPr>
          <w:rFonts w:hint="eastAsia"/>
          <w:highlight w:val="none"/>
          <w:lang w:eastAsia="zh-CN"/>
        </w:rPr>
        <w:t>充（换）电</w:t>
      </w:r>
      <w:r>
        <w:rPr>
          <w:rFonts w:hint="default"/>
          <w:highlight w:val="none"/>
        </w:rPr>
        <w:t>设施运营商在设区市、县（市、区）投资建设首个</w:t>
      </w:r>
      <w:r>
        <w:rPr>
          <w:rFonts w:hint="eastAsia"/>
          <w:highlight w:val="none"/>
          <w:lang w:eastAsia="zh-CN"/>
        </w:rPr>
        <w:t>充（换）电</w:t>
      </w:r>
      <w:r>
        <w:rPr>
          <w:rFonts w:hint="default"/>
          <w:highlight w:val="none"/>
        </w:rPr>
        <w:t>基础设施项目前，应按照相关要求向</w:t>
      </w:r>
      <w:r>
        <w:rPr>
          <w:rFonts w:hint="eastAsia"/>
          <w:highlight w:val="none"/>
          <w:lang w:val="en-US" w:eastAsia="zh-CN"/>
        </w:rPr>
        <w:t>市级</w:t>
      </w:r>
      <w:r>
        <w:rPr>
          <w:rFonts w:hint="eastAsia"/>
          <w:highlight w:val="none"/>
          <w:lang w:eastAsia="zh-CN"/>
        </w:rPr>
        <w:t>充（换）电</w:t>
      </w:r>
      <w:r>
        <w:rPr>
          <w:rFonts w:hint="default"/>
          <w:highlight w:val="none"/>
        </w:rPr>
        <w:t>基础设施主管部门</w:t>
      </w:r>
      <w:r>
        <w:rPr>
          <w:rFonts w:hint="eastAsia"/>
          <w:highlight w:val="none"/>
        </w:rPr>
        <w:t>确定的备案机关</w:t>
      </w:r>
      <w:r>
        <w:rPr>
          <w:rFonts w:hint="default"/>
          <w:highlight w:val="none"/>
        </w:rPr>
        <w:t>备案，并将企业备案信息推送至省</w:t>
      </w:r>
      <w:r>
        <w:rPr>
          <w:rFonts w:hint="eastAsia"/>
          <w:highlight w:val="none"/>
          <w:lang w:eastAsia="zh-CN"/>
        </w:rPr>
        <w:t>充电</w:t>
      </w:r>
      <w:r>
        <w:rPr>
          <w:rFonts w:hint="default"/>
          <w:highlight w:val="none"/>
        </w:rPr>
        <w:t>设施监管服务平台。备案填报内容包括但不限于：企业名称、注册地址、安全运营承诺、营业执照复印件、信用承诺书、平台接入证明等。</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鼓励个人、企业、机关事业单位等投资建设</w:t>
      </w:r>
      <w:r>
        <w:rPr>
          <w:rFonts w:hint="eastAsia" w:cs="Times New Roman"/>
          <w:highlight w:val="none"/>
          <w:lang w:eastAsia="zh-CN"/>
        </w:rPr>
        <w:t>充（换）电</w:t>
      </w:r>
      <w:r>
        <w:rPr>
          <w:rFonts w:hint="eastAsia" w:cs="Times New Roman"/>
          <w:highlight w:val="none"/>
          <w:lang w:val="en-US" w:eastAsia="zh-CN"/>
        </w:rPr>
        <w:t>基础</w:t>
      </w:r>
      <w:r>
        <w:rPr>
          <w:rFonts w:hint="default" w:ascii="Times New Roman" w:hAnsi="Times New Roman" w:eastAsia="仿宋_GB2312" w:cs="Times New Roman"/>
          <w:highlight w:val="none"/>
        </w:rPr>
        <w:t>设施，并拥有所有权。</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个人、企业、机关事业单位和其他组织可以在其依法拥有所有权（或使用权）的停车场所上投资建设</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基础设施，并拥有</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基础设施所有权。</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单位建筑自用充电设施由单位建筑所有权（或使用权）人投资建设，也可引入充电设施运营商提供综合性服务。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专用充电设施由公共服务企业在其自有停车场站上投资建设，也可引入充电设施运营商提供综合性服务。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四</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高速公路服务区公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设施由高速公路服务区所有权（或使用权）人投资建设并运营，也可引入</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五</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公共停车场所公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设施由公共停车场所所有权（或使用权）人投资建设并运营，也可引入</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设施运营商提供综合性服务。</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cs="Times New Roman"/>
          <w:highlight w:val="none"/>
        </w:rPr>
        <w:t>设施投资建设主体应当按照</w:t>
      </w:r>
      <w:r>
        <w:rPr>
          <w:rFonts w:hint="eastAsia" w:cs="Times New Roman"/>
          <w:highlight w:val="none"/>
          <w:lang w:val="en-US" w:eastAsia="zh-CN"/>
        </w:rPr>
        <w:t>相关</w:t>
      </w:r>
      <w:r>
        <w:rPr>
          <w:rFonts w:hint="default" w:cs="Times New Roman"/>
          <w:highlight w:val="none"/>
        </w:rPr>
        <w:t>部门的规定办理规划许可、用地</w:t>
      </w:r>
      <w:r>
        <w:rPr>
          <w:rFonts w:hint="eastAsia" w:cs="Times New Roman"/>
          <w:highlight w:val="none"/>
          <w:lang w:val="en-US" w:eastAsia="zh-CN"/>
        </w:rPr>
        <w:t>审批</w:t>
      </w:r>
      <w:r>
        <w:rPr>
          <w:rFonts w:hint="default" w:cs="Times New Roman"/>
          <w:highlight w:val="none"/>
        </w:rPr>
        <w:t>等事宜。在充（换）电基础</w:t>
      </w:r>
      <w:r>
        <w:rPr>
          <w:rFonts w:hint="eastAsia" w:cs="Times New Roman"/>
          <w:highlight w:val="none"/>
          <w:lang w:val="en-US" w:eastAsia="zh-CN"/>
        </w:rPr>
        <w:t>设施</w:t>
      </w:r>
      <w:r>
        <w:rPr>
          <w:rFonts w:hint="default" w:cs="Times New Roman"/>
          <w:highlight w:val="none"/>
        </w:rPr>
        <w:t>投资建设审批流程中，按照简政放权、放管结合、优化服务的要求，简化审批</w:t>
      </w:r>
      <w:r>
        <w:rPr>
          <w:rFonts w:hint="eastAsia" w:cs="Times New Roman"/>
          <w:highlight w:val="none"/>
          <w:lang w:val="en-US" w:eastAsia="zh-CN"/>
        </w:rPr>
        <w:t>手续，</w:t>
      </w:r>
      <w:r>
        <w:rPr>
          <w:rFonts w:hint="default" w:cs="Times New Roman"/>
          <w:highlight w:val="none"/>
        </w:rPr>
        <w:t>充电桩、换电站按一般电气设备安装管理</w:t>
      </w:r>
      <w:r>
        <w:rPr>
          <w:rFonts w:hint="eastAsia" w:cs="Times New Roman"/>
          <w:highlight w:val="none"/>
          <w:lang w:eastAsia="zh-CN"/>
        </w:rPr>
        <w:t>。</w:t>
      </w:r>
    </w:p>
    <w:p>
      <w:pPr>
        <w:pStyle w:val="5"/>
        <w:spacing w:beforeLines="0" w:afterLines="0" w:line="579" w:lineRule="exact"/>
        <w:ind w:firstLine="640"/>
        <w:rPr>
          <w:rFonts w:hint="default" w:eastAsia="仿宋_GB2312" w:cs="Times New Roman"/>
          <w:b w:val="0"/>
          <w:bCs w:val="0"/>
          <w:highlight w:val="none"/>
        </w:rPr>
      </w:pPr>
      <w:r>
        <w:rPr>
          <w:rFonts w:hint="default" w:eastAsia="仿宋_GB2312" w:cs="Times New Roman"/>
          <w:highlight w:val="none"/>
        </w:rPr>
        <w:t>（一）居民在自有停车库、停车位，各居住区、单位在既有停车位，以及高速公路服务区等在既有建筑物、场地内加建</w:t>
      </w:r>
      <w:r>
        <w:rPr>
          <w:rFonts w:hint="eastAsia" w:eastAsia="仿宋_GB2312" w:cs="Times New Roman"/>
          <w:highlight w:val="none"/>
          <w:lang w:eastAsia="zh-CN"/>
        </w:rPr>
        <w:t>充（换）电</w:t>
      </w:r>
      <w:r>
        <w:rPr>
          <w:rFonts w:hint="eastAsia" w:eastAsia="仿宋_GB2312" w:cs="Times New Roman"/>
          <w:highlight w:val="none"/>
          <w:lang w:val="en-US" w:eastAsia="zh-CN"/>
        </w:rPr>
        <w:t>基础</w:t>
      </w:r>
      <w:r>
        <w:rPr>
          <w:rFonts w:hint="default" w:eastAsia="仿宋_GB2312" w:cs="Times New Roman"/>
          <w:highlight w:val="none"/>
        </w:rPr>
        <w:t>设施</w:t>
      </w:r>
      <w:r>
        <w:rPr>
          <w:rFonts w:hint="eastAsia" w:eastAsia="仿宋_GB2312" w:cs="Times New Roman"/>
          <w:highlight w:val="none"/>
          <w:lang w:val="en-US" w:eastAsia="zh-CN"/>
        </w:rPr>
        <w:t>的</w:t>
      </w:r>
      <w:r>
        <w:rPr>
          <w:rFonts w:hint="default" w:eastAsia="仿宋_GB2312" w:cs="Times New Roman"/>
          <w:highlight w:val="none"/>
        </w:rPr>
        <w:t>，无需办理规划许可与用地审批。</w:t>
      </w:r>
    </w:p>
    <w:p>
      <w:pPr>
        <w:pStyle w:val="5"/>
        <w:spacing w:beforeLines="0" w:afterLines="0" w:line="579" w:lineRule="exact"/>
        <w:ind w:firstLine="640"/>
        <w:rPr>
          <w:rFonts w:hint="default" w:eastAsia="仿宋_GB2312" w:cs="Times New Roman"/>
          <w:highlight w:val="none"/>
        </w:rPr>
      </w:pPr>
      <w:r>
        <w:rPr>
          <w:rFonts w:hint="default" w:eastAsia="仿宋_GB2312" w:cs="Times New Roman"/>
          <w:highlight w:val="none"/>
        </w:rPr>
        <w:t>（二）建设城市公共停车场时，无需为同步建设</w:t>
      </w:r>
      <w:r>
        <w:rPr>
          <w:rFonts w:hint="eastAsia" w:eastAsia="仿宋_GB2312" w:cs="Times New Roman"/>
          <w:highlight w:val="none"/>
          <w:lang w:eastAsia="zh-CN"/>
        </w:rPr>
        <w:t>的充（换）电</w:t>
      </w:r>
      <w:r>
        <w:rPr>
          <w:rFonts w:hint="eastAsia" w:eastAsia="仿宋_GB2312" w:cs="Times New Roman"/>
          <w:highlight w:val="none"/>
          <w:lang w:val="en-US" w:eastAsia="zh-CN"/>
        </w:rPr>
        <w:t>基础</w:t>
      </w:r>
      <w:r>
        <w:rPr>
          <w:rFonts w:hint="default" w:eastAsia="仿宋_GB2312" w:cs="Times New Roman"/>
          <w:highlight w:val="none"/>
        </w:rPr>
        <w:t>设施单独办理规划许可与用地审批。</w:t>
      </w:r>
    </w:p>
    <w:p>
      <w:pPr>
        <w:pStyle w:val="5"/>
        <w:spacing w:beforeLines="0" w:afterLines="0" w:line="579" w:lineRule="exact"/>
        <w:ind w:firstLine="640"/>
        <w:rPr>
          <w:rFonts w:hint="default" w:eastAsia="仿宋_GB2312" w:cs="Times New Roman"/>
          <w:highlight w:val="none"/>
        </w:rPr>
      </w:pPr>
      <w:r>
        <w:rPr>
          <w:rFonts w:hint="default" w:eastAsia="仿宋_GB2312" w:cs="Times New Roman"/>
          <w:highlight w:val="none"/>
        </w:rPr>
        <w:t>（三）新建独立占地的集中式充</w:t>
      </w:r>
      <w:r>
        <w:rPr>
          <w:rFonts w:hint="eastAsia" w:eastAsia="仿宋_GB2312" w:cs="Times New Roman"/>
          <w:highlight w:val="none"/>
          <w:lang w:eastAsia="zh-CN"/>
        </w:rPr>
        <w:t>（</w:t>
      </w:r>
      <w:r>
        <w:rPr>
          <w:rFonts w:hint="eastAsia" w:eastAsia="仿宋_GB2312" w:cs="Times New Roman"/>
          <w:highlight w:val="none"/>
          <w:lang w:val="en-US" w:eastAsia="zh-CN"/>
        </w:rPr>
        <w:t>换</w:t>
      </w:r>
      <w:r>
        <w:rPr>
          <w:rFonts w:hint="eastAsia" w:eastAsia="仿宋_GB2312" w:cs="Times New Roman"/>
          <w:highlight w:val="none"/>
          <w:lang w:eastAsia="zh-CN"/>
        </w:rPr>
        <w:t>）</w:t>
      </w:r>
      <w:r>
        <w:rPr>
          <w:rFonts w:hint="default" w:eastAsia="仿宋_GB2312" w:cs="Times New Roman"/>
          <w:highlight w:val="none"/>
        </w:rPr>
        <w:t>电站应符合城市规划，按流程办理规划许可、用地审批等相关许可证明。</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公</w:t>
      </w:r>
      <w:r>
        <w:rPr>
          <w:rFonts w:hint="eastAsia" w:cs="Times New Roman"/>
          <w:highlight w:val="none"/>
          <w:lang w:val="en-US" w:eastAsia="zh-CN"/>
        </w:rPr>
        <w:t>用和专用</w:t>
      </w:r>
      <w:r>
        <w:rPr>
          <w:rFonts w:hint="eastAsia" w:cs="Times New Roman"/>
          <w:highlight w:val="none"/>
          <w:lang w:eastAsia="zh-CN"/>
        </w:rPr>
        <w:t>充（换）电</w:t>
      </w:r>
      <w:r>
        <w:rPr>
          <w:rFonts w:hint="default" w:ascii="Times New Roman" w:hAnsi="Times New Roman" w:cs="Times New Roman"/>
          <w:highlight w:val="none"/>
        </w:rPr>
        <w:t>设施投资建设实行备案制</w:t>
      </w:r>
      <w:r>
        <w:rPr>
          <w:rFonts w:hint="eastAsia" w:cs="Times New Roman"/>
          <w:highlight w:val="none"/>
          <w:lang w:eastAsia="zh-CN"/>
        </w:rPr>
        <w:t>。</w:t>
      </w:r>
      <w:r>
        <w:rPr>
          <w:rFonts w:hint="default" w:ascii="Times New Roman" w:hAnsi="Times New Roman" w:eastAsia="仿宋_GB2312" w:cs="Times New Roman"/>
          <w:highlight w:val="none"/>
        </w:rPr>
        <w:t>投资建设主体在开工建设前，</w:t>
      </w:r>
      <w:r>
        <w:rPr>
          <w:rFonts w:hint="default" w:ascii="Times New Roman" w:hAnsi="Times New Roman" w:cs="Times New Roman"/>
          <w:highlight w:val="none"/>
          <w:lang w:eastAsia="zh-CN"/>
        </w:rPr>
        <w:t>应</w:t>
      </w:r>
      <w:r>
        <w:rPr>
          <w:rFonts w:hint="default" w:ascii="Times New Roman" w:hAnsi="Times New Roman" w:cs="Times New Roman"/>
          <w:highlight w:val="none"/>
        </w:rPr>
        <w:t>通过浙江省投资项目在线审批监管平台</w:t>
      </w:r>
      <w:r>
        <w:rPr>
          <w:rFonts w:hint="eastAsia" w:cs="Times New Roman"/>
          <w:highlight w:val="none"/>
          <w:lang w:val="en-US" w:eastAsia="zh-CN"/>
        </w:rPr>
        <w:t>向县级充（换）电基础设施主管部门</w:t>
      </w:r>
      <w:r>
        <w:rPr>
          <w:rFonts w:hint="eastAsia" w:ascii="Times New Roman" w:hAnsi="Times New Roman" w:eastAsia="仿宋_GB2312" w:cs="Times New Roman"/>
          <w:sz w:val="32"/>
          <w:szCs w:val="32"/>
          <w:highlight w:val="none"/>
        </w:rPr>
        <w:t>确定的备案机关</w:t>
      </w:r>
      <w:r>
        <w:rPr>
          <w:rFonts w:hint="default" w:ascii="Times New Roman" w:hAnsi="Times New Roman" w:cs="Times New Roman"/>
          <w:highlight w:val="none"/>
        </w:rPr>
        <w:t>备案</w:t>
      </w:r>
      <w:r>
        <w:rPr>
          <w:rFonts w:hint="eastAsia" w:cs="Times New Roman"/>
          <w:highlight w:val="none"/>
          <w:lang w:eastAsia="zh-CN"/>
        </w:rPr>
        <w:t>，</w:t>
      </w:r>
      <w:r>
        <w:rPr>
          <w:rFonts w:hint="default" w:ascii="Times New Roman" w:hAnsi="Times New Roman" w:eastAsia="仿宋_GB2312" w:cs="Times New Roman"/>
          <w:highlight w:val="none"/>
        </w:rPr>
        <w:t>将下列信息提交备案机关：</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投资方基本情况。</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项目名称、建设地点、建设规模、建设内容。</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项目总投资额。</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vanish/>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四</w:t>
      </w: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rPr>
        <w:t>项目符合产业政策的申明（包括合法取得建设场所所有权</w:t>
      </w:r>
      <w:r>
        <w:rPr>
          <w:rFonts w:hint="eastAsia" w:eastAsia="仿宋_GB2312" w:cs="Times New Roman"/>
          <w:highlight w:val="none"/>
          <w:lang w:eastAsia="zh-CN"/>
        </w:rPr>
        <w:t>（</w:t>
      </w:r>
      <w:r>
        <w:rPr>
          <w:rFonts w:hint="default" w:ascii="Times New Roman" w:hAnsi="Times New Roman" w:eastAsia="仿宋_GB2312" w:cs="Times New Roman"/>
          <w:highlight w:val="none"/>
        </w:rPr>
        <w:t>或使用权）或与建设场所所有权（或使用权）人签订有效的租赁协议或同意使用场地协议书）。</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投资方应当对备案项目信息的真实性负责。</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投资方需要备案证明的，可以通过浙江省投资项目在线审批监管平台自行下载。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自用充电设施投资建设不需办理备案手续。</w:t>
      </w:r>
      <w:r>
        <w:rPr>
          <w:rFonts w:hint="eastAsia" w:eastAsia="仿宋_GB2312" w:cs="Times New Roman"/>
          <w:highlight w:val="none"/>
          <w:lang w:val="en-US" w:eastAsia="zh-CN"/>
        </w:rPr>
        <w:t>供电</w:t>
      </w:r>
      <w:r>
        <w:rPr>
          <w:rFonts w:hint="default" w:ascii="Times New Roman" w:hAnsi="Times New Roman" w:eastAsia="仿宋_GB2312" w:cs="Times New Roman"/>
          <w:highlight w:val="none"/>
        </w:rPr>
        <w:t>企业应当</w:t>
      </w:r>
      <w:r>
        <w:rPr>
          <w:rFonts w:hint="default" w:ascii="Times New Roman" w:hAnsi="Times New Roman" w:eastAsia="仿宋_GB2312" w:cs="Times New Roman"/>
          <w:highlight w:val="none"/>
          <w:lang w:val="en-US" w:eastAsia="zh-CN"/>
        </w:rPr>
        <w:t>向</w:t>
      </w:r>
      <w:r>
        <w:rPr>
          <w:rFonts w:hint="default" w:ascii="Times New Roman" w:hAnsi="Times New Roman" w:eastAsia="仿宋_GB2312" w:cs="Times New Roman"/>
          <w:highlight w:val="none"/>
          <w:lang w:eastAsia="zh-CN"/>
        </w:rPr>
        <w:t>省充电设施监管服务平台提供</w:t>
      </w:r>
      <w:r>
        <w:rPr>
          <w:rFonts w:hint="default" w:ascii="Times New Roman" w:hAnsi="Times New Roman" w:eastAsia="仿宋_GB2312" w:cs="Times New Roman"/>
          <w:highlight w:val="none"/>
        </w:rPr>
        <w:t>报装</w:t>
      </w:r>
      <w:r>
        <w:rPr>
          <w:rFonts w:hint="eastAsia" w:eastAsia="仿宋_GB2312" w:cs="Times New Roman"/>
          <w:highlight w:val="none"/>
          <w:lang w:val="en-US" w:eastAsia="zh-CN"/>
        </w:rPr>
        <w:t>和使用</w:t>
      </w:r>
      <w:r>
        <w:rPr>
          <w:rFonts w:hint="default" w:ascii="Times New Roman" w:hAnsi="Times New Roman" w:eastAsia="仿宋_GB2312" w:cs="Times New Roman"/>
          <w:highlight w:val="none"/>
        </w:rPr>
        <w:t>数据。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val="en-US" w:eastAsia="zh-CN"/>
        </w:rPr>
        <w:t>各地充（换）电基础设施主管部门应当简化备案流程、统一备案要求、</w:t>
      </w:r>
      <w:r>
        <w:rPr>
          <w:rFonts w:hint="default" w:ascii="Times New Roman" w:hAnsi="Times New Roman" w:eastAsia="仿宋_GB2312" w:cs="Times New Roman"/>
          <w:highlight w:val="none"/>
        </w:rPr>
        <w:t>指导企业</w:t>
      </w:r>
      <w:r>
        <w:rPr>
          <w:rFonts w:hint="eastAsia" w:cs="Times New Roman"/>
          <w:highlight w:val="none"/>
          <w:lang w:val="en-US" w:eastAsia="zh-CN"/>
        </w:rPr>
        <w:t>做好备案工作</w:t>
      </w:r>
      <w:r>
        <w:rPr>
          <w:rFonts w:hint="default" w:ascii="Times New Roman" w:hAnsi="Times New Roman" w:eastAsia="仿宋_GB2312"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充（换）电设施及配套电网建设应当符合国家、省相关技术标准、设计规范和管理要求，严格执行《电动汽车充换电设施建设技术导则》（NB/T 33009）、《电动汽车充换电设施供电系统技术规范》（NB/T 33018）</w:t>
      </w:r>
      <w:r>
        <w:rPr>
          <w:rFonts w:hint="eastAsia" w:cs="Times New Roman"/>
          <w:highlight w:val="none"/>
        </w:rPr>
        <w:t>、《电动汽车电池更换站设计规范》（GB/T 51077）</w:t>
      </w:r>
      <w:r>
        <w:rPr>
          <w:rFonts w:hint="default" w:ascii="Times New Roman" w:hAnsi="Times New Roman" w:cs="Times New Roman"/>
          <w:highlight w:val="none"/>
        </w:rPr>
        <w:t>等标准的规定。</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rPr>
        <w:t>充</w:t>
      </w:r>
      <w:r>
        <w:rPr>
          <w:rFonts w:hint="eastAsia" w:cs="Times New Roman"/>
          <w:highlight w:val="none"/>
          <w:lang w:eastAsia="zh-CN"/>
        </w:rPr>
        <w:t>（</w:t>
      </w:r>
      <w:r>
        <w:rPr>
          <w:rFonts w:hint="eastAsia" w:cs="Times New Roman"/>
          <w:highlight w:val="none"/>
        </w:rPr>
        <w:t>换</w:t>
      </w:r>
      <w:r>
        <w:rPr>
          <w:rFonts w:hint="eastAsia" w:cs="Times New Roman"/>
          <w:highlight w:val="none"/>
          <w:lang w:eastAsia="zh-CN"/>
        </w:rPr>
        <w:t>）</w:t>
      </w:r>
      <w:r>
        <w:rPr>
          <w:rFonts w:hint="eastAsia" w:cs="Times New Roman"/>
          <w:highlight w:val="none"/>
          <w:lang w:val="en-US" w:eastAsia="zh-CN"/>
        </w:rPr>
        <w:t>电</w:t>
      </w:r>
      <w:r>
        <w:rPr>
          <w:rFonts w:hint="eastAsia" w:cs="Times New Roman"/>
          <w:highlight w:val="none"/>
        </w:rPr>
        <w:t>设施建设应当符合相关国家工程建设消防技术标准，不得影响消防车通行、登高作业和人员疏散逃生等</w:t>
      </w:r>
      <w:r>
        <w:rPr>
          <w:rFonts w:hint="default" w:ascii="Times New Roman" w:hAnsi="Times New Roman" w:eastAsia="仿宋_GB2312" w:cs="Times New Roman"/>
          <w:highlight w:val="none"/>
        </w:rPr>
        <w:t>。在平时用作停车位的人防工程中安装</w:t>
      </w:r>
      <w:r>
        <w:rPr>
          <w:rFonts w:hint="eastAsia" w:cs="Times New Roman"/>
          <w:highlight w:val="none"/>
          <w:lang w:eastAsia="zh-CN"/>
        </w:rPr>
        <w:t>充（换）电</w:t>
      </w:r>
      <w:r>
        <w:rPr>
          <w:rFonts w:hint="default" w:ascii="Times New Roman" w:hAnsi="Times New Roman" w:eastAsia="仿宋_GB2312" w:cs="Times New Roman"/>
          <w:highlight w:val="none"/>
        </w:rPr>
        <w:t>设施的，需符合人防部门的相关监管要求，不得损害影响战时防护功能。</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电动汽车生产销售企业应当将随车配送的充电</w:t>
      </w:r>
      <w:r>
        <w:rPr>
          <w:rFonts w:hint="default" w:ascii="Times New Roman" w:hAnsi="Times New Roman" w:eastAsia="仿宋_GB2312" w:cs="Times New Roman"/>
          <w:highlight w:val="none"/>
        </w:rPr>
        <w:t>设施建设维护纳入其销售服务体系，委托充电设施施工企业提供施工服务或委托设施运营商提供综合性服务。</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电动汽车生产销售企业</w:t>
      </w:r>
      <w:r>
        <w:rPr>
          <w:rFonts w:hint="default" w:ascii="Times New Roman" w:hAnsi="Times New Roman" w:eastAsia="仿宋_GB2312" w:cs="Times New Roman"/>
          <w:highlight w:val="none"/>
        </w:rPr>
        <w:t>与私人用户签订销售车辆合同之前，应当告知用户提供的充电桩产品参数、价格、产品责任保险、建设维护服务内容、服务收费标准等基本信息。用户可选择接受电动汽车生产销售企业提供的产品和服务，也可另行委托充电设施运营商提供综合性服务。</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我省使用的</w:t>
      </w:r>
      <w:r>
        <w:rPr>
          <w:rFonts w:hint="eastAsia" w:cs="Times New Roman"/>
          <w:highlight w:val="none"/>
          <w:lang w:eastAsia="zh-CN"/>
        </w:rPr>
        <w:t>充（换）电</w:t>
      </w:r>
      <w:r>
        <w:rPr>
          <w:rFonts w:hint="default" w:ascii="Times New Roman" w:hAnsi="Times New Roman" w:cs="Times New Roman"/>
          <w:highlight w:val="none"/>
        </w:rPr>
        <w:t>桩产品均应取得认证机构出具的认证证书或检测机构出具的标准符合性合格报告</w:t>
      </w:r>
      <w:r>
        <w:rPr>
          <w:rFonts w:hint="eastAsia" w:cs="Times New Roman"/>
          <w:highlight w:val="none"/>
          <w:lang w:eastAsia="zh-CN"/>
        </w:rPr>
        <w:t>，</w:t>
      </w:r>
      <w:r>
        <w:rPr>
          <w:rFonts w:hint="default" w:ascii="Times New Roman" w:hAnsi="Times New Roman" w:cs="Times New Roman"/>
          <w:highlight w:val="none"/>
        </w:rPr>
        <w:t>认证或检测的执行标准由省市场监督管理局、省发展改革委规定。</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lang w:val="en"/>
        </w:rPr>
      </w:pPr>
      <w:r>
        <w:rPr>
          <w:rFonts w:hint="default" w:ascii="Times New Roman" w:hAnsi="Times New Roman" w:eastAsia="仿宋_GB2312" w:cs="Times New Roman"/>
          <w:highlight w:val="none"/>
        </w:rPr>
        <w:t>充电桩产品采购、安装前，充电桩投资建设业主应当查验认证证书或标准符合性合格报告，并留存。</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基础设施施工应当由具备电力设施承装（修）或市政公用工程、机电安装工程施工资质的施工企业承担。不具备相应资质的</w:t>
      </w:r>
      <w:r>
        <w:rPr>
          <w:rFonts w:hint="eastAsia" w:cs="Times New Roman"/>
          <w:highlight w:val="none"/>
          <w:lang w:eastAsia="zh-CN"/>
        </w:rPr>
        <w:t>充（换）电</w:t>
      </w:r>
      <w:r>
        <w:rPr>
          <w:rFonts w:hint="default" w:ascii="Times New Roman" w:hAnsi="Times New Roman" w:cs="Times New Roman"/>
          <w:highlight w:val="none"/>
        </w:rPr>
        <w:t>设施运营商应当委托具备相应资质的施工企业负责施工。</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供电企业</w:t>
      </w:r>
      <w:r>
        <w:rPr>
          <w:rFonts w:hint="default" w:ascii="Times New Roman" w:hAnsi="Times New Roman" w:cs="Times New Roman"/>
          <w:highlight w:val="none"/>
        </w:rPr>
        <w:t>对</w:t>
      </w:r>
      <w:r>
        <w:rPr>
          <w:rFonts w:hint="eastAsia" w:cs="Times New Roman"/>
          <w:highlight w:val="none"/>
          <w:lang w:eastAsia="zh-CN"/>
        </w:rPr>
        <w:t>充（换）电</w:t>
      </w:r>
      <w:r>
        <w:rPr>
          <w:rFonts w:hint="default" w:ascii="Times New Roman" w:hAnsi="Times New Roman" w:cs="Times New Roman"/>
          <w:highlight w:val="none"/>
        </w:rPr>
        <w:t>基础设施低压报装供电，提供零投资服务，承担电表至公共电网连接点工程费用；对高压</w:t>
      </w:r>
      <w:r>
        <w:rPr>
          <w:rFonts w:hint="eastAsia" w:cs="Times New Roman"/>
          <w:highlight w:val="none"/>
          <w:lang w:eastAsia="zh-CN"/>
        </w:rPr>
        <w:t>充（换）电</w:t>
      </w:r>
      <w:r>
        <w:rPr>
          <w:rFonts w:hint="default" w:ascii="Times New Roman" w:hAnsi="Times New Roman" w:cs="Times New Roman"/>
          <w:highlight w:val="none"/>
        </w:rPr>
        <w:t>基础设施接电，</w:t>
      </w:r>
      <w:r>
        <w:rPr>
          <w:rFonts w:hint="eastAsia" w:cs="Times New Roman"/>
          <w:highlight w:val="none"/>
        </w:rPr>
        <w:t>外部电力接入工程中</w:t>
      </w:r>
      <w:r>
        <w:rPr>
          <w:rFonts w:hint="eastAsia" w:cs="Times New Roman"/>
          <w:highlight w:val="none"/>
          <w:lang w:eastAsia="zh-CN"/>
        </w:rPr>
        <w:t>，</w:t>
      </w:r>
      <w:r>
        <w:rPr>
          <w:rFonts w:hint="default" w:ascii="Times New Roman" w:hAnsi="Times New Roman" w:cs="Times New Roman"/>
          <w:highlight w:val="none"/>
        </w:rPr>
        <w:t>按规定由政府承担的部分，应及时拨付供电企业或由政府直接投资。</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供电企业</w:t>
      </w:r>
      <w:r>
        <w:rPr>
          <w:rFonts w:hint="default" w:ascii="Times New Roman" w:hAnsi="Times New Roman" w:cs="Times New Roman"/>
          <w:highlight w:val="none"/>
        </w:rPr>
        <w:t>应为</w:t>
      </w:r>
      <w:r>
        <w:rPr>
          <w:rFonts w:hint="eastAsia" w:cs="Times New Roman"/>
          <w:highlight w:val="none"/>
          <w:lang w:eastAsia="zh-CN"/>
        </w:rPr>
        <w:t>充（换）电</w:t>
      </w:r>
      <w:r>
        <w:rPr>
          <w:rFonts w:hint="default" w:ascii="Times New Roman" w:hAnsi="Times New Roman" w:cs="Times New Roman"/>
          <w:highlight w:val="none"/>
        </w:rPr>
        <w:t>基础设施建设提供优质、便捷的配套服务，在</w:t>
      </w:r>
      <w:r>
        <w:rPr>
          <w:rFonts w:hint="eastAsia" w:cs="Times New Roman"/>
          <w:highlight w:val="none"/>
          <w:lang w:eastAsia="zh-CN"/>
        </w:rPr>
        <w:t>充（换）电</w:t>
      </w:r>
      <w:r>
        <w:rPr>
          <w:rFonts w:hint="default" w:ascii="Times New Roman" w:hAnsi="Times New Roman" w:cs="Times New Roman"/>
          <w:highlight w:val="none"/>
        </w:rPr>
        <w:t>基础设施用电申请受理、设计审查、装表接电服务中，不得收取任何服务费用。</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供电企业</w:t>
      </w:r>
      <w:r>
        <w:rPr>
          <w:rFonts w:hint="default" w:ascii="Times New Roman" w:hAnsi="Times New Roman" w:cs="Times New Roman"/>
          <w:highlight w:val="none"/>
        </w:rPr>
        <w:t>为</w:t>
      </w:r>
      <w:r>
        <w:rPr>
          <w:rFonts w:hint="eastAsia" w:cs="Times New Roman"/>
          <w:highlight w:val="none"/>
          <w:lang w:eastAsia="zh-CN"/>
        </w:rPr>
        <w:t>充（换）电</w:t>
      </w:r>
      <w:r>
        <w:rPr>
          <w:rFonts w:hint="default" w:ascii="Times New Roman" w:hAnsi="Times New Roman" w:cs="Times New Roman"/>
          <w:highlight w:val="none"/>
        </w:rPr>
        <w:t>基础设施接入电网提供政策支持，保障</w:t>
      </w:r>
      <w:r>
        <w:rPr>
          <w:rFonts w:hint="eastAsia" w:cs="Times New Roman"/>
          <w:highlight w:val="none"/>
          <w:lang w:val="en-US" w:eastAsia="zh-CN"/>
        </w:rPr>
        <w:t>充（换）电基础设施</w:t>
      </w:r>
      <w:r>
        <w:rPr>
          <w:rFonts w:hint="default" w:ascii="Times New Roman" w:hAnsi="Times New Roman" w:cs="Times New Roman"/>
          <w:highlight w:val="none"/>
        </w:rPr>
        <w:t>无障碍接入。充分利用营业窗口和服务热线等途径，做好宣传、服务工作，提高服务质量和效率。</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基础设施所有权人新建、扩建</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基础设施或者</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基础设施发生重大变化，应当向</w:t>
      </w:r>
      <w:r>
        <w:rPr>
          <w:rFonts w:hint="eastAsia" w:eastAsia="仿宋_GB2312" w:cs="Times New Roman"/>
          <w:highlight w:val="none"/>
          <w:lang w:eastAsia="zh-CN"/>
        </w:rPr>
        <w:t>供电企业</w:t>
      </w:r>
      <w:r>
        <w:rPr>
          <w:rFonts w:hint="default" w:ascii="Times New Roman" w:hAnsi="Times New Roman" w:eastAsia="仿宋_GB2312" w:cs="Times New Roman"/>
          <w:highlight w:val="none"/>
        </w:rPr>
        <w:t>报装。转供电项目</w:t>
      </w:r>
      <w:r>
        <w:rPr>
          <w:rFonts w:hint="eastAsia" w:eastAsia="仿宋_GB2312" w:cs="Times New Roman"/>
          <w:highlight w:val="none"/>
          <w:lang w:eastAsia="zh-CN"/>
        </w:rPr>
        <w:t>的</w:t>
      </w:r>
      <w:r>
        <w:rPr>
          <w:rFonts w:hint="eastAsia" w:eastAsia="仿宋_GB2312" w:cs="Times New Roman"/>
          <w:highlight w:val="none"/>
          <w:lang w:val="en-US" w:eastAsia="zh-CN"/>
        </w:rPr>
        <w:t>项目业主需与供电企业签订协议。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cs="Times New Roman"/>
          <w:highlight w:val="none"/>
          <w:lang w:eastAsia="zh-CN"/>
        </w:rPr>
        <w:t>充（换）电</w:t>
      </w:r>
      <w:r>
        <w:rPr>
          <w:rFonts w:hint="default" w:ascii="Times New Roman" w:hAnsi="Times New Roman" w:cs="Times New Roman"/>
          <w:highlight w:val="none"/>
        </w:rPr>
        <w:t>基础设施在投入使用前，所有权人应当组织开展竣工验收</w:t>
      </w:r>
      <w:r>
        <w:rPr>
          <w:rFonts w:hint="eastAsia" w:cs="Times New Roman"/>
          <w:highlight w:val="none"/>
          <w:lang w:eastAsia="zh-CN"/>
        </w:rPr>
        <w:t>，</w:t>
      </w:r>
      <w:r>
        <w:rPr>
          <w:rFonts w:hint="default" w:ascii="Times New Roman" w:hAnsi="Times New Roman" w:cs="Times New Roman"/>
          <w:highlight w:val="none"/>
        </w:rPr>
        <w:t>鼓励委托专业第三方机构开展验收工作。</w:t>
      </w:r>
      <w:r>
        <w:rPr>
          <w:rFonts w:hint="eastAsia" w:cs="Times New Roman"/>
          <w:highlight w:val="none"/>
          <w:lang w:eastAsia="zh-CN"/>
        </w:rPr>
        <w:t>充（换）电</w:t>
      </w:r>
      <w:r>
        <w:rPr>
          <w:rFonts w:hint="default" w:ascii="Times New Roman" w:hAnsi="Times New Roman" w:cs="Times New Roman"/>
          <w:highlight w:val="none"/>
        </w:rPr>
        <w:t>基础设施未经竣工验收，不得投入</w:t>
      </w:r>
      <w:r>
        <w:rPr>
          <w:rFonts w:hint="default" w:ascii="Times New Roman" w:hAnsi="Times New Roman" w:cs="Times New Roman"/>
          <w:color w:val="000000" w:themeColor="text1"/>
          <w:highlight w:val="none"/>
          <w14:textFill>
            <w14:solidFill>
              <w14:schemeClr w14:val="tx1"/>
            </w14:solidFill>
          </w14:textFill>
        </w:rPr>
        <w:t>使用。</w:t>
      </w:r>
      <w:r>
        <w:rPr>
          <w:rFonts w:hint="eastAsia" w:cs="Times New Roman"/>
          <w:color w:val="000000" w:themeColor="text1"/>
          <w:highlight w:val="none"/>
          <w:lang w:eastAsia="zh-CN"/>
          <w14:textFill>
            <w14:solidFill>
              <w14:schemeClr w14:val="tx1"/>
            </w14:solidFill>
          </w14:textFill>
        </w:rPr>
        <w:t>充（换）电</w:t>
      </w:r>
      <w:r>
        <w:rPr>
          <w:rFonts w:hint="eastAsia" w:cs="Times New Roman"/>
          <w:color w:val="000000" w:themeColor="text1"/>
          <w:highlight w:val="none"/>
          <w:lang w:val="en-US" w:eastAsia="zh-CN"/>
          <w14:textFill>
            <w14:solidFill>
              <w14:schemeClr w14:val="tx1"/>
            </w14:solidFill>
          </w14:textFill>
        </w:rPr>
        <w:t>基础</w:t>
      </w:r>
      <w:r>
        <w:rPr>
          <w:rFonts w:hint="default" w:ascii="Times New Roman" w:hAnsi="Times New Roman" w:cs="Times New Roman"/>
          <w:color w:val="000000" w:themeColor="text1"/>
          <w:highlight w:val="none"/>
          <w14:textFill>
            <w14:solidFill>
              <w14:schemeClr w14:val="tx1"/>
            </w14:solidFill>
          </w14:textFill>
        </w:rPr>
        <w:t>设施竣工验收分本体部分验收和平台接入验收。</w:t>
      </w:r>
    </w:p>
    <w:p>
      <w:pPr>
        <w:pStyle w:val="5"/>
        <w:spacing w:beforeLines="0" w:afterLines="0" w:line="579" w:lineRule="exact"/>
        <w:ind w:firstLine="640"/>
        <w:rPr>
          <w:rFonts w:hint="default" w:eastAsia="仿宋_GB2312" w:cs="Times New Roman"/>
          <w:highlight w:val="none"/>
        </w:rPr>
      </w:pPr>
      <w:r>
        <w:rPr>
          <w:rFonts w:hint="eastAsia" w:eastAsia="仿宋_GB2312" w:cs="Times New Roman"/>
          <w:highlight w:val="none"/>
          <w:lang w:eastAsia="zh-CN"/>
        </w:rPr>
        <w:t>（</w:t>
      </w:r>
      <w:r>
        <w:rPr>
          <w:rFonts w:hint="eastAsia" w:eastAsia="仿宋_GB2312" w:cs="Times New Roman"/>
          <w:highlight w:val="none"/>
          <w:lang w:val="en-US" w:eastAsia="zh-CN"/>
        </w:rPr>
        <w:t>一</w:t>
      </w:r>
      <w:r>
        <w:rPr>
          <w:rFonts w:hint="eastAsia" w:eastAsia="仿宋_GB2312" w:cs="Times New Roman"/>
          <w:highlight w:val="none"/>
          <w:lang w:eastAsia="zh-CN"/>
        </w:rPr>
        <w:t>）</w:t>
      </w:r>
      <w:r>
        <w:rPr>
          <w:rFonts w:hint="default" w:eastAsia="仿宋_GB2312" w:cs="Times New Roman"/>
          <w:highlight w:val="none"/>
        </w:rPr>
        <w:t>专用充电设施投入使用前，充电基础设施所有权人应当按《电动汽车充换电设施工程施工和竣工验收规范》（NB/T 33004）及本办法附件《公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eastAsia="仿宋_GB2312" w:cs="Times New Roman"/>
          <w:highlight w:val="none"/>
        </w:rPr>
        <w:t>设施本体部分竣工验收细则（试行）》执行。</w:t>
      </w:r>
    </w:p>
    <w:p>
      <w:pPr>
        <w:pStyle w:val="5"/>
        <w:spacing w:beforeLines="0" w:afterLines="0" w:line="579" w:lineRule="exact"/>
        <w:ind w:firstLine="640"/>
        <w:rPr>
          <w:rFonts w:hint="default" w:eastAsia="仿宋_GB2312" w:cs="Times New Roman"/>
          <w:highlight w:val="none"/>
        </w:rPr>
      </w:pPr>
      <w:r>
        <w:rPr>
          <w:rFonts w:hint="eastAsia" w:eastAsia="仿宋_GB2312" w:cs="Times New Roman"/>
          <w:highlight w:val="none"/>
          <w:lang w:eastAsia="zh-CN"/>
        </w:rPr>
        <w:t>（</w:t>
      </w:r>
      <w:r>
        <w:rPr>
          <w:rFonts w:hint="eastAsia" w:eastAsia="仿宋_GB2312" w:cs="Times New Roman"/>
          <w:highlight w:val="none"/>
          <w:lang w:val="en-US" w:eastAsia="zh-CN"/>
        </w:rPr>
        <w:t>二</w:t>
      </w:r>
      <w:r>
        <w:rPr>
          <w:rFonts w:hint="eastAsia" w:eastAsia="仿宋_GB2312" w:cs="Times New Roman"/>
          <w:highlight w:val="none"/>
          <w:lang w:eastAsia="zh-CN"/>
        </w:rPr>
        <w:t>）</w:t>
      </w:r>
      <w:r>
        <w:rPr>
          <w:rFonts w:hint="eastAsia" w:eastAsia="仿宋_GB2312" w:cs="Times New Roman"/>
          <w:highlight w:val="none"/>
          <w:lang w:val="en-US" w:eastAsia="zh-CN"/>
        </w:rPr>
        <w:t>公用</w:t>
      </w:r>
      <w:r>
        <w:rPr>
          <w:rFonts w:hint="eastAsia" w:eastAsia="仿宋_GB2312" w:cs="Times New Roman"/>
          <w:highlight w:val="none"/>
          <w:lang w:eastAsia="zh-CN"/>
        </w:rPr>
        <w:t>充（换）电</w:t>
      </w:r>
      <w:r>
        <w:rPr>
          <w:rFonts w:hint="default" w:eastAsia="仿宋_GB2312" w:cs="Times New Roman"/>
          <w:highlight w:val="none"/>
        </w:rPr>
        <w:t>设施竣工验收分本体部分验收和平台接入验收。本体部分验收按《电动汽车充换电设施工程施工和竣工验收规范》（NB/T 33004）及本办法附件《公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eastAsia="仿宋_GB2312" w:cs="Times New Roman"/>
          <w:highlight w:val="none"/>
        </w:rPr>
        <w:t>设施本体部分竣工验收细则（试行）》执行。平台接入验收</w:t>
      </w:r>
      <w:r>
        <w:rPr>
          <w:rFonts w:hint="eastAsia" w:eastAsia="仿宋_GB2312" w:cs="Times New Roman"/>
          <w:highlight w:val="none"/>
          <w:lang w:val="en-US" w:eastAsia="zh-CN"/>
        </w:rPr>
        <w:t>按照相关</w:t>
      </w:r>
      <w:r>
        <w:rPr>
          <w:rFonts w:hint="default" w:eastAsia="仿宋_GB2312" w:cs="Times New Roman"/>
          <w:highlight w:val="none"/>
        </w:rPr>
        <w:t>规范要求，及时接入省充电设施监管服务平台。</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设施竣工验收合格后，</w:t>
      </w:r>
      <w:r>
        <w:rPr>
          <w:rFonts w:hint="eastAsia" w:cs="Times New Roman"/>
          <w:highlight w:val="none"/>
          <w:lang w:eastAsia="zh-CN"/>
        </w:rPr>
        <w:t>充（换）电</w:t>
      </w:r>
      <w:r>
        <w:rPr>
          <w:rFonts w:hint="default" w:ascii="Times New Roman" w:hAnsi="Times New Roman" w:cs="Times New Roman"/>
          <w:highlight w:val="none"/>
        </w:rPr>
        <w:t>设施所有权人应当在5个工作日内将本体部分竣工验收报告报送</w:t>
      </w:r>
      <w:r>
        <w:rPr>
          <w:rFonts w:hint="eastAsia" w:cs="Times New Roman"/>
          <w:highlight w:val="none"/>
          <w:lang w:val="en-US" w:eastAsia="zh-CN"/>
        </w:rPr>
        <w:t>县级</w:t>
      </w:r>
      <w:r>
        <w:rPr>
          <w:rFonts w:hint="eastAsia" w:cs="Times New Roman"/>
          <w:highlight w:val="none"/>
          <w:lang w:eastAsia="zh-CN"/>
        </w:rPr>
        <w:t>充（换）电基础设施主管部门</w:t>
      </w:r>
      <w:r>
        <w:rPr>
          <w:rFonts w:hint="default" w:ascii="Times New Roman" w:hAnsi="Times New Roman" w:cs="Times New Roman"/>
          <w:highlight w:val="none"/>
        </w:rPr>
        <w:t>，</w:t>
      </w:r>
      <w:r>
        <w:rPr>
          <w:rFonts w:hint="default" w:ascii="Times New Roman" w:hAnsi="Times New Roman" w:cs="Times New Roman"/>
          <w:highlight w:val="none"/>
          <w:lang w:eastAsia="zh-CN"/>
        </w:rPr>
        <w:t>省充电设施监管服务平台</w:t>
      </w:r>
      <w:r>
        <w:rPr>
          <w:rFonts w:hint="default" w:ascii="Times New Roman" w:hAnsi="Times New Roman" w:cs="Times New Roman"/>
          <w:highlight w:val="none"/>
        </w:rPr>
        <w:t>运营单位应当在5个工作日内将设施接入</w:t>
      </w:r>
      <w:r>
        <w:rPr>
          <w:rFonts w:hint="default" w:ascii="Times New Roman" w:hAnsi="Times New Roman" w:cs="Times New Roman"/>
          <w:highlight w:val="none"/>
          <w:lang w:eastAsia="zh-CN"/>
        </w:rPr>
        <w:t>省充电设施监管服务</w:t>
      </w:r>
      <w:r>
        <w:rPr>
          <w:rFonts w:hint="eastAsia" w:cs="Times New Roman"/>
          <w:highlight w:val="none"/>
          <w:lang w:val="en-US" w:eastAsia="zh-CN"/>
        </w:rPr>
        <w:t>验收报告报送地方</w:t>
      </w:r>
      <w:r>
        <w:rPr>
          <w:rFonts w:hint="eastAsia" w:cs="Times New Roman"/>
          <w:highlight w:val="none"/>
          <w:lang w:eastAsia="zh-CN"/>
        </w:rPr>
        <w:t>充（换）电</w:t>
      </w:r>
      <w:r>
        <w:rPr>
          <w:rFonts w:hint="default" w:ascii="Times New Roman" w:hAnsi="Times New Roman" w:cs="Times New Roman"/>
          <w:highlight w:val="none"/>
        </w:rPr>
        <w:t>基础设施主管部门。</w:t>
      </w:r>
    </w:p>
    <w:p>
      <w:pPr>
        <w:pStyle w:val="6"/>
        <w:spacing w:beforeLines="0" w:afterLines="0" w:line="579" w:lineRule="exact"/>
        <w:ind w:firstLine="640"/>
        <w:rPr>
          <w:rFonts w:hint="default"/>
          <w:highlight w:val="none"/>
        </w:rPr>
      </w:pPr>
      <w:r>
        <w:rPr>
          <w:rFonts w:hint="eastAsia" w:cs="Times New Roman"/>
          <w:highlight w:val="none"/>
          <w:lang w:val="en-US" w:eastAsia="zh-CN"/>
        </w:rPr>
        <w:t>居民</w:t>
      </w:r>
      <w:r>
        <w:rPr>
          <w:rFonts w:hint="eastAsia" w:cs="Times New Roman"/>
          <w:highlight w:val="none"/>
        </w:rPr>
        <w:t>小区公共停车位公共充（换）电设施由小区业委会委托物业公司投资建设并运营，也可引入充（换）电设施运营商提供综合性服务。</w:t>
      </w:r>
    </w:p>
    <w:p>
      <w:pPr>
        <w:pStyle w:val="5"/>
        <w:spacing w:beforeLines="0" w:afterLines="0" w:line="579" w:lineRule="exact"/>
        <w:ind w:firstLine="640"/>
        <w:rPr>
          <w:rFonts w:hint="default"/>
          <w:highlight w:val="none"/>
        </w:rPr>
      </w:pPr>
      <w:r>
        <w:rPr>
          <w:rFonts w:hint="eastAsia" w:cs="Times New Roman"/>
          <w:highlight w:val="none"/>
          <w:lang w:val="en-US" w:eastAsia="zh-CN"/>
        </w:rPr>
        <w:t>居民</w:t>
      </w:r>
      <w:r>
        <w:rPr>
          <w:rFonts w:hint="eastAsia" w:cs="Times New Roman"/>
          <w:highlight w:val="none"/>
        </w:rPr>
        <w:t>小区公共充（换）电设施建设前，</w:t>
      </w:r>
      <w:r>
        <w:rPr>
          <w:rFonts w:hint="eastAsia" w:cs="Times New Roman"/>
          <w:highlight w:val="none"/>
          <w:lang w:val="en-US" w:eastAsia="zh-CN"/>
        </w:rPr>
        <w:t>小区</w:t>
      </w:r>
      <w:r>
        <w:rPr>
          <w:rFonts w:hint="default" w:cs="Times New Roman"/>
          <w:highlight w:val="none"/>
        </w:rPr>
        <w:t>业主委员会</w:t>
      </w:r>
      <w:r>
        <w:rPr>
          <w:rFonts w:hint="eastAsia" w:cs="Times New Roman"/>
          <w:highlight w:val="none"/>
        </w:rPr>
        <w:t>应公示充电设施建设方案（含建设数量、建设位置、额定容量、电缆布置方式等必要内容）</w:t>
      </w:r>
      <w:r>
        <w:rPr>
          <w:rFonts w:hint="eastAsia" w:cs="Times New Roman"/>
          <w:highlight w:val="none"/>
          <w:lang w:eastAsia="zh-CN"/>
        </w:rPr>
        <w:t>，</w:t>
      </w:r>
      <w:r>
        <w:rPr>
          <w:rFonts w:hint="eastAsia" w:cs="Times New Roman"/>
          <w:highlight w:val="none"/>
          <w:lang w:val="en-US" w:eastAsia="zh-CN"/>
        </w:rPr>
        <w:t>经小区业主大会商议通过后可开展建设</w:t>
      </w:r>
      <w:r>
        <w:rPr>
          <w:rFonts w:hint="default" w:cs="Times New Roman"/>
          <w:highlight w:val="none"/>
        </w:rPr>
        <w:t>。因客观原因未能选举产生业主委员会的小区，由居委会组织征求业主意见后实施。</w:t>
      </w:r>
    </w:p>
    <w:p>
      <w:pPr>
        <w:pStyle w:val="6"/>
        <w:spacing w:beforeLines="0" w:afterLines="0" w:line="579" w:lineRule="exact"/>
        <w:ind w:firstLine="640"/>
        <w:rPr>
          <w:rFonts w:hint="default"/>
          <w:highlight w:val="none"/>
        </w:rPr>
      </w:pPr>
      <w:r>
        <w:rPr>
          <w:rFonts w:hint="default" w:cs="Times New Roman"/>
          <w:highlight w:val="none"/>
        </w:rPr>
        <w:t>居民在建设安装</w:t>
      </w:r>
      <w:r>
        <w:rPr>
          <w:rFonts w:hint="eastAsia" w:cs="Times New Roman"/>
          <w:highlight w:val="none"/>
          <w:lang w:val="en-US" w:eastAsia="zh-CN"/>
        </w:rPr>
        <w:t>自用充电设施前</w:t>
      </w:r>
      <w:r>
        <w:rPr>
          <w:rFonts w:hint="default" w:cs="Times New Roman"/>
          <w:highlight w:val="none"/>
        </w:rPr>
        <w:t>，应当书面告知物业服务企业。物业服务企业在收到居民书面告知后，应当支持和配合开展现场勘查、用电安装等工作，不得阻挠充电设施合法建设需求</w:t>
      </w:r>
      <w:r>
        <w:rPr>
          <w:rFonts w:hint="default" w:ascii="Times New Roman" w:hAnsi="Times New Roman" w:cs="Times New Roman"/>
          <w:highlight w:val="none"/>
        </w:rPr>
        <w:t>。</w:t>
      </w:r>
    </w:p>
    <w:p>
      <w:pPr>
        <w:pStyle w:val="6"/>
        <w:spacing w:beforeLines="0" w:afterLines="0" w:line="579" w:lineRule="exact"/>
        <w:ind w:firstLine="640"/>
        <w:rPr>
          <w:rFonts w:hint="default"/>
          <w:highlight w:val="none"/>
        </w:rPr>
      </w:pPr>
      <w:r>
        <w:rPr>
          <w:rFonts w:hint="default" w:cs="Times New Roman"/>
          <w:highlight w:val="none"/>
        </w:rPr>
        <w:t>居民小区新建的</w:t>
      </w:r>
      <w:r>
        <w:rPr>
          <w:rFonts w:hint="eastAsia" w:cs="Times New Roman"/>
          <w:highlight w:val="none"/>
          <w:lang w:val="en-US" w:eastAsia="zh-CN"/>
        </w:rPr>
        <w:t>充电基础设施</w:t>
      </w:r>
      <w:r>
        <w:rPr>
          <w:rFonts w:hint="default" w:cs="Times New Roman"/>
          <w:highlight w:val="none"/>
        </w:rPr>
        <w:t>应当符合智能充电桩相关要求，</w:t>
      </w:r>
      <w:r>
        <w:rPr>
          <w:rFonts w:hint="eastAsia" w:cs="Times New Roman"/>
          <w:highlight w:val="none"/>
          <w:lang w:val="en-US" w:eastAsia="zh-CN"/>
        </w:rPr>
        <w:t>具有</w:t>
      </w:r>
      <w:r>
        <w:rPr>
          <w:rFonts w:hint="default" w:cs="Times New Roman"/>
          <w:highlight w:val="none"/>
        </w:rPr>
        <w:t>有序充电和电力需求响应</w:t>
      </w:r>
      <w:r>
        <w:rPr>
          <w:rFonts w:hint="eastAsia" w:cs="Times New Roman"/>
          <w:highlight w:val="none"/>
          <w:lang w:val="en-US" w:eastAsia="zh-CN"/>
        </w:rPr>
        <w:t>的相关功能</w:t>
      </w:r>
      <w:r>
        <w:rPr>
          <w:rFonts w:hint="default"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整车生产企业应积极</w:t>
      </w:r>
      <w:r>
        <w:rPr>
          <w:rFonts w:hint="default" w:cs="Times New Roman"/>
          <w:highlight w:val="none"/>
        </w:rPr>
        <w:t>开展</w:t>
      </w:r>
      <w:r>
        <w:rPr>
          <w:rFonts w:hint="eastAsia" w:cs="Times New Roman"/>
          <w:highlight w:val="none"/>
          <w:lang w:eastAsia="zh-CN"/>
        </w:rPr>
        <w:t>充（换）电</w:t>
      </w:r>
      <w:r>
        <w:rPr>
          <w:rFonts w:hint="default" w:ascii="Times New Roman" w:hAnsi="Times New Roman" w:cs="Times New Roman"/>
          <w:highlight w:val="none"/>
        </w:rPr>
        <w:t>基础设施一致性检测与调试工作，最大限度保障车桩匹配使用。</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运营维护</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基础设施投资建设主体不具备运营能力的，应当委托</w:t>
      </w:r>
      <w:r>
        <w:rPr>
          <w:rFonts w:hint="eastAsia" w:cs="Times New Roman"/>
          <w:highlight w:val="none"/>
          <w:lang w:eastAsia="zh-CN"/>
        </w:rPr>
        <w:t>充（换）电</w:t>
      </w:r>
      <w:r>
        <w:rPr>
          <w:rFonts w:hint="default" w:ascii="Times New Roman" w:hAnsi="Times New Roman" w:cs="Times New Roman"/>
          <w:highlight w:val="none"/>
        </w:rPr>
        <w:t>设施运营商代为运营，并</w:t>
      </w:r>
      <w:r>
        <w:rPr>
          <w:rFonts w:hint="eastAsia" w:cs="Times New Roman"/>
          <w:highlight w:val="none"/>
          <w:lang w:eastAsia="zh-CN"/>
        </w:rPr>
        <w:t>签订</w:t>
      </w:r>
      <w:r>
        <w:rPr>
          <w:rFonts w:hint="default" w:ascii="Times New Roman" w:hAnsi="Times New Roman" w:cs="Times New Roman"/>
          <w:highlight w:val="none"/>
        </w:rPr>
        <w:t>安全管理协议。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val="en-US" w:eastAsia="zh-CN"/>
        </w:rPr>
        <w:t>公用</w:t>
      </w:r>
      <w:r>
        <w:rPr>
          <w:rFonts w:hint="eastAsia" w:cs="Times New Roman"/>
          <w:highlight w:val="none"/>
          <w:lang w:eastAsia="zh-CN"/>
        </w:rPr>
        <w:t>充（换）电</w:t>
      </w:r>
      <w:r>
        <w:rPr>
          <w:rFonts w:hint="default" w:ascii="Times New Roman" w:hAnsi="Times New Roman" w:cs="Times New Roman"/>
          <w:highlight w:val="none"/>
        </w:rPr>
        <w:t>设施运营期间，应</w:t>
      </w:r>
      <w:r>
        <w:rPr>
          <w:rFonts w:hint="eastAsia" w:cs="Times New Roman"/>
          <w:highlight w:val="none"/>
          <w:lang w:val="en-US" w:eastAsia="zh-CN"/>
        </w:rPr>
        <w:t>全面接入</w:t>
      </w:r>
      <w:r>
        <w:rPr>
          <w:rFonts w:hint="default" w:ascii="Times New Roman" w:hAnsi="Times New Roman" w:cs="Times New Roman"/>
          <w:highlight w:val="none"/>
          <w:lang w:eastAsia="zh-CN"/>
        </w:rPr>
        <w:t>省充电设施监管服务平台</w:t>
      </w:r>
      <w:r>
        <w:rPr>
          <w:rFonts w:hint="eastAsia" w:cs="Times New Roman"/>
          <w:highlight w:val="none"/>
          <w:lang w:eastAsia="zh-CN"/>
        </w:rPr>
        <w:t>，</w:t>
      </w:r>
      <w:r>
        <w:rPr>
          <w:rFonts w:hint="eastAsia" w:cs="Times New Roman"/>
          <w:highlight w:val="none"/>
          <w:lang w:val="en-US" w:eastAsia="zh-CN"/>
        </w:rPr>
        <w:t>并按照相关标准规定</w:t>
      </w:r>
      <w:r>
        <w:rPr>
          <w:rFonts w:hint="default" w:ascii="Times New Roman" w:hAnsi="Times New Roman" w:cs="Times New Roman"/>
          <w:highlight w:val="none"/>
        </w:rPr>
        <w:t>向</w:t>
      </w:r>
      <w:r>
        <w:rPr>
          <w:rFonts w:hint="default" w:ascii="Times New Roman" w:hAnsi="Times New Roman" w:cs="Times New Roman"/>
          <w:highlight w:val="none"/>
          <w:lang w:eastAsia="zh-CN"/>
        </w:rPr>
        <w:t>省</w:t>
      </w:r>
      <w:r>
        <w:rPr>
          <w:rFonts w:hint="eastAsia" w:cs="Times New Roman"/>
          <w:highlight w:val="none"/>
          <w:lang w:eastAsia="zh-CN"/>
        </w:rPr>
        <w:t>充电</w:t>
      </w:r>
      <w:r>
        <w:rPr>
          <w:rFonts w:hint="default" w:ascii="Times New Roman" w:hAnsi="Times New Roman" w:cs="Times New Roman"/>
          <w:highlight w:val="none"/>
          <w:lang w:eastAsia="zh-CN"/>
        </w:rPr>
        <w:t>设施监管服务平台</w:t>
      </w:r>
      <w:r>
        <w:rPr>
          <w:rFonts w:hint="default" w:ascii="Times New Roman" w:hAnsi="Times New Roman" w:cs="Times New Roman"/>
          <w:highlight w:val="none"/>
        </w:rPr>
        <w:t>实时推送</w:t>
      </w:r>
      <w:r>
        <w:rPr>
          <w:rFonts w:hint="eastAsia" w:cs="Times New Roman"/>
          <w:highlight w:val="none"/>
          <w:lang w:eastAsia="zh-CN"/>
        </w:rPr>
        <w:t>充（换）电</w:t>
      </w:r>
      <w:r>
        <w:rPr>
          <w:rFonts w:hint="default" w:ascii="Times New Roman" w:hAnsi="Times New Roman" w:cs="Times New Roman"/>
          <w:highlight w:val="none"/>
        </w:rPr>
        <w:t>量、订单费用等运营数据。</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cs="Times New Roman"/>
          <w:highlight w:val="none"/>
        </w:rPr>
        <w:t>公用</w:t>
      </w:r>
      <w:r>
        <w:rPr>
          <w:rFonts w:hint="eastAsia" w:cs="Times New Roman"/>
          <w:highlight w:val="none"/>
          <w:lang w:eastAsia="zh-CN"/>
        </w:rPr>
        <w:t>充（换）电</w:t>
      </w:r>
      <w:r>
        <w:rPr>
          <w:rFonts w:hint="default" w:cs="Times New Roman"/>
          <w:highlight w:val="none"/>
        </w:rPr>
        <w:t>设施场</w:t>
      </w:r>
      <w:r>
        <w:rPr>
          <w:rFonts w:hint="eastAsia" w:cs="Times New Roman"/>
          <w:highlight w:val="none"/>
          <w:lang w:val="en-US" w:eastAsia="zh-CN"/>
        </w:rPr>
        <w:t>站</w:t>
      </w:r>
      <w:r>
        <w:rPr>
          <w:rFonts w:hint="default" w:cs="Times New Roman"/>
          <w:highlight w:val="none"/>
        </w:rPr>
        <w:t>应当按照《图形标志 电动汽车充换电设施标志》（GB/T 31525）的规定，设置完备的充（换）电设施标识标志。道路主管部门和公安机关交通管理部门应当积极支持充（换）电设施建设运营企业在充（换）电站周边设立充（换）电站指示牌。</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default" w:ascii="Times New Roman" w:hAnsi="Times New Roman" w:cs="Times New Roman"/>
          <w:highlight w:val="none"/>
        </w:rPr>
        <w:t>充电设施运营</w:t>
      </w:r>
      <w:r>
        <w:rPr>
          <w:rFonts w:hint="eastAsia" w:cs="Times New Roman"/>
          <w:highlight w:val="none"/>
          <w:lang w:val="en-US" w:eastAsia="zh-CN"/>
        </w:rPr>
        <w:t>商应按照相关标准</w:t>
      </w:r>
      <w:r>
        <w:rPr>
          <w:rFonts w:hint="default" w:ascii="Times New Roman" w:hAnsi="Times New Roman" w:cs="Times New Roman"/>
          <w:highlight w:val="none"/>
        </w:rPr>
        <w:t>规定向电动汽车用户收取电费及服务费两项费用。电费和服务费应</w:t>
      </w:r>
      <w:r>
        <w:rPr>
          <w:rFonts w:hint="eastAsia" w:cs="Times New Roman"/>
          <w:highlight w:val="none"/>
          <w:lang w:val="en-US" w:eastAsia="zh-CN"/>
        </w:rPr>
        <w:t>按照有关规定</w:t>
      </w:r>
      <w:r>
        <w:rPr>
          <w:rFonts w:hint="default" w:ascii="Times New Roman" w:hAnsi="Times New Roman" w:cs="Times New Roman"/>
          <w:highlight w:val="none"/>
        </w:rPr>
        <w:t>明码标价。</w:t>
      </w:r>
    </w:p>
    <w:p>
      <w:pPr>
        <w:pStyle w:val="6"/>
        <w:spacing w:beforeLines="0" w:afterLines="0" w:line="579" w:lineRule="exact"/>
        <w:ind w:firstLine="640"/>
        <w:rPr>
          <w:rFonts w:hint="default"/>
          <w:highlight w:val="none"/>
        </w:rPr>
      </w:pPr>
      <w:r>
        <w:rPr>
          <w:rFonts w:hint="default" w:cs="Times New Roman"/>
          <w:highlight w:val="none"/>
        </w:rPr>
        <w:t>换电设施运营</w:t>
      </w:r>
      <w:r>
        <w:rPr>
          <w:rFonts w:hint="eastAsia" w:cs="Times New Roman"/>
          <w:highlight w:val="none"/>
          <w:lang w:val="en-US" w:eastAsia="zh-CN"/>
        </w:rPr>
        <w:t>商</w:t>
      </w:r>
      <w:r>
        <w:rPr>
          <w:rFonts w:hint="default" w:cs="Times New Roman"/>
          <w:highlight w:val="none"/>
        </w:rPr>
        <w:t>可按提供的服务内容向电动汽车用户收取电费、充（换）电服务费、电池使用服务费等，收取方式可按度电、里程、按次或双方约定的收费方式收取，费用标准应当明码标价。</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cs="Times New Roman"/>
          <w:highlight w:val="none"/>
        </w:rPr>
        <w:t>公</w:t>
      </w:r>
      <w:r>
        <w:rPr>
          <w:rFonts w:hint="eastAsia" w:cs="Times New Roman"/>
          <w:highlight w:val="none"/>
          <w:lang w:val="en-US" w:eastAsia="zh-CN"/>
        </w:rPr>
        <w:t>用</w:t>
      </w:r>
      <w:r>
        <w:rPr>
          <w:rFonts w:hint="eastAsia" w:cs="Times New Roman"/>
          <w:highlight w:val="none"/>
          <w:lang w:eastAsia="zh-CN"/>
        </w:rPr>
        <w:t>充（换）电</w:t>
      </w:r>
      <w:r>
        <w:rPr>
          <w:rFonts w:hint="default" w:cs="Times New Roman"/>
          <w:highlight w:val="none"/>
        </w:rPr>
        <w:t>设施运营商</w:t>
      </w:r>
      <w:r>
        <w:rPr>
          <w:rFonts w:hint="default" w:ascii="Times New Roman" w:hAnsi="Times New Roman" w:cs="Times New Roman"/>
          <w:highlight w:val="none"/>
        </w:rPr>
        <w:t>应当综合运用互联网、人工智能、大数据等技术，提升</w:t>
      </w:r>
      <w:r>
        <w:rPr>
          <w:rFonts w:hint="eastAsia" w:cs="Times New Roman"/>
          <w:highlight w:val="none"/>
          <w:lang w:eastAsia="zh-CN"/>
        </w:rPr>
        <w:t>充（换）电</w:t>
      </w:r>
      <w:r>
        <w:rPr>
          <w:rFonts w:hint="default" w:ascii="Times New Roman" w:hAnsi="Times New Roman" w:cs="Times New Roman"/>
          <w:highlight w:val="none"/>
        </w:rPr>
        <w:t>服务的智能化水平。</w:t>
      </w:r>
      <w:r>
        <w:rPr>
          <w:rFonts w:hint="eastAsia" w:cs="Times New Roman"/>
          <w:highlight w:val="none"/>
          <w:lang w:val="en-US" w:eastAsia="zh-CN"/>
        </w:rPr>
        <w:t>鼓励充电设施运营商探索智能有序充电、V2G等技术</w:t>
      </w:r>
      <w:r>
        <w:rPr>
          <w:rFonts w:hint="eastAsia" w:cs="Times New Roman"/>
          <w:highlight w:val="none"/>
          <w:lang w:eastAsia="zh-CN"/>
        </w:rPr>
        <w:t>，</w:t>
      </w:r>
      <w:r>
        <w:rPr>
          <w:rFonts w:hint="eastAsia" w:cs="Times New Roman"/>
          <w:highlight w:val="none"/>
          <w:lang w:val="en-US" w:eastAsia="zh-CN"/>
        </w:rPr>
        <w:t>换电设施运营商探索换电站双向充放电</w:t>
      </w:r>
      <w:r>
        <w:rPr>
          <w:rFonts w:hint="default" w:cs="Times New Roman"/>
          <w:highlight w:val="none"/>
        </w:rPr>
        <w:t>等技术，促进新能源汽车和智能电网间能量与信息的双向互动。</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鼓励有条件的专用和自用充电设施向社会公众开放。提供收费充电服务的专用、自用充电设施，应当接入</w:t>
      </w:r>
      <w:r>
        <w:rPr>
          <w:rFonts w:hint="default" w:ascii="Times New Roman" w:hAnsi="Times New Roman" w:cs="Times New Roman"/>
          <w:highlight w:val="none"/>
          <w:lang w:eastAsia="zh-CN"/>
        </w:rPr>
        <w:t>省充电设施监管服务平台</w:t>
      </w:r>
      <w:r>
        <w:rPr>
          <w:rFonts w:hint="default" w:ascii="Times New Roman" w:hAnsi="Times New Roman" w:cs="Times New Roman"/>
          <w:highlight w:val="none"/>
        </w:rPr>
        <w:t>，并遵守公</w:t>
      </w:r>
      <w:r>
        <w:rPr>
          <w:rFonts w:hint="eastAsia" w:cs="Times New Roman"/>
          <w:highlight w:val="none"/>
          <w:lang w:val="en-US" w:eastAsia="zh-CN"/>
        </w:rPr>
        <w:t>用</w:t>
      </w:r>
      <w:r>
        <w:rPr>
          <w:rFonts w:hint="default" w:ascii="Times New Roman" w:hAnsi="Times New Roman" w:cs="Times New Roman"/>
          <w:highlight w:val="none"/>
        </w:rPr>
        <w:t>充电设施运营的相关规定。</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eastAsia" w:cs="Times New Roman"/>
          <w:highlight w:val="none"/>
          <w:lang w:val="en-US" w:eastAsia="zh-CN"/>
        </w:rPr>
        <w:t>基础</w:t>
      </w:r>
      <w:r>
        <w:rPr>
          <w:rFonts w:hint="default" w:ascii="Times New Roman" w:hAnsi="Times New Roman" w:cs="Times New Roman"/>
          <w:highlight w:val="none"/>
        </w:rPr>
        <w:t>设施</w:t>
      </w:r>
      <w:r>
        <w:rPr>
          <w:rFonts w:hint="eastAsia" w:cs="Times New Roman"/>
          <w:highlight w:val="none"/>
          <w:lang w:val="en-US" w:eastAsia="zh-CN"/>
        </w:rPr>
        <w:t>的</w:t>
      </w:r>
      <w:r>
        <w:rPr>
          <w:rFonts w:hint="default" w:ascii="Times New Roman" w:hAnsi="Times New Roman" w:cs="Times New Roman"/>
          <w:highlight w:val="none"/>
        </w:rPr>
        <w:t>电能计量</w:t>
      </w:r>
      <w:r>
        <w:rPr>
          <w:rFonts w:hint="eastAsia" w:cs="Times New Roman"/>
          <w:highlight w:val="none"/>
          <w:lang w:val="en-US" w:eastAsia="zh-CN"/>
        </w:rPr>
        <w:t>功能</w:t>
      </w:r>
      <w:r>
        <w:rPr>
          <w:rFonts w:hint="default" w:ascii="Times New Roman" w:hAnsi="Times New Roman" w:cs="Times New Roman"/>
          <w:highlight w:val="none"/>
        </w:rPr>
        <w:t>应符合《电动汽车非车载充电机电能计量》（GB/T 29318）、《电动汽车交流充电桩电能计量》（GB/T 28569）等标准规定。竣工验收时、投入运营前应当计量检定。公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设施在投入运营后，</w:t>
      </w:r>
      <w:r>
        <w:rPr>
          <w:rFonts w:hint="default" w:ascii="Times New Roman" w:hAnsi="Times New Roman" w:eastAsia="仿宋_GB2312" w:cs="Times New Roman"/>
          <w:highlight w:val="none"/>
        </w:rPr>
        <w:t>电能计量装置</w:t>
      </w:r>
      <w:r>
        <w:rPr>
          <w:rFonts w:hint="default" w:ascii="Times New Roman" w:hAnsi="Times New Roman" w:cs="Times New Roman"/>
          <w:highlight w:val="none"/>
        </w:rPr>
        <w:t>应定期进行检定。</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公</w:t>
      </w:r>
      <w:r>
        <w:rPr>
          <w:rFonts w:hint="eastAsia" w:eastAsia="仿宋_GB2312" w:cs="Times New Roman"/>
          <w:highlight w:val="none"/>
          <w:lang w:val="en-US" w:eastAsia="zh-CN"/>
        </w:rPr>
        <w:t>用</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设施的电能计量装置应安装在最接近</w:t>
      </w:r>
      <w:r>
        <w:rPr>
          <w:rFonts w:hint="eastAsia" w:eastAsia="仿宋_GB2312" w:cs="Times New Roman"/>
          <w:highlight w:val="none"/>
          <w:lang w:val="en-US" w:eastAsia="zh-CN"/>
        </w:rPr>
        <w:t>充电桩</w:t>
      </w:r>
      <w:r>
        <w:rPr>
          <w:rFonts w:hint="default" w:ascii="Times New Roman" w:hAnsi="Times New Roman" w:eastAsia="仿宋_GB2312" w:cs="Times New Roman"/>
          <w:highlight w:val="none"/>
        </w:rPr>
        <w:t>电缆的位置</w:t>
      </w:r>
      <w:r>
        <w:rPr>
          <w:rFonts w:hint="eastAsia" w:eastAsia="仿宋_GB2312" w:cs="Times New Roman"/>
          <w:highlight w:val="none"/>
          <w:lang w:val="en-US" w:eastAsia="zh-CN"/>
        </w:rPr>
        <w:t>或以电池充电电量为准</w:t>
      </w:r>
      <w:r>
        <w:rPr>
          <w:rFonts w:hint="default" w:ascii="Times New Roman" w:hAnsi="Times New Roman" w:eastAsia="仿宋_GB2312" w:cs="Times New Roman"/>
          <w:highlight w:val="none"/>
        </w:rPr>
        <w:t>，避免将</w:t>
      </w:r>
      <w:r>
        <w:rPr>
          <w:rFonts w:hint="eastAsia" w:eastAsia="仿宋_GB2312" w:cs="Times New Roman"/>
          <w:highlight w:val="none"/>
          <w:lang w:val="en-US" w:eastAsia="zh-CN"/>
        </w:rPr>
        <w:t>充（换）电设施</w:t>
      </w:r>
      <w:r>
        <w:rPr>
          <w:rFonts w:hint="default" w:ascii="Times New Roman" w:hAnsi="Times New Roman" w:eastAsia="仿宋_GB2312" w:cs="Times New Roman"/>
          <w:highlight w:val="none"/>
        </w:rPr>
        <w:t>自身消耗的电能</w:t>
      </w:r>
      <w:r>
        <w:rPr>
          <w:rFonts w:hint="eastAsia" w:eastAsia="仿宋_GB2312" w:cs="Times New Roman"/>
          <w:highlight w:val="none"/>
          <w:lang w:val="en-US" w:eastAsia="zh-CN"/>
        </w:rPr>
        <w:t>转嫁给</w:t>
      </w:r>
      <w:r>
        <w:rPr>
          <w:rFonts w:hint="default" w:ascii="Times New Roman" w:hAnsi="Times New Roman" w:eastAsia="仿宋_GB2312" w:cs="Times New Roman"/>
          <w:highlight w:val="none"/>
        </w:rPr>
        <w:t>用户。</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eastAsia" w:ascii="Times New Roman" w:hAnsi="Times New Roman" w:eastAsia="仿宋_GB2312" w:cs="Times New Roman"/>
          <w:highlight w:val="none"/>
        </w:rPr>
      </w:pPr>
      <w:r>
        <w:rPr>
          <w:rFonts w:hint="eastAsia" w:cs="Times New Roman"/>
          <w:highlight w:val="none"/>
        </w:rPr>
        <w:t>充（换）电基础设施制造企业、销售企业依据《中华人民共和国安全生产法》</w:t>
      </w:r>
      <w:bookmarkStart w:id="0" w:name="_GoBack"/>
      <w:bookmarkEnd w:id="0"/>
      <w:r>
        <w:rPr>
          <w:rFonts w:hint="eastAsia" w:cs="Times New Roman"/>
          <w:highlight w:val="none"/>
        </w:rPr>
        <w:t>《中华人民共和国产品质量法》《关于进一步提升电动汽车充电基础设施服务保障能力的实施意见》</w:t>
      </w:r>
      <w:r>
        <w:rPr>
          <w:rFonts w:hint="eastAsia" w:ascii="Times New Roman" w:hAnsi="Times New Roman" w:eastAsia="仿宋_GB2312" w:cs="Times New Roman"/>
          <w:i w:val="0"/>
          <w:iCs w:val="0"/>
          <w:caps w:val="0"/>
          <w:color w:val="222222"/>
          <w:spacing w:val="0"/>
          <w:sz w:val="32"/>
          <w:szCs w:val="32"/>
          <w:highlight w:val="none"/>
          <w:shd w:val="clear" w:fill="auto"/>
        </w:rPr>
        <w:t>（发改能源规〔2022〕53号）</w:t>
      </w:r>
      <w:r>
        <w:rPr>
          <w:rFonts w:hint="eastAsia" w:cs="Times New Roman"/>
          <w:highlight w:val="none"/>
        </w:rPr>
        <w:t>等确保充（换）电基础设施产品质量。</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基础设施投资建设主体或受其委托负责运营的企业承担</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基础设施维护责任。</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涉及</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基础设施的侵权责任按照《中华人民共和国民法典》有关规定，由侵权人承担。</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w:t>
      </w:r>
      <w:r>
        <w:rPr>
          <w:rFonts w:hint="default" w:ascii="Times New Roman" w:hAnsi="Times New Roman" w:eastAsia="仿宋_GB2312" w:cs="Times New Roman"/>
          <w:highlight w:val="none"/>
        </w:rPr>
        <w:t>施制造企业应当为本企业生产的</w:t>
      </w:r>
      <w:r>
        <w:rPr>
          <w:rFonts w:hint="eastAsia" w:cs="Times New Roman"/>
          <w:highlight w:val="none"/>
          <w:lang w:eastAsia="zh-CN"/>
        </w:rPr>
        <w:t>充（换）电</w:t>
      </w:r>
      <w:r>
        <w:rPr>
          <w:rFonts w:hint="default" w:ascii="Times New Roman" w:hAnsi="Times New Roman" w:eastAsia="仿宋_GB2312" w:cs="Times New Roman"/>
          <w:highlight w:val="none"/>
        </w:rPr>
        <w:t>基础设施购买产品责任保险。</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设施运营商应当为本企业运营的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基础设施购买安全责任保险。</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鼓励</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设施制造企业、电动汽车生产销售企业、</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设施运营商为私人充电设施用户购买安全责任保险。</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基础设施站点应当按照相关标准规定建立站级监控系统，保</w:t>
      </w:r>
      <w:r>
        <w:rPr>
          <w:rFonts w:hint="default" w:ascii="Times New Roman" w:hAnsi="Times New Roman" w:eastAsia="仿宋_GB2312" w:cs="Times New Roman"/>
          <w:highlight w:val="none"/>
        </w:rPr>
        <w:t>证</w:t>
      </w:r>
      <w:r>
        <w:rPr>
          <w:rFonts w:hint="eastAsia" w:cs="Times New Roman"/>
          <w:highlight w:val="none"/>
          <w:lang w:eastAsia="zh-CN"/>
        </w:rPr>
        <w:t>充（换）电</w:t>
      </w:r>
      <w:r>
        <w:rPr>
          <w:rFonts w:hint="default" w:ascii="Times New Roman" w:hAnsi="Times New Roman" w:eastAsia="仿宋_GB2312" w:cs="Times New Roman"/>
          <w:highlight w:val="none"/>
        </w:rPr>
        <w:t>站安全稳定运行。</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从事</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基础设施运营的企业应当建立企业级</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基础设施运行监测系统，对所负责运营的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w:t>
      </w:r>
      <w:r>
        <w:rPr>
          <w:rFonts w:hint="eastAsia" w:eastAsia="仿宋_GB2312" w:cs="Times New Roman"/>
          <w:highlight w:val="none"/>
          <w:lang w:eastAsia="zh-CN"/>
        </w:rPr>
        <w:t>实时</w:t>
      </w:r>
      <w:r>
        <w:rPr>
          <w:rFonts w:hint="default" w:ascii="Times New Roman" w:hAnsi="Times New Roman" w:eastAsia="仿宋_GB2312" w:cs="Times New Roman"/>
          <w:highlight w:val="none"/>
        </w:rPr>
        <w:t>监测。</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站级监控系统、企业级</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基础设施运行监测系统应当按照规定接入政府相关安全监控系统。</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充（换）电</w:t>
      </w:r>
      <w:r>
        <w:rPr>
          <w:rFonts w:hint="default" w:ascii="Times New Roman" w:hAnsi="Times New Roman" w:cs="Times New Roman"/>
          <w:highlight w:val="none"/>
        </w:rPr>
        <w:t>设施运营商应当承担</w:t>
      </w:r>
      <w:r>
        <w:rPr>
          <w:rFonts w:hint="eastAsia" w:cs="Times New Roman"/>
          <w:highlight w:val="none"/>
          <w:lang w:eastAsia="zh-CN"/>
        </w:rPr>
        <w:t>充（换）电</w:t>
      </w:r>
      <w:r>
        <w:rPr>
          <w:rFonts w:hint="default" w:ascii="Times New Roman" w:hAnsi="Times New Roman" w:cs="Times New Roman"/>
          <w:highlight w:val="none"/>
        </w:rPr>
        <w:t>设施维修更新养护及侵害第三者权益责任。从事</w:t>
      </w:r>
      <w:r>
        <w:rPr>
          <w:rFonts w:hint="eastAsia" w:cs="Times New Roman"/>
          <w:highlight w:val="none"/>
          <w:lang w:eastAsia="zh-CN"/>
        </w:rPr>
        <w:t>充（换）电</w:t>
      </w:r>
      <w:r>
        <w:rPr>
          <w:rFonts w:hint="default" w:ascii="Times New Roman" w:hAnsi="Times New Roman" w:cs="Times New Roman"/>
          <w:highlight w:val="none"/>
        </w:rPr>
        <w:t>基础设施维护或运营的企业应当按照相关标准规定，建立</w:t>
      </w:r>
      <w:r>
        <w:rPr>
          <w:rFonts w:hint="eastAsia" w:cs="Times New Roman"/>
          <w:highlight w:val="none"/>
          <w:lang w:eastAsia="zh-CN"/>
        </w:rPr>
        <w:t>充（换）电</w:t>
      </w:r>
      <w:r>
        <w:rPr>
          <w:rFonts w:hint="default" w:ascii="Times New Roman" w:hAnsi="Times New Roman" w:cs="Times New Roman"/>
          <w:highlight w:val="none"/>
        </w:rPr>
        <w:t>基础设施运行维护管理制度并严格实施，及时处理</w:t>
      </w:r>
      <w:r>
        <w:rPr>
          <w:rFonts w:hint="eastAsia" w:cs="Times New Roman"/>
          <w:highlight w:val="none"/>
          <w:lang w:eastAsia="zh-CN"/>
        </w:rPr>
        <w:t>充（换）电</w:t>
      </w:r>
      <w:r>
        <w:rPr>
          <w:rFonts w:hint="default" w:ascii="Times New Roman" w:hAnsi="Times New Roman" w:cs="Times New Roman"/>
          <w:highlight w:val="none"/>
        </w:rPr>
        <w:t>基础设施故障，及时受理用户咨询和投诉。</w:t>
      </w:r>
    </w:p>
    <w:p>
      <w:pPr>
        <w:pStyle w:val="6"/>
        <w:spacing w:beforeLines="0" w:afterLines="0" w:line="579" w:lineRule="exact"/>
        <w:ind w:firstLine="640"/>
        <w:rPr>
          <w:rFonts w:hint="default"/>
          <w:highlight w:val="none"/>
        </w:rPr>
      </w:pPr>
      <w:r>
        <w:rPr>
          <w:rFonts w:hint="eastAsia" w:cs="Times New Roman"/>
          <w:highlight w:val="none"/>
        </w:rPr>
        <w:t>对于</w:t>
      </w:r>
      <w:r>
        <w:rPr>
          <w:rFonts w:hint="eastAsia" w:cs="Times New Roman"/>
          <w:highlight w:val="none"/>
          <w:lang w:val="en-US" w:eastAsia="zh-CN"/>
        </w:rPr>
        <w:t>公用</w:t>
      </w:r>
      <w:r>
        <w:rPr>
          <w:rFonts w:hint="eastAsia" w:cs="Times New Roman"/>
          <w:highlight w:val="none"/>
        </w:rPr>
        <w:t>充电</w:t>
      </w:r>
      <w:r>
        <w:rPr>
          <w:rFonts w:hint="eastAsia" w:cs="Times New Roman"/>
          <w:highlight w:val="none"/>
          <w:lang w:val="en-US" w:eastAsia="zh-CN"/>
        </w:rPr>
        <w:t>设施</w:t>
      </w:r>
      <w:r>
        <w:rPr>
          <w:rFonts w:hint="eastAsia" w:cs="Times New Roman"/>
          <w:highlight w:val="none"/>
        </w:rPr>
        <w:t>，充电运营商负责运行维护管理，履行安全生产主体责任，为自身经营的充电桩购买充电安全责任保险并承担相应安全管理责任</w:t>
      </w:r>
      <w:r>
        <w:rPr>
          <w:rFonts w:hint="eastAsia" w:cs="Times New Roman"/>
          <w:highlight w:val="none"/>
          <w:lang w:eastAsia="zh-CN"/>
        </w:rPr>
        <w:t>，</w:t>
      </w:r>
      <w:r>
        <w:rPr>
          <w:rFonts w:hint="eastAsia" w:cs="Times New Roman"/>
          <w:highlight w:val="none"/>
          <w:lang w:val="en-US" w:eastAsia="zh-CN"/>
        </w:rPr>
        <w:t>加强</w:t>
      </w:r>
      <w:r>
        <w:rPr>
          <w:rFonts w:hint="eastAsia" w:cs="Times New Roman"/>
          <w:highlight w:val="none"/>
        </w:rPr>
        <w:t>老旧公共充电</w:t>
      </w:r>
      <w:r>
        <w:rPr>
          <w:rFonts w:hint="eastAsia" w:cs="Times New Roman"/>
          <w:highlight w:val="none"/>
          <w:lang w:val="en-US" w:eastAsia="zh-CN"/>
        </w:rPr>
        <w:t>设施</w:t>
      </w:r>
      <w:r>
        <w:rPr>
          <w:rFonts w:hint="eastAsia" w:cs="Times New Roman"/>
          <w:highlight w:val="none"/>
        </w:rPr>
        <w:t>的运维保养与设备更新。</w:t>
      </w:r>
    </w:p>
    <w:p>
      <w:pPr>
        <w:pStyle w:val="5"/>
        <w:spacing w:beforeLines="0" w:afterLines="0" w:line="579" w:lineRule="exact"/>
        <w:ind w:firstLine="640"/>
        <w:rPr>
          <w:rFonts w:hint="default" w:eastAsia="仿宋_GB2312" w:cs="Times New Roman"/>
          <w:highlight w:val="none"/>
        </w:rPr>
      </w:pPr>
      <w:r>
        <w:rPr>
          <w:rFonts w:hint="default" w:eastAsia="仿宋_GB2312" w:cs="Times New Roman"/>
          <w:highlight w:val="none"/>
        </w:rPr>
        <w:t>对于自用充电</w:t>
      </w:r>
      <w:r>
        <w:rPr>
          <w:rFonts w:hint="default" w:eastAsia="仿宋_GB2312" w:cs="Times New Roman"/>
          <w:highlight w:val="none"/>
          <w:lang w:val="en-US" w:eastAsia="zh-CN"/>
        </w:rPr>
        <w:t>设施</w:t>
      </w:r>
      <w:r>
        <w:rPr>
          <w:rFonts w:hint="default" w:eastAsia="仿宋_GB2312" w:cs="Times New Roman"/>
          <w:highlight w:val="none"/>
        </w:rPr>
        <w:t>，</w:t>
      </w:r>
      <w:r>
        <w:rPr>
          <w:rFonts w:hint="default" w:eastAsia="仿宋_GB2312" w:cs="Times New Roman"/>
          <w:highlight w:val="none"/>
          <w:lang w:val="en-US" w:eastAsia="zh-CN"/>
        </w:rPr>
        <w:t>所有权人</w:t>
      </w:r>
      <w:r>
        <w:rPr>
          <w:rFonts w:hint="default" w:eastAsia="仿宋_GB2312" w:cs="Times New Roman"/>
          <w:highlight w:val="none"/>
        </w:rPr>
        <w:t>应负责运行维护管理，承担安全管理主体责任</w:t>
      </w:r>
      <w:r>
        <w:rPr>
          <w:rFonts w:hint="eastAsia" w:eastAsia="仿宋_GB2312" w:cs="Times New Roman"/>
          <w:highlight w:val="none"/>
          <w:lang w:eastAsia="zh-CN"/>
        </w:rPr>
        <w:t>。</w:t>
      </w:r>
      <w:r>
        <w:rPr>
          <w:rFonts w:hint="default" w:eastAsia="仿宋_GB2312" w:cs="Times New Roman"/>
          <w:highlight w:val="none"/>
          <w:lang w:val="en-US" w:eastAsia="zh-CN"/>
        </w:rPr>
        <w:t>所在</w:t>
      </w:r>
      <w:r>
        <w:rPr>
          <w:rFonts w:hint="default" w:eastAsia="仿宋_GB2312" w:cs="Times New Roman"/>
          <w:highlight w:val="none"/>
        </w:rPr>
        <w:t>区物业服务企业在日常巡检巡视发现安全隐患时，应当提醒</w:t>
      </w:r>
      <w:r>
        <w:rPr>
          <w:rFonts w:hint="default" w:eastAsia="仿宋_GB2312" w:cs="Times New Roman"/>
          <w:highlight w:val="none"/>
          <w:lang w:val="en-US" w:eastAsia="zh-CN"/>
        </w:rPr>
        <w:t>自用充电设施</w:t>
      </w:r>
      <w:r>
        <w:rPr>
          <w:rFonts w:hint="default" w:eastAsia="仿宋_GB2312" w:cs="Times New Roman"/>
          <w:highlight w:val="none"/>
        </w:rPr>
        <w:t>所有权人履行安全管理责任</w:t>
      </w:r>
      <w:r>
        <w:rPr>
          <w:rFonts w:hint="default" w:eastAsia="仿宋_GB2312" w:cs="Times New Roman"/>
          <w:highlight w:val="none"/>
          <w:lang w:eastAsia="zh-CN"/>
        </w:rPr>
        <w:t>，</w:t>
      </w:r>
      <w:r>
        <w:rPr>
          <w:rFonts w:hint="default" w:eastAsia="仿宋_GB2312" w:cs="Times New Roman"/>
          <w:highlight w:val="none"/>
        </w:rPr>
        <w:t>如遇紧急情况应立即采取关闭电源、消防应急等措施。物业主管部门负责指导物业服务企业按照物业服务合同约定及相关法律法规规定，履行小区车位相应安全管理责任。</w:t>
      </w:r>
    </w:p>
    <w:p>
      <w:pPr>
        <w:pStyle w:val="6"/>
        <w:spacing w:beforeLines="0" w:afterLines="0" w:line="579" w:lineRule="exact"/>
        <w:ind w:firstLine="640"/>
        <w:rPr>
          <w:rFonts w:hint="default" w:eastAsia="仿宋_GB2312" w:cs="Times New Roman"/>
          <w:highlight w:val="none"/>
        </w:rPr>
      </w:pPr>
      <w:r>
        <w:rPr>
          <w:rFonts w:hint="eastAsia" w:cs="Times New Roman"/>
          <w:highlight w:val="none"/>
        </w:rPr>
        <w:t>电动汽车生产（销售）企业、充电</w:t>
      </w:r>
      <w:r>
        <w:rPr>
          <w:rFonts w:hint="eastAsia" w:cs="Times New Roman"/>
          <w:highlight w:val="none"/>
          <w:lang w:val="en-US" w:eastAsia="zh-CN"/>
        </w:rPr>
        <w:t>设备</w:t>
      </w:r>
      <w:r>
        <w:rPr>
          <w:rFonts w:hint="eastAsia" w:cs="Times New Roman"/>
          <w:highlight w:val="none"/>
        </w:rPr>
        <w:t>生产销售企业负责其所提供</w:t>
      </w:r>
      <w:r>
        <w:rPr>
          <w:rFonts w:hint="eastAsia" w:cs="Times New Roman"/>
          <w:highlight w:val="none"/>
          <w:lang w:val="en-US" w:eastAsia="zh-CN"/>
        </w:rPr>
        <w:t>充电设备</w:t>
      </w:r>
      <w:r>
        <w:rPr>
          <w:rFonts w:hint="eastAsia" w:cs="Times New Roman"/>
          <w:highlight w:val="none"/>
        </w:rPr>
        <w:t>的产品质量，负责质保期内充电设备的质量安全。</w:t>
      </w:r>
    </w:p>
    <w:p>
      <w:pPr>
        <w:pStyle w:val="6"/>
        <w:spacing w:beforeLines="0" w:afterLines="0" w:line="579" w:lineRule="exact"/>
        <w:ind w:firstLine="640"/>
        <w:rPr>
          <w:rFonts w:hint="default"/>
          <w:highlight w:val="none"/>
        </w:rPr>
      </w:pPr>
      <w:r>
        <w:rPr>
          <w:rFonts w:hint="eastAsia" w:cs="Times New Roman"/>
          <w:highlight w:val="none"/>
          <w:lang w:eastAsia="zh-CN"/>
        </w:rPr>
        <w:t>充（换）电</w:t>
      </w:r>
      <w:r>
        <w:rPr>
          <w:rFonts w:hint="default" w:cs="Times New Roman"/>
          <w:highlight w:val="none"/>
        </w:rPr>
        <w:t>设施建设运营企业应当自行或委托第三方专业机构定期开展</w:t>
      </w:r>
      <w:r>
        <w:rPr>
          <w:rFonts w:hint="eastAsia" w:cs="Times New Roman"/>
          <w:highlight w:val="none"/>
          <w:lang w:eastAsia="zh-CN"/>
        </w:rPr>
        <w:t>充（换）电</w:t>
      </w:r>
      <w:r>
        <w:rPr>
          <w:rFonts w:hint="default" w:cs="Times New Roman"/>
          <w:highlight w:val="none"/>
        </w:rPr>
        <w:t>设施安全隐患检查，并保留安全检查记录，每半年至少检查一次</w:t>
      </w:r>
      <w:r>
        <w:rPr>
          <w:rFonts w:hint="default" w:ascii="Times New Roman" w:hAnsi="Times New Roman"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highlight w:val="none"/>
        </w:rPr>
      </w:pPr>
      <w:r>
        <w:rPr>
          <w:rFonts w:hint="default" w:ascii="Times New Roman" w:hAnsi="Times New Roman" w:cs="Times New Roman"/>
          <w:highlight w:val="none"/>
        </w:rPr>
        <w:t>充电基础设施所有权人和运营商应会同公</w:t>
      </w:r>
      <w:r>
        <w:rPr>
          <w:rFonts w:hint="eastAsia" w:cs="Times New Roman"/>
          <w:highlight w:val="none"/>
          <w:lang w:val="en-US" w:eastAsia="zh-CN"/>
        </w:rPr>
        <w:t>用</w:t>
      </w:r>
      <w:r>
        <w:rPr>
          <w:rFonts w:hint="default" w:ascii="Times New Roman" w:hAnsi="Times New Roman" w:cs="Times New Roman"/>
          <w:highlight w:val="none"/>
        </w:rPr>
        <w:t>停车场（库）管理单位，加强燃油车与电动汽车的分区停放引导与管理，</w:t>
      </w:r>
      <w:r>
        <w:rPr>
          <w:rFonts w:hint="default" w:cs="Times New Roman"/>
          <w:highlight w:val="none"/>
        </w:rPr>
        <w:t>探索制定</w:t>
      </w:r>
      <w:r>
        <w:rPr>
          <w:rFonts w:hint="eastAsia" w:cs="Times New Roman"/>
          <w:highlight w:val="none"/>
          <w:lang w:val="en-US" w:eastAsia="zh-CN"/>
        </w:rPr>
        <w:t>差异化</w:t>
      </w:r>
      <w:r>
        <w:rPr>
          <w:rFonts w:hint="default" w:cs="Times New Roman"/>
          <w:highlight w:val="none"/>
        </w:rPr>
        <w:t>停车收费标准，</w:t>
      </w:r>
      <w:r>
        <w:rPr>
          <w:rFonts w:hint="default" w:ascii="Times New Roman" w:hAnsi="Times New Roman" w:cs="Times New Roman"/>
          <w:highlight w:val="none"/>
        </w:rPr>
        <w:t>提高</w:t>
      </w:r>
      <w:r>
        <w:rPr>
          <w:rFonts w:hint="eastAsia" w:cs="Times New Roman"/>
          <w:highlight w:val="none"/>
          <w:lang w:val="en-US" w:eastAsia="zh-CN"/>
        </w:rPr>
        <w:t>充电设施</w:t>
      </w:r>
      <w:r>
        <w:rPr>
          <w:rFonts w:hint="default" w:ascii="Times New Roman" w:hAnsi="Times New Roman" w:cs="Times New Roman"/>
          <w:highlight w:val="none"/>
        </w:rPr>
        <w:t>利用率。</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设施退役报废、场地（车位）租赁合同到期或不再使用</w:t>
      </w:r>
      <w:r>
        <w:rPr>
          <w:rFonts w:hint="eastAsia" w:cs="Times New Roman"/>
          <w:highlight w:val="none"/>
          <w:lang w:eastAsia="zh-CN"/>
        </w:rPr>
        <w:t>充（换）电</w:t>
      </w:r>
      <w:r>
        <w:rPr>
          <w:rFonts w:hint="default" w:ascii="Times New Roman" w:hAnsi="Times New Roman" w:cs="Times New Roman"/>
          <w:highlight w:val="none"/>
        </w:rPr>
        <w:t>设施的，</w:t>
      </w:r>
      <w:r>
        <w:rPr>
          <w:rFonts w:hint="eastAsia" w:cs="Times New Roman"/>
          <w:highlight w:val="none"/>
          <w:lang w:eastAsia="zh-CN"/>
        </w:rPr>
        <w:t>充（换）电</w:t>
      </w:r>
      <w:r>
        <w:rPr>
          <w:rFonts w:hint="default" w:ascii="Times New Roman" w:hAnsi="Times New Roman" w:cs="Times New Roman"/>
          <w:highlight w:val="none"/>
        </w:rPr>
        <w:t>基础设施所有权人应在设备停运</w:t>
      </w:r>
      <w:r>
        <w:rPr>
          <w:rFonts w:hint="eastAsia" w:cs="Times New Roman"/>
          <w:highlight w:val="none"/>
          <w:lang w:val="en-US" w:eastAsia="zh-CN"/>
        </w:rPr>
        <w:t>5个工作日</w:t>
      </w:r>
      <w:r>
        <w:rPr>
          <w:rFonts w:hint="default" w:ascii="Times New Roman" w:hAnsi="Times New Roman" w:cs="Times New Roman"/>
          <w:highlight w:val="none"/>
        </w:rPr>
        <w:t>前在</w:t>
      </w:r>
      <w:r>
        <w:rPr>
          <w:rFonts w:hint="default" w:ascii="Times New Roman" w:hAnsi="Times New Roman" w:cs="Times New Roman"/>
          <w:highlight w:val="none"/>
          <w:lang w:eastAsia="zh-CN"/>
        </w:rPr>
        <w:t>省</w:t>
      </w:r>
      <w:r>
        <w:rPr>
          <w:rFonts w:hint="eastAsia" w:cs="Times New Roman"/>
          <w:highlight w:val="none"/>
          <w:lang w:eastAsia="zh-CN"/>
        </w:rPr>
        <w:t>充电</w:t>
      </w:r>
      <w:r>
        <w:rPr>
          <w:rFonts w:hint="default" w:ascii="Times New Roman" w:hAnsi="Times New Roman" w:cs="Times New Roman"/>
          <w:highlight w:val="none"/>
          <w:lang w:eastAsia="zh-CN"/>
        </w:rPr>
        <w:t>设施监管服务平台</w:t>
      </w:r>
      <w:r>
        <w:rPr>
          <w:rFonts w:hint="default" w:ascii="Times New Roman" w:hAnsi="Times New Roman" w:cs="Times New Roman"/>
          <w:highlight w:val="none"/>
        </w:rPr>
        <w:t>上</w:t>
      </w:r>
      <w:r>
        <w:rPr>
          <w:rFonts w:hint="eastAsia" w:cs="Times New Roman"/>
          <w:highlight w:val="none"/>
          <w:lang w:val="en-US" w:eastAsia="zh-CN"/>
        </w:rPr>
        <w:t>登记</w:t>
      </w:r>
      <w:r>
        <w:rPr>
          <w:rFonts w:hint="default" w:ascii="Times New Roman" w:hAnsi="Times New Roman" w:cs="Times New Roman"/>
          <w:highlight w:val="none"/>
        </w:rPr>
        <w:t>退役，并在设备停运当天将</w:t>
      </w:r>
      <w:r>
        <w:rPr>
          <w:rFonts w:hint="eastAsia" w:cs="Times New Roman"/>
          <w:highlight w:val="none"/>
          <w:lang w:eastAsia="zh-CN"/>
        </w:rPr>
        <w:t>充（换）电</w:t>
      </w:r>
      <w:r>
        <w:rPr>
          <w:rFonts w:hint="eastAsia" w:cs="Times New Roman"/>
          <w:highlight w:val="none"/>
          <w:lang w:val="en-US" w:eastAsia="zh-CN"/>
        </w:rPr>
        <w:t>设施</w:t>
      </w:r>
      <w:r>
        <w:rPr>
          <w:rFonts w:hint="default" w:ascii="Times New Roman" w:hAnsi="Times New Roman" w:cs="Times New Roman"/>
          <w:highlight w:val="none"/>
        </w:rPr>
        <w:t>状态变更为“下线”；退役报废后</w:t>
      </w:r>
      <w:r>
        <w:rPr>
          <w:rFonts w:hint="eastAsia" w:cs="Times New Roman"/>
          <w:highlight w:val="none"/>
          <w:lang w:val="en-US" w:eastAsia="zh-CN"/>
        </w:rPr>
        <w:t>应</w:t>
      </w:r>
      <w:r>
        <w:rPr>
          <w:rFonts w:hint="default" w:ascii="Times New Roman" w:hAnsi="Times New Roman" w:cs="Times New Roman"/>
          <w:highlight w:val="none"/>
        </w:rPr>
        <w:t>停止供电，并于停运后20个工作日内完成设备拆除工作。</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cs="Times New Roman"/>
          <w:highlight w:val="none"/>
        </w:rPr>
        <w:t>专</w:t>
      </w:r>
      <w:r>
        <w:rPr>
          <w:rFonts w:hint="default" w:ascii="Times New Roman" w:hAnsi="Times New Roman" w:eastAsia="仿宋_GB2312" w:cs="Times New Roman"/>
          <w:highlight w:val="none"/>
        </w:rPr>
        <w:t>用</w:t>
      </w:r>
      <w:r>
        <w:rPr>
          <w:rFonts w:hint="eastAsia" w:cs="Times New Roman"/>
          <w:highlight w:val="none"/>
          <w:lang w:eastAsia="zh-CN"/>
        </w:rPr>
        <w:t>充电</w:t>
      </w:r>
      <w:r>
        <w:rPr>
          <w:rFonts w:hint="default" w:ascii="Times New Roman" w:hAnsi="Times New Roman" w:eastAsia="仿宋_GB2312" w:cs="Times New Roman"/>
          <w:highlight w:val="none"/>
        </w:rPr>
        <w:t>设施、公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eastAsia="仿宋_GB2312" w:cs="Times New Roman"/>
          <w:highlight w:val="none"/>
        </w:rPr>
        <w:t>设施确需拆除的，应当告知</w:t>
      </w:r>
      <w:r>
        <w:rPr>
          <w:rFonts w:hint="eastAsia" w:cs="Times New Roman"/>
          <w:highlight w:val="none"/>
          <w:lang w:val="en-US" w:eastAsia="zh-CN"/>
        </w:rPr>
        <w:t>县级</w:t>
      </w:r>
      <w:r>
        <w:rPr>
          <w:rFonts w:hint="eastAsia" w:cs="Times New Roman"/>
          <w:highlight w:val="none"/>
          <w:lang w:eastAsia="zh-CN"/>
        </w:rPr>
        <w:t>充（换）电</w:t>
      </w:r>
      <w:r>
        <w:rPr>
          <w:rFonts w:hint="default" w:ascii="Times New Roman" w:hAnsi="Times New Roman" w:eastAsia="仿宋_GB2312" w:cs="Times New Roman"/>
          <w:highlight w:val="none"/>
        </w:rPr>
        <w:t>基础设施主管部门，并向</w:t>
      </w:r>
      <w:r>
        <w:rPr>
          <w:rFonts w:hint="eastAsia" w:cs="Times New Roman"/>
          <w:highlight w:val="none"/>
          <w:lang w:eastAsia="zh-CN"/>
        </w:rPr>
        <w:t>供电企业</w:t>
      </w:r>
      <w:r>
        <w:rPr>
          <w:rFonts w:hint="default" w:ascii="Times New Roman" w:hAnsi="Times New Roman" w:eastAsia="仿宋_GB2312" w:cs="Times New Roman"/>
          <w:highlight w:val="none"/>
        </w:rPr>
        <w:t>办理拆表销户手续。</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自用充电设施确需拆除的，应当向</w:t>
      </w:r>
      <w:r>
        <w:rPr>
          <w:rFonts w:hint="eastAsia" w:eastAsia="仿宋_GB2312" w:cs="Times New Roman"/>
          <w:highlight w:val="none"/>
          <w:lang w:eastAsia="zh-CN"/>
        </w:rPr>
        <w:t>供电企业</w:t>
      </w:r>
      <w:r>
        <w:rPr>
          <w:rFonts w:hint="default" w:ascii="Times New Roman" w:hAnsi="Times New Roman" w:eastAsia="仿宋_GB2312" w:cs="Times New Roman"/>
          <w:highlight w:val="none"/>
        </w:rPr>
        <w:t>办理拆表销户手续。</w:t>
      </w:r>
      <w:r>
        <w:rPr>
          <w:rFonts w:hint="eastAsia" w:eastAsia="仿宋_GB2312" w:cs="Times New Roman"/>
          <w:highlight w:val="none"/>
          <w:lang w:eastAsia="zh-CN"/>
        </w:rPr>
        <w:t>供电企业</w:t>
      </w:r>
      <w:r>
        <w:rPr>
          <w:rFonts w:hint="default" w:ascii="Times New Roman" w:hAnsi="Times New Roman" w:eastAsia="仿宋_GB2312" w:cs="Times New Roman"/>
          <w:highlight w:val="none"/>
        </w:rPr>
        <w:t>应当按季度汇总自用充电设施拆表销户数据，并报</w:t>
      </w:r>
      <w:r>
        <w:rPr>
          <w:rFonts w:hint="eastAsia" w:eastAsia="仿宋_GB2312" w:cs="Times New Roman"/>
          <w:highlight w:val="none"/>
          <w:lang w:val="en-US" w:eastAsia="zh-CN"/>
        </w:rPr>
        <w:t>县级</w:t>
      </w:r>
      <w:r>
        <w:rPr>
          <w:rFonts w:hint="eastAsia" w:eastAsia="仿宋_GB2312" w:cs="Times New Roman"/>
          <w:highlight w:val="none"/>
          <w:lang w:eastAsia="zh-CN"/>
        </w:rPr>
        <w:t>充（换）电基础设施主管部门</w:t>
      </w:r>
      <w:r>
        <w:rPr>
          <w:rFonts w:hint="default" w:ascii="Times New Roman" w:hAnsi="Times New Roman" w:eastAsia="仿宋_GB2312"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eastAsia="仿宋_GB2312"/>
          <w:highlight w:val="none"/>
        </w:rPr>
      </w:pPr>
      <w:r>
        <w:rPr>
          <w:rFonts w:hint="default" w:ascii="Times New Roman" w:hAnsi="Times New Roman" w:cs="Times New Roman"/>
          <w:highlight w:val="none"/>
        </w:rPr>
        <w:t>拆除</w:t>
      </w:r>
      <w:r>
        <w:rPr>
          <w:rFonts w:hint="eastAsia" w:cs="Times New Roman"/>
          <w:highlight w:val="none"/>
          <w:lang w:eastAsia="zh-CN"/>
        </w:rPr>
        <w:t>充（换）电</w:t>
      </w:r>
      <w:r>
        <w:rPr>
          <w:rFonts w:hint="default" w:ascii="Times New Roman" w:hAnsi="Times New Roman" w:cs="Times New Roman"/>
          <w:highlight w:val="none"/>
        </w:rPr>
        <w:t>基础设施由</w:t>
      </w:r>
      <w:r>
        <w:rPr>
          <w:rFonts w:hint="eastAsia" w:cs="Times New Roman"/>
          <w:highlight w:val="none"/>
          <w:lang w:eastAsia="zh-CN"/>
        </w:rPr>
        <w:t>充（换）电</w:t>
      </w:r>
      <w:r>
        <w:rPr>
          <w:rFonts w:hint="default" w:ascii="Times New Roman" w:hAnsi="Times New Roman" w:cs="Times New Roman"/>
          <w:highlight w:val="none"/>
        </w:rPr>
        <w:t>基础设施所有权人负责；拆除作业过程中造成共用部位、共用设施损坏的，责任人应当及时恢复原状、承担赔偿责任。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监督管理</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cs="Times New Roman"/>
          <w:highlight w:val="none"/>
        </w:rPr>
      </w:pPr>
      <w:r>
        <w:rPr>
          <w:rFonts w:hint="default" w:cs="Times New Roman"/>
          <w:highlight w:val="none"/>
        </w:rPr>
        <w:t>电动汽车充电设施安全生产监管职责分工</w:t>
      </w:r>
      <w:r>
        <w:rPr>
          <w:rFonts w:hint="eastAsia" w:cs="Times New Roman"/>
          <w:highlight w:val="none"/>
          <w:lang w:val="en-US" w:eastAsia="zh-CN"/>
        </w:rPr>
        <w:t>如下：</w:t>
      </w:r>
    </w:p>
    <w:p>
      <w:pPr>
        <w:pStyle w:val="5"/>
        <w:spacing w:beforeLines="0" w:afterLines="0" w:line="579" w:lineRule="exact"/>
        <w:ind w:firstLine="640"/>
        <w:rPr>
          <w:rFonts w:hint="default" w:cs="Times New Roman"/>
          <w:bCs w:val="0"/>
          <w:szCs w:val="22"/>
          <w:highlight w:val="none"/>
          <w:lang w:eastAsia="zh-CN"/>
        </w:rPr>
      </w:pPr>
      <w:r>
        <w:rPr>
          <w:rFonts w:hint="default" w:cs="Times New Roman"/>
          <w:highlight w:val="none"/>
          <w:lang w:eastAsia="zh-CN"/>
        </w:rPr>
        <w:t>发展改革（能源）部门负责加强电动汽车充电设施规划等环节风险源头治理，科学衡量、评判存在的内在风险和外在风险，强化源头管控。</w:t>
      </w:r>
    </w:p>
    <w:p>
      <w:pPr>
        <w:pStyle w:val="5"/>
        <w:spacing w:beforeLines="0" w:afterLines="0" w:line="579" w:lineRule="exact"/>
        <w:ind w:firstLine="640"/>
        <w:rPr>
          <w:rFonts w:hint="default" w:cs="Times New Roman"/>
          <w:bCs w:val="0"/>
          <w:szCs w:val="22"/>
          <w:highlight w:val="none"/>
          <w:lang w:eastAsia="zh-CN"/>
        </w:rPr>
      </w:pPr>
      <w:r>
        <w:rPr>
          <w:rFonts w:hint="default" w:cs="Times New Roman"/>
          <w:highlight w:val="none"/>
          <w:lang w:eastAsia="zh-CN"/>
        </w:rPr>
        <w:t>发展改革（能源）部门负责加强电动汽车充电设施规划等环节风险源头治理，科学衡量、评判存在的内在风险和外在风险，强化源头管控。</w:t>
      </w:r>
      <w:r>
        <w:rPr>
          <w:rFonts w:hint="default" w:cs="Times New Roman"/>
          <w:bCs w:val="0"/>
          <w:szCs w:val="22"/>
          <w:highlight w:val="none"/>
          <w:lang w:val="en-US" w:eastAsia="zh-CN"/>
        </w:rPr>
        <w:t>建设部门负责对随房屋市政工程建设的充电基础设施建设环节进行安全监督</w:t>
      </w:r>
      <w:r>
        <w:rPr>
          <w:rFonts w:hint="default" w:cs="Times New Roman"/>
          <w:bCs w:val="0"/>
          <w:szCs w:val="22"/>
          <w:highlight w:val="none"/>
          <w:lang w:eastAsia="zh-CN"/>
        </w:rPr>
        <w:t>。</w:t>
      </w:r>
    </w:p>
    <w:p>
      <w:pPr>
        <w:pStyle w:val="5"/>
        <w:spacing w:beforeLines="0" w:afterLines="0" w:line="579" w:lineRule="exact"/>
        <w:ind w:firstLine="640"/>
        <w:rPr>
          <w:rFonts w:hint="default" w:eastAsia="仿宋_GB2312" w:cs="Times New Roman"/>
          <w:highlight w:val="none"/>
          <w:lang w:val="en-US" w:eastAsia="zh-CN"/>
        </w:rPr>
      </w:pPr>
      <w:r>
        <w:rPr>
          <w:rFonts w:hint="default" w:eastAsia="仿宋_GB2312" w:cs="Times New Roman"/>
          <w:highlight w:val="none"/>
          <w:lang w:val="en-US" w:eastAsia="zh-CN"/>
        </w:rPr>
        <w:t>交通运输部</w:t>
      </w:r>
      <w:r>
        <w:rPr>
          <w:rFonts w:hint="eastAsia" w:eastAsia="仿宋_GB2312" w:cs="Times New Roman"/>
          <w:highlight w:val="none"/>
          <w:lang w:val="en-US" w:eastAsia="zh-CN"/>
        </w:rPr>
        <w:t>门</w:t>
      </w:r>
      <w:r>
        <w:rPr>
          <w:rFonts w:hint="default" w:eastAsia="仿宋_GB2312" w:cs="Times New Roman"/>
          <w:highlight w:val="none"/>
          <w:lang w:val="en-US" w:eastAsia="zh-CN"/>
        </w:rPr>
        <w:t>负责指导、督促交通场站的业主和经营单位做好本场所内权属电动汽车充电设施的安全管理工作。</w:t>
      </w:r>
    </w:p>
    <w:p>
      <w:pPr>
        <w:pStyle w:val="5"/>
        <w:spacing w:beforeLines="0" w:afterLines="0" w:line="579" w:lineRule="exact"/>
        <w:ind w:firstLine="640"/>
        <w:rPr>
          <w:rFonts w:hint="default" w:eastAsia="仿宋_GB2312" w:cs="Times New Roman"/>
          <w:highlight w:val="none"/>
          <w:lang w:val="en-US" w:eastAsia="zh-CN"/>
        </w:rPr>
      </w:pPr>
      <w:r>
        <w:rPr>
          <w:rFonts w:hint="default" w:eastAsia="仿宋_GB2312" w:cs="Times New Roman"/>
          <w:highlight w:val="none"/>
          <w:lang w:val="en-US" w:eastAsia="zh-CN"/>
        </w:rPr>
        <w:t>应急管理部门</w:t>
      </w:r>
      <w:r>
        <w:rPr>
          <w:rFonts w:hint="default" w:eastAsia="仿宋_GB2312" w:cs="Times New Roman"/>
          <w:highlight w:val="none"/>
        </w:rPr>
        <w:t>负责指导主管部门开展涉电动汽车充电设施安全生产类突发事件应急救援；依法组织、指导、参与涉电动汽车充电设施生产安全事故调查处理，监督事故查处和责任追究落实情况</w:t>
      </w:r>
      <w:r>
        <w:rPr>
          <w:rFonts w:hint="default" w:eastAsia="仿宋_GB2312" w:cs="Times New Roman"/>
          <w:highlight w:val="none"/>
          <w:lang w:val="en-US" w:eastAsia="zh-CN"/>
        </w:rPr>
        <w:t>。</w:t>
      </w:r>
    </w:p>
    <w:p>
      <w:pPr>
        <w:pStyle w:val="5"/>
        <w:spacing w:beforeLines="0" w:afterLines="0" w:line="579" w:lineRule="exact"/>
        <w:ind w:firstLine="640"/>
        <w:rPr>
          <w:rFonts w:hint="eastAsia" w:eastAsia="仿宋_GB2312" w:cs="Times New Roman"/>
          <w:highlight w:val="none"/>
          <w:lang w:val="en-US" w:eastAsia="zh-CN"/>
        </w:rPr>
      </w:pPr>
      <w:r>
        <w:rPr>
          <w:rFonts w:hint="eastAsia" w:eastAsia="仿宋_GB2312" w:cs="Times New Roman"/>
          <w:highlight w:val="none"/>
          <w:lang w:val="en-US" w:eastAsia="zh-CN"/>
        </w:rPr>
        <w:t>市场监管部门</w:t>
      </w:r>
      <w:r>
        <w:rPr>
          <w:rFonts w:hint="eastAsia" w:eastAsia="仿宋_GB2312" w:cs="Times New Roman"/>
          <w:highlight w:val="none"/>
        </w:rPr>
        <w:t>会同有关部门建立电动汽车充电设施标准体系；负责对电动汽车充电设施产品质量安全进行监督管理</w:t>
      </w:r>
      <w:r>
        <w:rPr>
          <w:rFonts w:hint="eastAsia" w:eastAsia="仿宋_GB2312" w:cs="Times New Roman"/>
          <w:highlight w:val="none"/>
          <w:lang w:val="en-US" w:eastAsia="zh-CN"/>
        </w:rPr>
        <w:t>。</w:t>
      </w:r>
    </w:p>
    <w:p>
      <w:pPr>
        <w:pStyle w:val="5"/>
        <w:spacing w:beforeLines="0" w:afterLines="0" w:line="579" w:lineRule="exact"/>
        <w:ind w:firstLine="640"/>
        <w:rPr>
          <w:rFonts w:hint="eastAsia" w:eastAsia="仿宋_GB2312" w:cs="Times New Roman"/>
          <w:highlight w:val="none"/>
          <w:lang w:val="en-US" w:eastAsia="zh-CN"/>
        </w:rPr>
      </w:pPr>
      <w:r>
        <w:rPr>
          <w:rFonts w:hint="eastAsia" w:eastAsia="仿宋_GB2312" w:cs="Times New Roman"/>
          <w:highlight w:val="none"/>
          <w:lang w:val="en-US" w:eastAsia="zh-CN"/>
        </w:rPr>
        <w:t>消防救援部门负责对充电基础设施的产权、运营或使用单位遵守消防法律法规的情况依法进行监督检查，并处理相关违法行为；负责电动汽车充电设施火灾事故救援及调查工作。</w:t>
      </w:r>
    </w:p>
    <w:p>
      <w:pPr>
        <w:widowControl/>
        <w:spacing w:line="579" w:lineRule="exact"/>
        <w:ind w:firstLine="632" w:firstLineChars="200"/>
        <w:jc w:val="left"/>
        <w:rPr>
          <w:rFonts w:hint="default" w:eastAsia="仿宋_GB2312" w:cs="Times New Roman"/>
          <w:highlight w:val="none"/>
          <w:lang w:val="en-US" w:eastAsia="zh-CN"/>
        </w:rPr>
      </w:pPr>
      <w:r>
        <w:rPr>
          <w:rFonts w:hint="eastAsia" w:ascii="Times New Roman" w:hAnsi="Times New Roman" w:eastAsia="仿宋_GB2312" w:cs="Times New Roman"/>
          <w:spacing w:val="0"/>
          <w:kern w:val="0"/>
          <w:sz w:val="32"/>
          <w:szCs w:val="32"/>
          <w:highlight w:val="none"/>
          <w:lang w:val="en-US" w:eastAsia="zh-CN" w:bidi="ar"/>
        </w:rPr>
        <w:t>电力</w:t>
      </w:r>
      <w:r>
        <w:rPr>
          <w:rFonts w:hint="eastAsia" w:ascii="Times New Roman" w:hAnsi="Times New Roman" w:cs="Times New Roman"/>
          <w:spacing w:val="0"/>
          <w:kern w:val="0"/>
          <w:sz w:val="32"/>
          <w:szCs w:val="32"/>
          <w:highlight w:val="none"/>
          <w:lang w:val="en-US" w:eastAsia="zh-CN" w:bidi="ar"/>
        </w:rPr>
        <w:t>公司</w:t>
      </w:r>
      <w:r>
        <w:rPr>
          <w:rFonts w:hint="eastAsia" w:ascii="Times New Roman" w:hAnsi="Times New Roman" w:cs="Times New Roman"/>
          <w:kern w:val="0"/>
          <w:szCs w:val="32"/>
          <w:highlight w:val="none"/>
          <w:lang w:bidi="ar"/>
        </w:rPr>
        <w:t>负责电动汽车充电设施相关电力基础网络建设与改造、充电设施增容服务、电力保障等技术支持工作；配合主管部门做好电动汽车充电设施的供电监督管理工作并做好安全使用宣传</w:t>
      </w:r>
      <w:r>
        <w:rPr>
          <w:rFonts w:hint="eastAsia" w:ascii="Times New Roman" w:hAnsi="Times New Roman" w:eastAsia="仿宋_GB2312" w:cs="Times New Roman"/>
          <w:spacing w:val="0"/>
          <w:kern w:val="0"/>
          <w:sz w:val="32"/>
          <w:szCs w:val="32"/>
          <w:highlight w:val="none"/>
          <w:lang w:val="en-US" w:eastAsia="zh-CN" w:bidi="ar"/>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default" w:ascii="Times New Roman" w:hAnsi="Times New Roman" w:cs="Times New Roman"/>
          <w:highlight w:val="none"/>
        </w:rPr>
      </w:pPr>
      <w:r>
        <w:rPr>
          <w:rFonts w:hint="eastAsia" w:cs="Times New Roman"/>
          <w:highlight w:val="none"/>
          <w:lang w:val="en-US" w:eastAsia="zh-CN"/>
        </w:rPr>
        <w:t>地方</w:t>
      </w:r>
      <w:r>
        <w:rPr>
          <w:rFonts w:hint="eastAsia" w:cs="Times New Roman"/>
          <w:highlight w:val="none"/>
          <w:lang w:eastAsia="zh-CN"/>
        </w:rPr>
        <w:t>充（换）电</w:t>
      </w:r>
      <w:r>
        <w:rPr>
          <w:rFonts w:hint="default" w:ascii="Times New Roman" w:hAnsi="Times New Roman" w:eastAsia="仿宋_GB2312" w:cs="Times New Roman"/>
          <w:highlight w:val="none"/>
        </w:rPr>
        <w:t>基础设施主管部门</w:t>
      </w:r>
      <w:r>
        <w:rPr>
          <w:rFonts w:hint="default" w:ascii="Times New Roman" w:hAnsi="Times New Roman" w:cs="Times New Roman"/>
          <w:highlight w:val="none"/>
        </w:rPr>
        <w:t>依托省充电设施监管服务平台，</w:t>
      </w:r>
      <w:r>
        <w:rPr>
          <w:rFonts w:hint="eastAsia" w:cs="Times New Roman"/>
          <w:highlight w:val="none"/>
          <w:lang w:val="en-US" w:eastAsia="zh-CN"/>
        </w:rPr>
        <w:t>结合“快省优”评价机制，</w:t>
      </w:r>
      <w:r>
        <w:rPr>
          <w:rFonts w:hint="default" w:ascii="Times New Roman" w:hAnsi="Times New Roman" w:cs="Times New Roman"/>
          <w:highlight w:val="none"/>
        </w:rPr>
        <w:t>对辖区内</w:t>
      </w:r>
      <w:r>
        <w:rPr>
          <w:rFonts w:hint="eastAsia" w:cs="Times New Roman"/>
          <w:highlight w:val="none"/>
          <w:lang w:eastAsia="zh-CN"/>
        </w:rPr>
        <w:t>充（换）电</w:t>
      </w:r>
      <w:r>
        <w:rPr>
          <w:rFonts w:hint="default" w:ascii="Times New Roman" w:hAnsi="Times New Roman" w:cs="Times New Roman"/>
          <w:highlight w:val="none"/>
        </w:rPr>
        <w:t>站点建设运营工作定期</w:t>
      </w:r>
      <w:r>
        <w:rPr>
          <w:rFonts w:hint="eastAsia" w:cs="Times New Roman"/>
          <w:highlight w:val="none"/>
          <w:lang w:val="en-US" w:eastAsia="zh-CN"/>
        </w:rPr>
        <w:t>开展评价，并通过平台进行晾晒</w:t>
      </w:r>
      <w:r>
        <w:rPr>
          <w:rFonts w:hint="default" w:ascii="Times New Roman" w:hAnsi="Times New Roman" w:cs="Times New Roman"/>
          <w:highlight w:val="none"/>
        </w:rPr>
        <w:t>。</w:t>
      </w:r>
      <w:r>
        <w:rPr>
          <w:rFonts w:hint="eastAsia" w:cs="Times New Roman"/>
          <w:highlight w:val="none"/>
          <w:lang w:val="en-US" w:eastAsia="zh-CN"/>
        </w:rPr>
        <w:t>评价</w:t>
      </w:r>
      <w:r>
        <w:rPr>
          <w:rFonts w:hint="default" w:ascii="Times New Roman" w:hAnsi="Times New Roman" w:cs="Times New Roman"/>
          <w:highlight w:val="none"/>
        </w:rPr>
        <w:t>包括但不限于以下方面：</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一</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站点充电桩在线率、换电站在线率；</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二</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站点充（换）电服务费用收费情况</w:t>
      </w:r>
      <w:r>
        <w:rPr>
          <w:rFonts w:hint="default" w:ascii="Times New Roman" w:hAnsi="Times New Roman" w:eastAsia="仿宋_GB2312" w:cs="Times New Roman"/>
          <w:highlight w:val="none"/>
        </w:rPr>
        <w:t>；</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firstLine="632"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lang w:eastAsia="zh-CN"/>
        </w:rPr>
        <w:t>（</w:t>
      </w:r>
      <w:r>
        <w:rPr>
          <w:rFonts w:hint="default"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lang w:eastAsia="zh-CN"/>
        </w:rPr>
        <w:t>）</w:t>
      </w:r>
      <w:r>
        <w:rPr>
          <w:rFonts w:hint="eastAsia" w:eastAsia="仿宋_GB2312" w:cs="Times New Roman"/>
          <w:highlight w:val="none"/>
          <w:lang w:val="en-US" w:eastAsia="zh-CN"/>
        </w:rPr>
        <w:t>站点用户评价和投诉情况</w:t>
      </w:r>
      <w:r>
        <w:rPr>
          <w:rFonts w:hint="default" w:ascii="Times New Roman" w:hAnsi="Times New Roman" w:eastAsia="仿宋_GB2312" w:cs="Times New Roman"/>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rPr>
        <w:t>各地充（换）电基础设施主管部门应会同相关职能部门，根据各自工作职责，</w:t>
      </w:r>
      <w:r>
        <w:rPr>
          <w:rFonts w:hint="eastAsia" w:cs="Times New Roman"/>
          <w:highlight w:val="none"/>
          <w:lang w:val="en-US" w:eastAsia="zh-CN"/>
        </w:rPr>
        <w:t>定期开展</w:t>
      </w:r>
      <w:r>
        <w:rPr>
          <w:rFonts w:hint="eastAsia" w:cs="Times New Roman"/>
          <w:highlight w:val="none"/>
          <w:lang w:eastAsia="zh-CN"/>
        </w:rPr>
        <w:t>充（换）电</w:t>
      </w:r>
      <w:r>
        <w:rPr>
          <w:rFonts w:hint="default" w:ascii="Times New Roman" w:hAnsi="Times New Roman" w:cs="Times New Roman"/>
          <w:highlight w:val="none"/>
        </w:rPr>
        <w:t>基础设施实地核查工作，核查内容包括但不限于建设、用电、施工、计量、标价等方面。对核查中发现存在重大安全隐患的</w:t>
      </w:r>
      <w:r>
        <w:rPr>
          <w:rFonts w:hint="eastAsia" w:cs="Times New Roman"/>
          <w:highlight w:val="none"/>
          <w:lang w:eastAsia="zh-CN"/>
        </w:rPr>
        <w:t>充（换）电</w:t>
      </w:r>
      <w:r>
        <w:rPr>
          <w:rFonts w:hint="default" w:ascii="Times New Roman" w:hAnsi="Times New Roman" w:cs="Times New Roman"/>
          <w:highlight w:val="none"/>
        </w:rPr>
        <w:t>基础设施或长期未正常运营的公</w:t>
      </w:r>
      <w:r>
        <w:rPr>
          <w:rFonts w:hint="eastAsia" w:cs="Times New Roman"/>
          <w:highlight w:val="none"/>
          <w:lang w:val="en-US" w:eastAsia="zh-CN"/>
        </w:rPr>
        <w:t>用</w:t>
      </w:r>
      <w:r>
        <w:rPr>
          <w:rFonts w:hint="eastAsia" w:cs="Times New Roman"/>
          <w:highlight w:val="none"/>
          <w:lang w:eastAsia="zh-CN"/>
        </w:rPr>
        <w:t>充（换）电</w:t>
      </w:r>
      <w:r>
        <w:rPr>
          <w:rFonts w:hint="default" w:ascii="Times New Roman" w:hAnsi="Times New Roman" w:cs="Times New Roman"/>
          <w:highlight w:val="none"/>
        </w:rPr>
        <w:t>基础设施等不符合办法要求的，责令加以整改。</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满足相关政策要求的</w:t>
      </w:r>
      <w:r>
        <w:rPr>
          <w:rFonts w:hint="eastAsia" w:cs="Times New Roman"/>
          <w:color w:val="auto"/>
          <w:highlight w:val="none"/>
          <w:lang w:eastAsia="zh-CN"/>
        </w:rPr>
        <w:t>充（换）电</w:t>
      </w:r>
      <w:r>
        <w:rPr>
          <w:rFonts w:hint="eastAsia" w:cs="Times New Roman"/>
          <w:color w:val="auto"/>
          <w:highlight w:val="none"/>
          <w:lang w:val="en-US" w:eastAsia="zh-CN"/>
        </w:rPr>
        <w:t>基础</w:t>
      </w:r>
      <w:r>
        <w:rPr>
          <w:rFonts w:hint="default" w:ascii="Times New Roman" w:hAnsi="Times New Roman" w:cs="Times New Roman"/>
          <w:color w:val="auto"/>
          <w:highlight w:val="none"/>
        </w:rPr>
        <w:t>设施</w:t>
      </w:r>
      <w:r>
        <w:rPr>
          <w:rFonts w:hint="eastAsia" w:cs="Times New Roman"/>
          <w:color w:val="auto"/>
          <w:highlight w:val="none"/>
          <w:lang w:val="en-US" w:eastAsia="zh-CN"/>
        </w:rPr>
        <w:t>投资、</w:t>
      </w:r>
      <w:r>
        <w:rPr>
          <w:rFonts w:hint="default" w:ascii="Times New Roman" w:hAnsi="Times New Roman" w:cs="Times New Roman"/>
          <w:color w:val="auto"/>
          <w:highlight w:val="none"/>
        </w:rPr>
        <w:t>建设</w:t>
      </w:r>
      <w:r>
        <w:rPr>
          <w:rFonts w:hint="eastAsia" w:cs="Times New Roman"/>
          <w:color w:val="auto"/>
          <w:highlight w:val="none"/>
          <w:lang w:eastAsia="zh-CN"/>
        </w:rPr>
        <w:t>、</w:t>
      </w:r>
      <w:r>
        <w:rPr>
          <w:rFonts w:hint="default" w:ascii="Times New Roman" w:hAnsi="Times New Roman" w:cs="Times New Roman"/>
          <w:color w:val="auto"/>
          <w:highlight w:val="none"/>
        </w:rPr>
        <w:t>运营主体可</w:t>
      </w:r>
      <w:r>
        <w:rPr>
          <w:rFonts w:hint="eastAsia" w:cs="Times New Roman"/>
          <w:color w:val="auto"/>
          <w:highlight w:val="none"/>
          <w:lang w:val="en-US" w:eastAsia="zh-CN"/>
        </w:rPr>
        <w:t>根据政策申请补助资金</w:t>
      </w:r>
      <w:r>
        <w:rPr>
          <w:rFonts w:hint="default" w:ascii="Times New Roman" w:hAnsi="Times New Roman" w:cs="Times New Roman"/>
          <w:color w:val="auto"/>
          <w:highlight w:val="none"/>
        </w:rPr>
        <w:t>。</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highlight w:val="none"/>
        </w:rPr>
      </w:pPr>
      <w:r>
        <w:rPr>
          <w:rFonts w:hint="default" w:cs="Times New Roman"/>
          <w:color w:val="auto"/>
          <w:highlight w:val="none"/>
        </w:rPr>
        <w:t>省</w:t>
      </w:r>
      <w:r>
        <w:rPr>
          <w:rFonts w:hint="eastAsia" w:cs="Times New Roman"/>
          <w:color w:val="auto"/>
          <w:highlight w:val="none"/>
          <w:lang w:val="en-US" w:eastAsia="zh-CN"/>
        </w:rPr>
        <w:t>财政厅</w:t>
      </w:r>
      <w:r>
        <w:rPr>
          <w:rFonts w:hint="default" w:cs="Times New Roman"/>
          <w:color w:val="auto"/>
          <w:highlight w:val="none"/>
        </w:rPr>
        <w:t>统筹有关专项资金，将各地接入省充电设施监管服务平台监管且符合标准的电动汽车公</w:t>
      </w:r>
      <w:r>
        <w:rPr>
          <w:rFonts w:hint="eastAsia" w:cs="Times New Roman"/>
          <w:color w:val="auto"/>
          <w:highlight w:val="none"/>
          <w:lang w:val="en-US" w:eastAsia="zh-CN"/>
        </w:rPr>
        <w:t>用</w:t>
      </w:r>
      <w:r>
        <w:rPr>
          <w:rFonts w:hint="default" w:cs="Times New Roman"/>
          <w:color w:val="auto"/>
          <w:highlight w:val="none"/>
        </w:rPr>
        <w:t>充</w:t>
      </w:r>
      <w:r>
        <w:rPr>
          <w:rFonts w:hint="eastAsia" w:cs="Times New Roman"/>
          <w:color w:val="auto"/>
          <w:highlight w:val="none"/>
          <w:lang w:eastAsia="zh-CN"/>
        </w:rPr>
        <w:t>（</w:t>
      </w:r>
      <w:r>
        <w:rPr>
          <w:rFonts w:hint="default" w:cs="Times New Roman"/>
          <w:color w:val="auto"/>
          <w:highlight w:val="none"/>
        </w:rPr>
        <w:t>换</w:t>
      </w:r>
      <w:r>
        <w:rPr>
          <w:rFonts w:hint="eastAsia" w:cs="Times New Roman"/>
          <w:color w:val="auto"/>
          <w:highlight w:val="none"/>
          <w:lang w:eastAsia="zh-CN"/>
        </w:rPr>
        <w:t>）</w:t>
      </w:r>
      <w:r>
        <w:rPr>
          <w:rFonts w:hint="default" w:cs="Times New Roman"/>
          <w:color w:val="auto"/>
          <w:highlight w:val="none"/>
        </w:rPr>
        <w:t>电基础设施建设运营情况纳入资金分配因素。</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color w:val="auto"/>
          <w:highlight w:val="none"/>
        </w:rPr>
      </w:pPr>
      <w:r>
        <w:rPr>
          <w:rFonts w:hint="default" w:cs="Times New Roman"/>
          <w:color w:val="auto"/>
          <w:highlight w:val="none"/>
        </w:rPr>
        <w:t>各地要因地制宜制定电动汽车充</w:t>
      </w:r>
      <w:r>
        <w:rPr>
          <w:rFonts w:hint="eastAsia" w:cs="Times New Roman"/>
          <w:color w:val="auto"/>
          <w:highlight w:val="none"/>
          <w:lang w:eastAsia="zh-CN"/>
        </w:rPr>
        <w:t>（</w:t>
      </w:r>
      <w:r>
        <w:rPr>
          <w:rFonts w:hint="default" w:cs="Times New Roman"/>
          <w:color w:val="auto"/>
          <w:highlight w:val="none"/>
        </w:rPr>
        <w:t>换</w:t>
      </w:r>
      <w:r>
        <w:rPr>
          <w:rFonts w:hint="eastAsia" w:cs="Times New Roman"/>
          <w:color w:val="auto"/>
          <w:highlight w:val="none"/>
          <w:lang w:eastAsia="zh-CN"/>
        </w:rPr>
        <w:t>）</w:t>
      </w:r>
      <w:r>
        <w:rPr>
          <w:rFonts w:hint="default" w:cs="Times New Roman"/>
          <w:color w:val="auto"/>
          <w:highlight w:val="none"/>
        </w:rPr>
        <w:t>电基础设施建设运营奖补细则，明确建设运营补贴标准、支持方式等。建设补贴最高可覆盖设备投资的30%，逐年退坡；探索建立运营补贴与服务质量等挂钩机制。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其    他</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eastAsia" w:cs="Times New Roman"/>
          <w:highlight w:val="none"/>
          <w:lang w:eastAsia="zh-CN"/>
        </w:rPr>
        <w:t>地方充（换）电基础设施主管部门</w:t>
      </w:r>
      <w:r>
        <w:rPr>
          <w:rFonts w:hint="default" w:ascii="Times New Roman" w:hAnsi="Times New Roman" w:cs="Times New Roman"/>
          <w:highlight w:val="none"/>
        </w:rPr>
        <w:t>在所属人民政府的领导下，可结合实际，制定具体实施办法。</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具体实施办法作出的变通规定，不得违反本办法确立的</w:t>
      </w:r>
      <w:r>
        <w:rPr>
          <w:rFonts w:hint="eastAsia" w:eastAsia="仿宋_GB2312" w:cs="Times New Roman"/>
          <w:highlight w:val="none"/>
          <w:lang w:eastAsia="zh-CN"/>
        </w:rPr>
        <w:t>充（换）电</w:t>
      </w:r>
      <w:r>
        <w:rPr>
          <w:rFonts w:hint="default" w:ascii="Times New Roman" w:hAnsi="Times New Roman" w:eastAsia="仿宋_GB2312" w:cs="Times New Roman"/>
          <w:highlight w:val="none"/>
        </w:rPr>
        <w:t>设施发展基本原则。</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本办法由省发展改革委负责解释。</w:t>
      </w:r>
    </w:p>
    <w:p>
      <w:pPr>
        <w:pStyle w:val="6"/>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cs="Times New Roman"/>
          <w:highlight w:val="none"/>
        </w:rPr>
      </w:pPr>
      <w:r>
        <w:rPr>
          <w:rFonts w:hint="default" w:ascii="Times New Roman" w:hAnsi="Times New Roman" w:cs="Times New Roman"/>
          <w:highlight w:val="none"/>
        </w:rPr>
        <w:t>本办法自202</w:t>
      </w:r>
      <w:r>
        <w:rPr>
          <w:rFonts w:hint="eastAsia" w:cs="Times New Roman"/>
          <w:highlight w:val="none"/>
          <w:lang w:val="en-US" w:eastAsia="zh-CN"/>
        </w:rPr>
        <w:t>4</w:t>
      </w:r>
      <w:r>
        <w:rPr>
          <w:rFonts w:hint="default" w:ascii="Times New Roman" w:hAnsi="Times New Roman" w:cs="Times New Roman"/>
          <w:highlight w:val="none"/>
        </w:rPr>
        <w:t>年XX月XX日起实施。</w:t>
      </w:r>
    </w:p>
    <w:p>
      <w:pPr>
        <w:pStyle w:val="5"/>
        <w:keepNext w:val="0"/>
        <w:keepLines w:val="0"/>
        <w:pageBreakBefore w:val="0"/>
        <w:widowControl w:val="0"/>
        <w:kinsoku/>
        <w:wordWrap/>
        <w:overflowPunct/>
        <w:topLinePunct w:val="0"/>
        <w:autoSpaceDE/>
        <w:autoSpaceDN/>
        <w:bidi w:val="0"/>
        <w:adjustRightInd/>
        <w:snapToGrid/>
        <w:spacing w:beforeLines="0" w:afterLines="0" w:line="579" w:lineRule="exact"/>
        <w:ind w:firstLine="640"/>
        <w:textAlignment w:val="auto"/>
        <w:rPr>
          <w:rFonts w:hint="default" w:ascii="Times New Roman" w:hAnsi="Times New Roman" w:eastAsia="仿宋_GB2312" w:cs="Times New Roman"/>
          <w:highlight w:val="none"/>
        </w:rPr>
        <w:sectPr>
          <w:footerReference r:id="rId3" w:type="default"/>
          <w:type w:val="oddPage"/>
          <w:pgSz w:w="11906" w:h="16838"/>
          <w:pgMar w:top="2098" w:right="1474" w:bottom="1984" w:left="1587" w:header="851" w:footer="1587" w:gutter="0"/>
          <w:pgNumType w:fmt="decimal"/>
          <w:cols w:space="0" w:num="1"/>
          <w:rtlGutter w:val="0"/>
          <w:docGrid w:type="linesAndChars" w:linePitch="579" w:charSpace="-842"/>
        </w:sectPr>
      </w:pPr>
    </w:p>
    <w:p>
      <w:pPr>
        <w:pStyle w:val="13"/>
        <w:spacing w:before="0" w:beforeAutospacing="0" w:after="0" w:afterAutospacing="0" w:line="579" w:lineRule="exact"/>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1</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37"/>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相关标准清单</w:t>
      </w:r>
    </w:p>
    <w:p>
      <w:pPr>
        <w:pStyle w:val="5"/>
        <w:spacing w:line="579" w:lineRule="exact"/>
        <w:rPr>
          <w:rFonts w:hint="default"/>
          <w:highlight w:val="none"/>
        </w:rPr>
      </w:pPr>
    </w:p>
    <w:p>
      <w:pPr>
        <w:keepNext w:val="0"/>
        <w:keepLines w:val="0"/>
        <w:pageBreakBefore w:val="0"/>
        <w:numPr>
          <w:ilvl w:val="0"/>
          <w:numId w:val="4"/>
        </w:numPr>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《民用建筑电动汽车充电设施配置与设计规范》（DB 33/1121-2016）及其他相关文件的规定</w:t>
      </w:r>
    </w:p>
    <w:p>
      <w:pPr>
        <w:keepNext w:val="0"/>
        <w:keepLines w:val="0"/>
        <w:pageBreakBefore w:val="0"/>
        <w:numPr>
          <w:ilvl w:val="0"/>
          <w:numId w:val="4"/>
        </w:numPr>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《电动汽车充换电设施建设技术导则》（NB/T 33009-2013</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4"/>
        </w:numPr>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《电动汽车充换电设施供电系统技术规范》（NB/T 33018-2015）</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《电动汽车充电设施通用技术条件》（GB/T 20234-2015）</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《电动汽车充换电设施接入配电网技术规范》（GB/T 36278-2018）</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《城市公共设施 电动汽车充换电设施安全技术防范系统要求》（GB/T 37295-2019）</w:t>
      </w:r>
      <w:r>
        <w:rPr>
          <w:rFonts w:hint="default" w:ascii="Times New Roman" w:hAnsi="Times New Roman" w:eastAsia="黑体" w:cs="Times New Roman"/>
          <w:color w:val="auto"/>
          <w:sz w:val="32"/>
          <w:szCs w:val="32"/>
          <w:highlight w:val="none"/>
          <w:lang w:val="en-US" w:eastAsia="zh-CN"/>
        </w:rPr>
        <w:t xml:space="preserve"> </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《电动汽车充电站设计规范》（GB 50966-2014）</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《电动汽车充电站通用要求》（GB/T 29781-2013）</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《电动汽车电池更换站设计规范》（GB/T 51077-2015）</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《电动汽车非车载充电机电能计量》（GB/T 29318-2012）</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《电动汽车交流充电桩电能计量》（GB/T 28569-2012）</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《电动汽车充换电设施工程施工和竣工验收规范》（NB/T 33004-2020）</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《电动汽车充电站及电池更换站监控系统技术规范》（NB/T 33005-2013）</w:t>
      </w:r>
    </w:p>
    <w:p>
      <w:pPr>
        <w:numPr>
          <w:ilvl w:val="0"/>
          <w:numId w:val="4"/>
        </w:numPr>
        <w:spacing w:line="579" w:lineRule="exact"/>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《电动汽车充电站电池更换站监控系统与充换电设备通信协议》（NB/T 33007-2013）</w:t>
      </w:r>
    </w:p>
    <w:p>
      <w:pPr>
        <w:numPr>
          <w:ilvl w:val="0"/>
          <w:numId w:val="4"/>
        </w:numPr>
        <w:spacing w:line="579"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《城市公共设施电动汽车充换电设施运营管理服务规范》（GB/T 37293-2019）</w:t>
      </w:r>
    </w:p>
    <w:p>
      <w:pPr>
        <w:numPr>
          <w:ilvl w:val="-1"/>
          <w:numId w:val="0"/>
        </w:numPr>
        <w:spacing w:line="579" w:lineRule="exact"/>
        <w:rPr>
          <w:rFonts w:hint="default" w:eastAsia="仿宋_GB2312"/>
          <w:highlight w:val="none"/>
          <w:lang w:val="en-US" w:eastAsia="zh-CN"/>
        </w:rPr>
      </w:pPr>
      <w:r>
        <w:rPr>
          <w:rFonts w:hint="eastAsia" w:ascii="Times New Roman" w:hAnsi="Times New Roman" w:cs="Times New Roman"/>
          <w:color w:val="auto"/>
          <w:szCs w:val="32"/>
          <w:highlight w:val="none"/>
          <w:lang w:val="en-US" w:eastAsia="zh-CN"/>
        </w:rPr>
        <w:t xml:space="preserve">16. </w:t>
      </w:r>
      <w:r>
        <w:rPr>
          <w:rFonts w:hint="default" w:ascii="Times New Roman" w:hAnsi="Times New Roman" w:cs="Times New Roman"/>
          <w:color w:val="auto"/>
          <w:szCs w:val="32"/>
          <w:highlight w:val="none"/>
        </w:rPr>
        <w:t>《图形标志 电动汽车充换电设施标志》（GB/T 31525</w:t>
      </w:r>
      <w:r>
        <w:rPr>
          <w:rFonts w:hint="eastAsia" w:ascii="Times New Roman" w:hAnsi="Times New Roman" w:cs="Times New Roman"/>
          <w:color w:val="auto"/>
          <w:szCs w:val="32"/>
          <w:highlight w:val="none"/>
          <w:lang w:val="en-US" w:eastAsia="zh-CN"/>
        </w:rPr>
        <w:t>-2015</w:t>
      </w:r>
      <w:r>
        <w:rPr>
          <w:rFonts w:hint="default" w:ascii="Times New Roman" w:hAnsi="Times New Roman" w:cs="Times New Roman"/>
          <w:color w:val="auto"/>
          <w:szCs w:val="32"/>
          <w:highlight w:val="none"/>
        </w:rPr>
        <w:t>）</w:t>
      </w:r>
    </w:p>
    <w:p>
      <w:pPr>
        <w:pStyle w:val="5"/>
        <w:spacing w:beforeLines="0" w:afterLines="0" w:line="579" w:lineRule="exact"/>
        <w:ind w:left="0" w:leftChars="0" w:firstLine="0" w:firstLineChars="0"/>
        <w:rPr>
          <w:rFonts w:hint="default" w:ascii="Times New Roman" w:hAnsi="Times New Roman" w:eastAsia="仿宋_GB2312" w:cs="Times New Roman"/>
          <w:highlight w:val="none"/>
        </w:rPr>
        <w:sectPr>
          <w:footerReference r:id="rId4" w:type="default"/>
          <w:pgSz w:w="11906" w:h="16838"/>
          <w:pgMar w:top="2098" w:right="1474" w:bottom="1984" w:left="1587" w:header="851" w:footer="1587" w:gutter="0"/>
          <w:pgNumType w:fmt="decimal"/>
          <w:cols w:space="0" w:num="1"/>
          <w:rtlGutter w:val="0"/>
          <w:docGrid w:type="linesAndChars" w:linePitch="579" w:charSpace="-842"/>
        </w:sect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w:t>
      </w:r>
      <w:r>
        <w:rPr>
          <w:rFonts w:hint="eastAsia" w:ascii="Times New Roman" w:hAnsi="Times New Roman" w:eastAsia="黑体" w:cs="Times New Roman"/>
          <w:color w:val="auto"/>
          <w:sz w:val="32"/>
          <w:szCs w:val="32"/>
          <w:highlight w:val="none"/>
          <w:lang w:val="en-US" w:eastAsia="zh-CN"/>
        </w:rPr>
        <w:t>2</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37"/>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cs="Times New Roman"/>
          <w:highlight w:val="none"/>
        </w:rPr>
      </w:pPr>
      <w:r>
        <w:rPr>
          <w:rFonts w:hint="default" w:ascii="Times New Roman" w:hAnsi="Times New Roman" w:cs="Times New Roman"/>
          <w:highlight w:val="none"/>
        </w:rPr>
        <w:t>公</w:t>
      </w:r>
      <w:r>
        <w:rPr>
          <w:rFonts w:hint="eastAsia" w:cs="Times New Roman"/>
          <w:highlight w:val="none"/>
          <w:lang w:val="en-US" w:eastAsia="zh-CN"/>
        </w:rPr>
        <w:t>用</w:t>
      </w:r>
      <w:r>
        <w:rPr>
          <w:rFonts w:hint="default" w:ascii="Times New Roman" w:hAnsi="Times New Roman" w:cs="Times New Roman"/>
          <w:highlight w:val="none"/>
        </w:rPr>
        <w:t>充</w:t>
      </w:r>
      <w:r>
        <w:rPr>
          <w:rFonts w:hint="eastAsia" w:cs="Times New Roman"/>
          <w:highlight w:val="none"/>
          <w:lang w:eastAsia="zh-CN"/>
        </w:rPr>
        <w:t>（</w:t>
      </w:r>
      <w:r>
        <w:rPr>
          <w:rFonts w:hint="eastAsia" w:cs="Times New Roman"/>
          <w:highlight w:val="none"/>
          <w:lang w:val="en-US" w:eastAsia="zh-CN"/>
        </w:rPr>
        <w:t>换</w:t>
      </w:r>
      <w:r>
        <w:rPr>
          <w:rFonts w:hint="eastAsia" w:cs="Times New Roman"/>
          <w:highlight w:val="none"/>
          <w:lang w:eastAsia="zh-CN"/>
        </w:rPr>
        <w:t>）</w:t>
      </w:r>
      <w:r>
        <w:rPr>
          <w:rFonts w:hint="default" w:ascii="Times New Roman" w:hAnsi="Times New Roman" w:cs="Times New Roman"/>
          <w:highlight w:val="none"/>
        </w:rPr>
        <w:t>电设施本体部分竣工验收细则</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（试  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textAlignment w:val="auto"/>
        <w:rPr>
          <w:rFonts w:hint="default" w:ascii="Times New Roman" w:hAnsi="Times New Roman" w:eastAsia="仿宋_GB2312" w:cs="Times New Roman"/>
          <w:color w:val="auto"/>
          <w:sz w:val="32"/>
          <w:szCs w:val="32"/>
          <w:highlight w:val="none"/>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1. 适用范围</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本细则适用于浙江省范围内公</w:t>
      </w:r>
      <w:r>
        <w:rPr>
          <w:rFonts w:hint="eastAsia" w:ascii="Times New Roman" w:hAnsi="Times New Roman"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rPr>
        <w:t>充</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电设施本体部分的竣工验收。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w:t>
      </w:r>
      <w:r>
        <w:rPr>
          <w:rFonts w:hint="eastAsia" w:ascii="Times New Roman" w:hAnsi="Times New Roman"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rPr>
        <w:t>充</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电设施接入</w:t>
      </w:r>
      <w:r>
        <w:rPr>
          <w:rFonts w:hint="default" w:ascii="Times New Roman" w:hAnsi="Times New Roman" w:eastAsia="仿宋_GB2312" w:cs="Times New Roman"/>
          <w:color w:val="auto"/>
          <w:sz w:val="32"/>
          <w:szCs w:val="32"/>
          <w:highlight w:val="none"/>
          <w:lang w:eastAsia="zh-CN"/>
        </w:rPr>
        <w:t>省充电设施监管服务平台</w:t>
      </w:r>
      <w:r>
        <w:rPr>
          <w:rFonts w:hint="default" w:ascii="Times New Roman" w:hAnsi="Times New Roman" w:eastAsia="仿宋_GB2312" w:cs="Times New Roman"/>
          <w:color w:val="auto"/>
          <w:sz w:val="32"/>
          <w:szCs w:val="32"/>
          <w:highlight w:val="none"/>
        </w:rPr>
        <w:t>的验收细则另行制定并实施。</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2. 验收依据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1）GB 50966 电动汽车充电站设计规范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2）GB 50058 爆炸危险环境电力装置设计规范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3）GB/T 29781 电动汽车充电站通用要求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4）NB/T 33004 电动汽车充换电设施工程施工和竣工验收规范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5）NB/T 33005 电动汽车充电站及电池更换站监控系统技术规范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6）NB/T 33009 电动汽车充换电设施建设技术导则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7）GB/T 20234.1 电动汽车传导充电用连接装置第1部分：通用要求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8）GB/T 20234.2电动汽车传导充电用连接装置第2部分：交流充电接口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9）GB/T 20234.3电动汽车传导充电用连接装置第3部分：直流充电接口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10）GB/T 27930电动汽车非车载传导式充电机与电池管理系统之间的通信协议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11）GB/T 28569电动汽车交流充电桩电能计量</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12）GB/T 29316电动汽车充换电设施电能质量技术要求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13）GB/T 29318电动汽车非车载充电机电能计量</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14）GB/T 29772电动汽车电池更换站通用技术要求</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15）GB 50053 20kV及以下变电所设计规范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16）GB 50054低压配电设计规范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17）GB 50575 1kV及以下配线工程施工与验收规范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18）GB/T 29317电动汽车充换电设施术语</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19）GB/T 51077 电动汽车电池更换站设计规范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注：新的国家标准出台后以新的标准为准。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3. 验收项目及验收方法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3.1充电站供电系统验收（见表1）</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供电系统验收只针对需要新增供电变压器的大中型充电站或桩群，无需增加供电变压器的大中型充电站或桩群需提供有关证明。</w:t>
      </w:r>
    </w:p>
    <w:p>
      <w:pPr>
        <w:pStyle w:val="13"/>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24"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2"/>
          <w:sz w:val="32"/>
          <w:szCs w:val="32"/>
          <w:highlight w:val="none"/>
        </w:rPr>
        <w:t>（注：验收结论中，如该项合格，则在验收结论中打“√”，</w:t>
      </w:r>
      <w:r>
        <w:rPr>
          <w:rFonts w:hint="default" w:ascii="Times New Roman" w:hAnsi="Times New Roman" w:eastAsia="楷体_GB2312" w:cs="Times New Roman"/>
          <w:color w:val="auto"/>
          <w:sz w:val="32"/>
          <w:szCs w:val="32"/>
          <w:highlight w:val="none"/>
        </w:rPr>
        <w:t>不合格打“×”，后文同此处理。）</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表1  供电系统验收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28" w:type="dxa"/>
          <w:left w:w="57" w:type="dxa"/>
          <w:bottom w:w="28" w:type="dxa"/>
          <w:right w:w="57" w:type="dxa"/>
        </w:tblCellMar>
      </w:tblPr>
      <w:tblGrid>
        <w:gridCol w:w="633"/>
        <w:gridCol w:w="1364"/>
        <w:gridCol w:w="4717"/>
        <w:gridCol w:w="1178"/>
        <w:gridCol w:w="117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序号</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验收内容</w:t>
            </w:r>
          </w:p>
        </w:tc>
        <w:tc>
          <w:tcPr>
            <w:tcW w:w="4717"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验收记录</w:t>
            </w: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变压器</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检查变压器的型号、配置和数量，核对变压器技术参数及实际施工结果与合同、设计图纸等技术文件是否相符，检查施工记录，应符合现行国家标准GB 50053和 GB50255的有关规定。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控制柜等</w:t>
            </w:r>
          </w:p>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盘柜</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检查供电系统盘柜的型号、配置和数量，核对盘柜技术参数及实施施工结果与合同、设计图纸等技术文件是否相符，检查施工记录，应符合现行国家标准GB 50053和GB 50171的有关规定。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低压母线及二次回路</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检查设备的型号、配置和数量，核对设备技术参数及实际施工结果与合同</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设计图纸等技术文件是否相符，检查施工记录，应符合现行国家标准GB 50171 和GBJ 149的有关规定。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低压配电</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检查低压配线的接线和相序、配电设备布置、配电线路的保护、配电线路的敷设等，核对配电设备技术参数及实施施工结果与设计图纸是否相符，检查施工记录，应符合现行国家标准GB 50575和GB 50054的有关规定。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电缆</w:t>
            </w:r>
          </w:p>
        </w:tc>
        <w:tc>
          <w:tcPr>
            <w:tcW w:w="4717" w:type="dxa"/>
            <w:vAlign w:val="center"/>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sz w:val="22"/>
                <w:highlight w:val="none"/>
                <w:u w:color="000000"/>
                <w:lang w:val="zh-TW" w:eastAsia="zh-TW"/>
              </w:rPr>
            </w:pPr>
            <w:r>
              <w:rPr>
                <w:rFonts w:hint="default" w:ascii="Times New Roman" w:hAnsi="Times New Roman" w:eastAsia="仿宋_GB2312" w:cs="Times New Roman"/>
                <w:sz w:val="22"/>
                <w:highlight w:val="none"/>
                <w:u w:color="000000"/>
                <w:lang w:val="zh-TW" w:eastAsia="zh-TW"/>
              </w:rPr>
              <w:t>检查电缆的型号、配置和参数，核对电缆技术参数及实际施工结果与合同、设计图纸等技术文件是否相</w:t>
            </w:r>
            <w:r>
              <w:rPr>
                <w:rFonts w:hint="default" w:ascii="Times New Roman" w:hAnsi="Times New Roman" w:eastAsia="仿宋_GB2312" w:cs="Times New Roman"/>
                <w:kern w:val="0"/>
                <w:sz w:val="22"/>
                <w:highlight w:val="none"/>
                <w:u w:color="000000"/>
                <w:lang w:val="zh-TW" w:eastAsia="zh-TW"/>
              </w:rPr>
              <w:t>符，检查施工记录，应符合现行国家标准GB 50168 和GB 50303的有关规定。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电能质量</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检测供电系统电压偏差、电压不平衡度、谐波限值等参数，应符合现行国家标准GB/T 29316的有关规定。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电能计量</w:t>
            </w:r>
          </w:p>
        </w:tc>
        <w:tc>
          <w:tcPr>
            <w:tcW w:w="4717" w:type="dxa"/>
            <w:vAlign w:val="center"/>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sz w:val="22"/>
                <w:highlight w:val="none"/>
                <w:u w:color="000000"/>
                <w:lang w:val="zh-TW" w:eastAsia="zh-TW"/>
              </w:rPr>
            </w:pPr>
            <w:r>
              <w:rPr>
                <w:rFonts w:hint="default" w:ascii="Times New Roman" w:hAnsi="Times New Roman" w:eastAsia="仿宋_GB2312" w:cs="Times New Roman"/>
                <w:sz w:val="22"/>
                <w:highlight w:val="none"/>
                <w:u w:color="000000"/>
                <w:lang w:val="zh-TW" w:eastAsia="zh-TW"/>
              </w:rPr>
              <w:t>检查供电系统电能计量装置的型号、配置和数量，核对计量装置的技术参数及实际施工结果与合同、设计图纸等技术文件是否相符，检查施工记录，应符合现行行业标准DL/T 448的有关规定。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33"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w:t>
            </w:r>
          </w:p>
        </w:tc>
        <w:tc>
          <w:tcPr>
            <w:tcW w:w="1364"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防雷接地</w:t>
            </w:r>
          </w:p>
        </w:tc>
        <w:tc>
          <w:tcPr>
            <w:tcW w:w="4717" w:type="dxa"/>
            <w:vAlign w:val="center"/>
          </w:tcPr>
          <w:p>
            <w:pPr>
              <w:pStyle w:val="50"/>
              <w:keepNext w:val="0"/>
              <w:keepLines w:val="0"/>
              <w:pageBreakBefore w:val="0"/>
              <w:kinsoku/>
              <w:wordWrap/>
              <w:overflowPunct/>
              <w:topLinePunct w:val="0"/>
              <w:bidi w:val="0"/>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检查供电系统电气装置的防雷和接地</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核对实际施工结果与设计图纸是否相符，检查施工记录</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应满足现行国家标准GBJ 65的有关规定。</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79" w:lineRule="exact"/>
        <w:ind w:firstLine="610" w:firstLineChars="193"/>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3.2 充电系统验收</w:t>
      </w:r>
    </w:p>
    <w:p>
      <w:pPr>
        <w:pStyle w:val="50"/>
        <w:spacing w:line="579" w:lineRule="exact"/>
        <w:ind w:firstLine="610" w:firstLineChars="193"/>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3.2.1 交流充电桩验收（见表2）</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表2  交流充电桩验收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637"/>
        <w:gridCol w:w="4268"/>
        <w:gridCol w:w="1220"/>
        <w:gridCol w:w="1213"/>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序号</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验收内容</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验收记录</w:t>
            </w: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型号</w:t>
            </w:r>
          </w:p>
        </w:tc>
        <w:tc>
          <w:tcPr>
            <w:tcW w:w="4268"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根据合同和技术协议等相关文件检查并进行基本信息登记。</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额定电压</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额定电流</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生产厂家</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出厂编号</w:t>
            </w:r>
          </w:p>
        </w:tc>
        <w:tc>
          <w:tcPr>
            <w:tcW w:w="4268"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基本构成</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充电机外壳应平整，无明显缺陷。</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表面涂镀应均匀，无脱落。</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零部件紧固可靠，无锈蚀裂纹等损伤。</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标志与标识</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所有铭牌标识安装齐全、端正、牢固、字迹清晰</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具有明显警示标志。</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人机交互功能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显示字符、支付二维码等应清晰、完整、没有缺损现象，对比度高，不应依靠环境光源辨认；触摸屏可正常响应。</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移动通讯设备与充电设施交互正常。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键盘所有按键正常，读卡器读卡正常。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充电桩能够正常完成从充电开始、充电结束、结算等全部充电流程。</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计量功能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充电桩具有对输出电能量的正确计量功能。</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交易支付功能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结算信息正确显示计量计费信息、充电时间及用户信息。</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充电桩费率准确，任一结算方式均正常。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通信功能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充电时实时数据与监控系统采集数据核实一致。</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充电记录信息与监控系统采集数据核实一致。</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安全防护功能</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绝缘电阻试验符合技术要求。</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故障及报警信息，与监控系统采集数据核实一致。</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637"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紧急停止功能正常。</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充电接口的</w:t>
            </w:r>
          </w:p>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结构、物理尺寸、端子定义</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检查充电接口的结构、物理尺寸及公差、端子定义，应符合现行国家标准GB/T 20234.2的有关规定。</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3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1637"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产品安装</w:t>
            </w:r>
          </w:p>
        </w:tc>
        <w:tc>
          <w:tcPr>
            <w:tcW w:w="4268"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安装牢固，有防盗、防撞、防恶意破坏措施。</w:t>
            </w:r>
          </w:p>
        </w:tc>
        <w:tc>
          <w:tcPr>
            <w:tcW w:w="122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213"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bl>
    <w:p>
      <w:pPr>
        <w:pStyle w:val="50"/>
        <w:spacing w:line="579" w:lineRule="exact"/>
        <w:ind w:firstLine="610" w:firstLineChars="193"/>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3.2.2 非车载充电机验收（见表3）</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表3  非车载充电机验收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57" w:type="dxa"/>
          <w:bottom w:w="0" w:type="dxa"/>
          <w:right w:w="57" w:type="dxa"/>
        </w:tblCellMar>
      </w:tblPr>
      <w:tblGrid>
        <w:gridCol w:w="633"/>
        <w:gridCol w:w="1263"/>
        <w:gridCol w:w="5053"/>
        <w:gridCol w:w="1091"/>
        <w:gridCol w:w="103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序号</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验收内容</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验收记录</w:t>
            </w: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型号</w:t>
            </w:r>
          </w:p>
        </w:tc>
        <w:tc>
          <w:tcPr>
            <w:tcW w:w="505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根据合同和技术协议等相关文件检查并进行基本信息登记。</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额定电压</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kern w:val="44"/>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额定电流</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kern w:val="44"/>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生产厂家</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bCs/>
                <w:kern w:val="44"/>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出厂编号</w:t>
            </w:r>
          </w:p>
        </w:tc>
        <w:tc>
          <w:tcPr>
            <w:tcW w:w="5053"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2"/>
                <w:highlight w:val="none"/>
                <w:u w:color="000000"/>
                <w:lang w:val="zh-TW" w:eastAsia="zh-TW"/>
              </w:rPr>
            </w:pP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基本构成</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充电机外壳应平整，无明显缺陷。</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表面涂镀应均匀，无脱落。</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零部件紧固可靠，无锈蚀裂纹等损伤。</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标志与标识</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所有铭牌标识安装齐全、端正、牢固、字迹清晰</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具有明显警示标志。</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人机交互</w:t>
            </w:r>
          </w:p>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显示字符</w:t>
            </w:r>
            <w:r>
              <w:rPr>
                <w:rFonts w:hint="default" w:ascii="Times New Roman" w:hAnsi="Times New Roman" w:eastAsia="仿宋_GB2312" w:cs="Times New Roman"/>
                <w:color w:val="auto"/>
                <w:highlight w:val="none"/>
                <w:lang w:eastAsia="zh-CN"/>
              </w:rPr>
              <w:t>、支付二维码等</w:t>
            </w:r>
            <w:r>
              <w:rPr>
                <w:rFonts w:hint="default" w:ascii="Times New Roman" w:hAnsi="Times New Roman" w:eastAsia="仿宋_GB2312" w:cs="Times New Roman"/>
                <w:color w:val="auto"/>
                <w:highlight w:val="none"/>
              </w:rPr>
              <w:t>应清晰、完</w:t>
            </w:r>
            <w:r>
              <w:rPr>
                <w:rFonts w:hint="default" w:ascii="Times New Roman" w:hAnsi="Times New Roman" w:eastAsia="仿宋_GB2312" w:cs="Times New Roman"/>
                <w:color w:val="auto"/>
                <w:spacing w:val="-6"/>
                <w:highlight w:val="none"/>
              </w:rPr>
              <w:t>整、没有缺损现象，对比度高，不应依靠环境光源辨认；触摸屏可正常响应。</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移动通讯设备与充电设施交互正常。</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键盘所有按键正常，读卡器读卡正常。</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充电桩能够正常完成从充电开始、充电结束、结算等全部充电流程。</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BMS通信功能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充电过程中充电机能够按照蓄电池管理系统（BMS</w:t>
            </w:r>
            <w:r>
              <w:rPr>
                <w:rFonts w:hint="default" w:ascii="Times New Roman" w:hAnsi="Times New Roman" w:eastAsia="仿宋_GB2312" w:cs="Times New Roman"/>
                <w:color w:val="auto"/>
                <w:spacing w:val="-6"/>
                <w:highlight w:val="none"/>
                <w:lang w:eastAsia="zh-CN"/>
              </w:rPr>
              <w:t>）</w:t>
            </w:r>
            <w:r>
              <w:rPr>
                <w:rFonts w:hint="default" w:ascii="Times New Roman" w:hAnsi="Times New Roman" w:eastAsia="仿宋_GB2312" w:cs="Times New Roman"/>
                <w:color w:val="auto"/>
                <w:spacing w:val="-6"/>
                <w:highlight w:val="none"/>
              </w:rPr>
              <w:t>的要求动态调整充电参数。</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计量功能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充电桩具有对输出电能量的正确计量功能。</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交易支付</w:t>
            </w:r>
          </w:p>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结算信息正确显示计量计费信息，充电时间及</w:t>
            </w:r>
            <w:r>
              <w:rPr>
                <w:rFonts w:hint="default" w:ascii="Times New Roman" w:hAnsi="Times New Roman" w:eastAsia="仿宋_GB2312" w:cs="Times New Roman"/>
                <w:color w:val="auto"/>
                <w:highlight w:val="none"/>
                <w:lang w:eastAsia="zh-CN"/>
              </w:rPr>
              <w:t>用户</w:t>
            </w:r>
            <w:r>
              <w:rPr>
                <w:rFonts w:hint="default" w:ascii="Times New Roman" w:hAnsi="Times New Roman" w:eastAsia="仿宋_GB2312" w:cs="Times New Roman"/>
                <w:color w:val="auto"/>
                <w:highlight w:val="none"/>
              </w:rPr>
              <w:t>信息。</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6"/>
                <w:highlight w:val="none"/>
              </w:rPr>
              <w:t>充电桩费率准确，</w:t>
            </w:r>
            <w:r>
              <w:rPr>
                <w:rFonts w:hint="default" w:ascii="Times New Roman" w:hAnsi="Times New Roman" w:eastAsia="仿宋_GB2312" w:cs="Times New Roman"/>
                <w:color w:val="auto"/>
                <w:spacing w:val="-6"/>
                <w:highlight w:val="none"/>
                <w:lang w:eastAsia="zh-CN"/>
              </w:rPr>
              <w:t>任一结算方式均</w:t>
            </w:r>
            <w:r>
              <w:rPr>
                <w:rFonts w:hint="default" w:ascii="Times New Roman" w:hAnsi="Times New Roman" w:eastAsia="仿宋_GB2312" w:cs="Times New Roman"/>
                <w:color w:val="auto"/>
                <w:spacing w:val="-6"/>
                <w:highlight w:val="none"/>
              </w:rPr>
              <w:t>正常</w:t>
            </w:r>
            <w:r>
              <w:rPr>
                <w:rFonts w:hint="default" w:ascii="Times New Roman" w:hAnsi="Times New Roman" w:eastAsia="仿宋_GB2312" w:cs="Times New Roman"/>
                <w:color w:val="auto"/>
                <w:highlight w:val="none"/>
              </w:rPr>
              <w:t>。</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通信功能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充电时实时数据与监控系统采集数据核实一致。</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充电记录信息与监控系统采集数据核实一致。</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restart"/>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安全防护</w:t>
            </w:r>
          </w:p>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功能</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绝缘电阻试验符合技术要求。</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rPr>
              <w:t>故障及报警信息，与监控系统采集数据核实一致。</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1263"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2"/>
                <w:highlight w:val="none"/>
                <w:u w:color="000000"/>
                <w:lang w:val="zh-TW" w:eastAsia="zh-TW"/>
              </w:rPr>
            </w:pP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紧急停止功能正常。</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充电接口的结构、物理尺寸、端子定义</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检查充电接口的结构、物理尺寸及公差、端子定义，应符合现行国家标准GB/T 20234.</w:t>
            </w:r>
            <w:r>
              <w:rPr>
                <w:rFonts w:hint="default" w:ascii="Times New Roman" w:hAnsi="Times New Roman" w:eastAsia="仿宋_GB2312" w:cs="Times New Roman"/>
                <w:color w:val="auto"/>
                <w:highlight w:val="none"/>
                <w:lang w:eastAsia="zh-CN"/>
              </w:rPr>
              <w:t>3</w:t>
            </w:r>
            <w:r>
              <w:rPr>
                <w:rFonts w:hint="default" w:ascii="Times New Roman" w:hAnsi="Times New Roman" w:eastAsia="仿宋_GB2312" w:cs="Times New Roman"/>
                <w:color w:val="auto"/>
                <w:highlight w:val="none"/>
              </w:rPr>
              <w:t>的有关规定。</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57" w:type="dxa"/>
            <w:bottom w:w="0" w:type="dxa"/>
            <w:right w:w="57" w:type="dxa"/>
          </w:tblCellMar>
        </w:tblPrEx>
        <w:trPr>
          <w:cantSplit/>
          <w:trHeight w:val="0" w:hRule="atLeast"/>
          <w:jc w:val="center"/>
        </w:trPr>
        <w:tc>
          <w:tcPr>
            <w:tcW w:w="63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1263"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产品安装</w:t>
            </w:r>
          </w:p>
        </w:tc>
        <w:tc>
          <w:tcPr>
            <w:tcW w:w="5053" w:type="dxa"/>
            <w:vAlign w:val="center"/>
          </w:tcPr>
          <w:p>
            <w:pPr>
              <w:pStyle w:val="50"/>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安装牢固，有防盗、防撞、防恶意破坏措施。</w:t>
            </w:r>
          </w:p>
        </w:tc>
        <w:tc>
          <w:tcPr>
            <w:tcW w:w="109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c>
          <w:tcPr>
            <w:tcW w:w="1031" w:type="dxa"/>
            <w:vAlign w:val="center"/>
          </w:tcPr>
          <w:p>
            <w:pPr>
              <w:pStyle w:val="50"/>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rPr>
            </w:pPr>
          </w:p>
        </w:tc>
      </w:tr>
    </w:tbl>
    <w:p>
      <w:pPr>
        <w:pStyle w:val="50"/>
        <w:spacing w:line="579" w:lineRule="exact"/>
        <w:ind w:firstLine="610" w:firstLineChars="193"/>
        <w:rPr>
          <w:rFonts w:hint="default" w:ascii="Times New Roman" w:hAnsi="Times New Roman" w:eastAsia="宋体" w:cs="Times New Roman"/>
          <w:color w:val="auto"/>
          <w:sz w:val="32"/>
          <w:szCs w:val="32"/>
          <w:highlight w:val="none"/>
          <w:lang w:eastAsia="zh-CN"/>
        </w:rPr>
      </w:pPr>
      <w:r>
        <w:rPr>
          <w:rFonts w:hint="default" w:ascii="Times New Roman" w:hAnsi="Times New Roman" w:eastAsia="宋体" w:cs="Times New Roman"/>
          <w:color w:val="auto"/>
          <w:sz w:val="32"/>
          <w:szCs w:val="32"/>
          <w:highlight w:val="none"/>
          <w:lang w:eastAsia="zh-CN"/>
        </w:rPr>
        <w:t>3.3</w:t>
      </w:r>
      <w:r>
        <w:rPr>
          <w:rFonts w:hint="default" w:ascii="Times New Roman" w:hAnsi="Times New Roman" w:eastAsia="楷体_GB2312" w:cs="Times New Roman"/>
          <w:color w:val="auto"/>
          <w:sz w:val="32"/>
          <w:szCs w:val="32"/>
          <w:highlight w:val="none"/>
          <w:lang w:val="en-US" w:eastAsia="zh-CN"/>
        </w:rPr>
        <w:t>换电站</w:t>
      </w:r>
      <w:r>
        <w:rPr>
          <w:rFonts w:hint="default" w:ascii="Times New Roman" w:hAnsi="Times New Roman" w:eastAsia="楷体_GB2312" w:cs="Times New Roman"/>
          <w:color w:val="auto"/>
          <w:sz w:val="32"/>
          <w:szCs w:val="32"/>
          <w:highlight w:val="none"/>
          <w:lang w:eastAsia="zh-CN"/>
        </w:rPr>
        <w:t>供电系统验收（见表4）</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表4  换电站供电系统验收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57" w:type="dxa"/>
          <w:left w:w="57" w:type="dxa"/>
          <w:bottom w:w="57" w:type="dxa"/>
          <w:right w:w="57" w:type="dxa"/>
        </w:tblCellMar>
      </w:tblPr>
      <w:tblGrid>
        <w:gridCol w:w="689"/>
        <w:gridCol w:w="1265"/>
        <w:gridCol w:w="4760"/>
        <w:gridCol w:w="1178"/>
        <w:gridCol w:w="117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序号</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验收内容</w:t>
            </w:r>
          </w:p>
        </w:tc>
        <w:tc>
          <w:tcPr>
            <w:tcW w:w="4760"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收</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方</w:t>
            </w:r>
            <w:r>
              <w:rPr>
                <w:rFonts w:hint="default" w:ascii="Times New Roman" w:hAnsi="Times New Roman" w:eastAsia="黑体" w:cs="Times New Roman"/>
                <w:color w:val="auto"/>
                <w:highlight w:val="none"/>
                <w:lang w:eastAsia="zh-CN"/>
              </w:rPr>
              <w:t xml:space="preserve">  </w:t>
            </w:r>
            <w:r>
              <w:rPr>
                <w:rFonts w:hint="default" w:ascii="Times New Roman" w:hAnsi="Times New Roman" w:eastAsia="黑体" w:cs="Times New Roman"/>
                <w:color w:val="auto"/>
                <w:highlight w:val="none"/>
              </w:rPr>
              <w:t>法</w:t>
            </w:r>
          </w:p>
        </w:tc>
        <w:tc>
          <w:tcPr>
            <w:tcW w:w="1178"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验收记录</w:t>
            </w:r>
          </w:p>
        </w:tc>
        <w:tc>
          <w:tcPr>
            <w:tcW w:w="117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变压器</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检查变压器的型号、配置和数量，核对变压器技术参数及实际施工结果与合同、设计图纸等技术文件是否相符，检查施工记录，应符合现行国家标准的有关规定。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控制柜等</w:t>
            </w:r>
          </w:p>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盘柜</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检查供电系统盘柜的型号、配置和数量，核对盘柜技术参数及实施施工结果与合同、设计图纸等技术文件是否相符，检查施工记录，应符合现行国家标准的有关规定。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3</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电源配置</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检查供电电源、站用电源、不间断电源配置情况，</w:t>
            </w:r>
            <w:r>
              <w:rPr>
                <w:rFonts w:hint="default" w:ascii="Times New Roman" w:hAnsi="Times New Roman" w:eastAsia="仿宋_GB2312" w:cs="Times New Roman"/>
                <w:color w:val="auto"/>
                <w:highlight w:val="none"/>
              </w:rPr>
              <w:t>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4</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母线及</w:t>
            </w:r>
          </w:p>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二次回路</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检查设备的型号、配置和数量，核对设备技术参数及实际施工结果与合同、设计图纸等技术文件是否相符，检查施工记录，应符合现行国家标准的有关规定。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5</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配电</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检查配线的接线和相序、配电设备布置、配电线路的保护、配电线路的敷设等，核对配电设备技术参数及实施施工结果与设计图纸是否相符，检查施工记录，应符合现行国家标准的有关规定。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6</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电缆</w:t>
            </w:r>
          </w:p>
        </w:tc>
        <w:tc>
          <w:tcPr>
            <w:tcW w:w="47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kern w:val="0"/>
                <w:sz w:val="22"/>
                <w:highlight w:val="none"/>
                <w:u w:color="000000"/>
                <w:lang w:val="zh-TW"/>
              </w:rPr>
            </w:pPr>
            <w:r>
              <w:rPr>
                <w:rFonts w:hint="default" w:ascii="Times New Roman" w:hAnsi="Times New Roman" w:eastAsia="仿宋_GB2312" w:cs="Times New Roman"/>
                <w:kern w:val="0"/>
                <w:sz w:val="22"/>
                <w:highlight w:val="none"/>
                <w:u w:color="000000"/>
                <w:lang w:val="zh-TW"/>
              </w:rPr>
              <w:t>检查电缆的型号、配置和参数，核对电缆技术参数及实际施工结果与合同、设计图纸等技术文件是否相符，检查施工记录，应符合现行国家标准的有关规定。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7</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电能质量</w:t>
            </w:r>
          </w:p>
        </w:tc>
        <w:tc>
          <w:tcPr>
            <w:tcW w:w="47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spacing w:val="-4"/>
                <w:kern w:val="0"/>
                <w:sz w:val="22"/>
                <w:highlight w:val="none"/>
                <w:u w:color="000000"/>
                <w:lang w:val="zh-TW"/>
              </w:rPr>
            </w:pPr>
            <w:r>
              <w:rPr>
                <w:rFonts w:hint="default" w:ascii="Times New Roman" w:hAnsi="Times New Roman" w:eastAsia="仿宋_GB2312" w:cs="Times New Roman"/>
                <w:spacing w:val="-4"/>
                <w:kern w:val="0"/>
                <w:sz w:val="22"/>
                <w:highlight w:val="none"/>
                <w:u w:color="000000"/>
                <w:lang w:val="zh-TW"/>
              </w:rPr>
              <w:t>检测供电系统电压偏差、电压不平衡度、谐波限值等参数，应符合现行国家标准的有关规定。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8</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电能计量</w:t>
            </w:r>
          </w:p>
        </w:tc>
        <w:tc>
          <w:tcPr>
            <w:tcW w:w="4760" w:type="dxa"/>
          </w:tcPr>
          <w:p>
            <w:pPr>
              <w:keepNext w:val="0"/>
              <w:keepLines w:val="0"/>
              <w:pageBreakBefore w:val="0"/>
              <w:kinsoku/>
              <w:wordWrap/>
              <w:overflowPunct/>
              <w:topLinePunct w:val="0"/>
              <w:autoSpaceDE w:val="0"/>
              <w:autoSpaceDN w:val="0"/>
              <w:bidi w:val="0"/>
              <w:adjustRightInd w:val="0"/>
              <w:snapToGrid/>
              <w:spacing w:line="320" w:lineRule="exact"/>
              <w:textAlignment w:val="auto"/>
              <w:rPr>
                <w:rFonts w:hint="default" w:ascii="Times New Roman" w:hAnsi="Times New Roman" w:cs="Times New Roman"/>
                <w:kern w:val="0"/>
                <w:sz w:val="22"/>
                <w:highlight w:val="none"/>
                <w:u w:color="000000"/>
                <w:lang w:val="zh-TW"/>
              </w:rPr>
            </w:pPr>
            <w:r>
              <w:rPr>
                <w:rFonts w:hint="default" w:ascii="Times New Roman" w:hAnsi="Times New Roman" w:eastAsia="仿宋_GB2312" w:cs="Times New Roman"/>
                <w:kern w:val="0"/>
                <w:sz w:val="22"/>
                <w:highlight w:val="none"/>
                <w:u w:color="000000"/>
                <w:lang w:val="zh-TW"/>
              </w:rPr>
              <w:t>检查供电系统电能计量装置的型号、配置和数量，核对计量装置的技术参数及实际施工结果与合同、设计图纸等技术文件是否相符，检查施工记录，应符合现行国家、行业标准的有关规定。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57" w:type="dxa"/>
            <w:left w:w="57" w:type="dxa"/>
            <w:bottom w:w="57" w:type="dxa"/>
            <w:right w:w="57" w:type="dxa"/>
          </w:tblCellMar>
        </w:tblPrEx>
        <w:trPr>
          <w:trHeight w:val="0" w:hRule="atLeast"/>
          <w:jc w:val="center"/>
        </w:trPr>
        <w:tc>
          <w:tcPr>
            <w:tcW w:w="689"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9</w:t>
            </w:r>
          </w:p>
        </w:tc>
        <w:tc>
          <w:tcPr>
            <w:tcW w:w="1265" w:type="dxa"/>
            <w:vAlign w:val="center"/>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防雷接地</w:t>
            </w:r>
          </w:p>
        </w:tc>
        <w:tc>
          <w:tcPr>
            <w:tcW w:w="4760" w:type="dxa"/>
          </w:tcPr>
          <w:p>
            <w:pPr>
              <w:pStyle w:val="50"/>
              <w:keepNext w:val="0"/>
              <w:keepLines w:val="0"/>
              <w:pageBreakBefore w:val="0"/>
              <w:kinsoku/>
              <w:wordWrap/>
              <w:overflowPunct/>
              <w:topLinePunct w:val="0"/>
              <w:bidi w:val="0"/>
              <w:snapToGrid/>
              <w:spacing w:line="320" w:lineRule="exac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检查供电系统电气装置的防雷和接地，核对实际施工结果与设计图纸是否相符，检查施工记录，应满足现行国家标准的有关规定。</w:t>
            </w:r>
          </w:p>
        </w:tc>
        <w:tc>
          <w:tcPr>
            <w:tcW w:w="1178"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79" w:type="dxa"/>
          </w:tcPr>
          <w:p>
            <w:pPr>
              <w:pStyle w:val="50"/>
              <w:keepNext w:val="0"/>
              <w:keepLines w:val="0"/>
              <w:pageBreakBefore w:val="0"/>
              <w:kinsoku/>
              <w:wordWrap/>
              <w:overflowPunct/>
              <w:topLinePunct w:val="0"/>
              <w:bidi w:val="0"/>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79" w:lineRule="exact"/>
        <w:ind w:firstLine="610" w:firstLineChars="193"/>
        <w:rPr>
          <w:rFonts w:hint="default" w:ascii="Times New Roman" w:hAnsi="Times New Roman" w:eastAsia="宋体" w:cs="Times New Roman"/>
          <w:color w:val="auto"/>
          <w:sz w:val="32"/>
          <w:szCs w:val="32"/>
          <w:highlight w:val="none"/>
          <w:lang w:eastAsia="zh-CN"/>
        </w:rPr>
      </w:pPr>
      <w:r>
        <w:rPr>
          <w:rFonts w:hint="default" w:ascii="Times New Roman" w:hAnsi="Times New Roman" w:eastAsia="宋体" w:cs="Times New Roman"/>
          <w:color w:val="auto"/>
          <w:sz w:val="32"/>
          <w:szCs w:val="32"/>
          <w:highlight w:val="none"/>
          <w:lang w:eastAsia="zh-CN"/>
        </w:rPr>
        <w:t xml:space="preserve">3.4 </w:t>
      </w:r>
      <w:r>
        <w:rPr>
          <w:rFonts w:hint="default" w:ascii="Times New Roman" w:hAnsi="Times New Roman" w:eastAsia="楷体_GB2312" w:cs="Times New Roman"/>
          <w:color w:val="auto"/>
          <w:sz w:val="32"/>
          <w:szCs w:val="32"/>
          <w:highlight w:val="none"/>
          <w:lang w:eastAsia="zh-CN"/>
        </w:rPr>
        <w:t>换电系统验收（见表5）</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表5  换电系统验收</w:t>
      </w:r>
    </w:p>
    <w:tbl>
      <w:tblPr>
        <w:tblStyle w:val="1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bottom w:w="28" w:type="dxa"/>
          <w:right w:w="57" w:type="dxa"/>
        </w:tblCellMar>
      </w:tblPr>
      <w:tblGrid>
        <w:gridCol w:w="647"/>
        <w:gridCol w:w="1235"/>
        <w:gridCol w:w="4909"/>
        <w:gridCol w:w="1149"/>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序号</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验收内容</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  收  方  法</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验收记录</w:t>
            </w: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1</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外观尺寸不超过3种，相同尺寸电池箱具有相同电压。</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宜有锁止装置和紧急解锁功能，具有与充电机及车的通信接口。</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具备必要的机械强度和防护等级，具有通风散热功能。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2</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充电架</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与电池箱相匹配，采用框架组合，操作通道、检修通道等符合要求。</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具备必要的机械强度，具有限位固定、导向功能，具备空置、就位、正在充电、充满等状态显示功能。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3</w:t>
            </w:r>
          </w:p>
        </w:tc>
        <w:tc>
          <w:tcPr>
            <w:tcW w:w="1235" w:type="dxa"/>
            <w:vMerge w:val="restart"/>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w:t>
            </w:r>
          </w:p>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连接器</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采用强弱电分离结构，具有防误插功能。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导向机构应能修正不少于5mm位置误差。</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4</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w:t>
            </w:r>
          </w:p>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更换设备</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由自动或半自动设备组成，具有方便、快捷更换电池箱的能力，并具有紧急停止功能。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具有固定电池箱的结构，确保电池箱的安全转运。起重设备或搬运设备应具备失电或其他意外情况下的紧急制动功能。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5</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电池箱检测与维护</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设置单独的检测维护区域或房间，具备重新标定单体电池实际容量、检测单体电池内阻、检测电池箱和单体电池绝缘性能、对单体电池单独充放电的能力。</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6</w:t>
            </w:r>
          </w:p>
        </w:tc>
        <w:tc>
          <w:tcPr>
            <w:tcW w:w="1235" w:type="dxa"/>
            <w:vMerge w:val="restart"/>
            <w:tcBorders>
              <w:top w:val="single" w:color="000000" w:sz="4" w:space="0"/>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充电机</w:t>
            </w: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采用模块化高频开关变换型电源，充电机数量与充电架联结的电池箱数量一致。</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lang w:eastAsia="zh-CN"/>
              </w:rPr>
            </w:pPr>
            <w:r>
              <w:rPr>
                <w:rFonts w:hint="default" w:ascii="Times New Roman" w:hAnsi="Times New Roman" w:eastAsia="仿宋_GB2312" w:cs="Times New Roman"/>
                <w:color w:val="auto"/>
                <w:spacing w:val="-4"/>
                <w:highlight w:val="none"/>
                <w:lang w:eastAsia="zh-CN"/>
              </w:rPr>
              <w:t>具有与电池管理系统和后台监控系统通信的能力，并能根据电池管理系统和后台监控系统提供的数据，动态调整充电参数、自动完成充电过程。</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2"/>
                <w:highlight w:val="none"/>
                <w:lang w:eastAsia="zh-CN"/>
              </w:rPr>
            </w:pPr>
            <w:r>
              <w:rPr>
                <w:rFonts w:hint="default" w:ascii="Times New Roman" w:hAnsi="Times New Roman" w:eastAsia="仿宋_GB2312" w:cs="Times New Roman"/>
                <w:color w:val="auto"/>
                <w:spacing w:val="-2"/>
                <w:highlight w:val="none"/>
                <w:lang w:eastAsia="zh-CN"/>
              </w:rPr>
              <w:t>能判断电池箱是否连接正确，具有充电、充满、停机等状态指示，并将此信息送至充电架。</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647"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235" w:type="dxa"/>
            <w:vMerge w:val="continue"/>
            <w:tcBorders>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490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显示直流电压、直流电流等必要的信息，故障时应有相应的告警信息，具备交流输入过欠压保护、过流保护、直流输出过压保护、过温保护等功能。</w:t>
            </w:r>
          </w:p>
        </w:tc>
        <w:tc>
          <w:tcPr>
            <w:tcW w:w="1149"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131" w:type="dxa"/>
            <w:tcBorders>
              <w:top w:val="single" w:color="000000" w:sz="4" w:space="0"/>
              <w:left w:val="single" w:color="000000" w:sz="4" w:space="0"/>
              <w:bottom w:val="single" w:color="000000" w:sz="4" w:space="0"/>
              <w:right w:val="single" w:color="000000" w:sz="4" w:space="0"/>
            </w:tcBorders>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79" w:lineRule="exact"/>
        <w:ind w:firstLine="610" w:firstLineChars="193"/>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3.5监控系统验收（见表6）</w:t>
      </w:r>
    </w:p>
    <w:p>
      <w:pPr>
        <w:spacing w:line="590" w:lineRule="exact"/>
        <w:jc w:val="center"/>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rPr>
        <w:t>表6  监控系统验收</w:t>
      </w:r>
    </w:p>
    <w:tbl>
      <w:tblPr>
        <w:tblStyle w:val="18"/>
        <w:tblW w:w="9071"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28" w:type="dxa"/>
          <w:left w:w="57" w:type="dxa"/>
          <w:bottom w:w="28" w:type="dxa"/>
          <w:right w:w="57" w:type="dxa"/>
        </w:tblCellMar>
      </w:tblPr>
      <w:tblGrid>
        <w:gridCol w:w="870"/>
        <w:gridCol w:w="1359"/>
        <w:gridCol w:w="3925"/>
        <w:gridCol w:w="1511"/>
        <w:gridCol w:w="1406"/>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序号</w:t>
            </w:r>
          </w:p>
        </w:tc>
        <w:tc>
          <w:tcPr>
            <w:tcW w:w="1359"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验收内容</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  收  方  法</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验收记录</w:t>
            </w: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验收结论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1</w:t>
            </w:r>
          </w:p>
        </w:tc>
        <w:tc>
          <w:tcPr>
            <w:tcW w:w="1359"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在线情况</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站内充电桩或换电工位应全部在线。</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2</w:t>
            </w:r>
          </w:p>
        </w:tc>
        <w:tc>
          <w:tcPr>
            <w:tcW w:w="1359"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地理信息</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充换电站地理信息应显示准确。</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3</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系统完整性检查</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spacing w:val="-4"/>
                <w:highlight w:val="none"/>
                <w:lang w:eastAsia="zh-CN"/>
              </w:rPr>
            </w:pPr>
            <w:r>
              <w:rPr>
                <w:rFonts w:hint="default" w:ascii="Times New Roman" w:hAnsi="Times New Roman" w:eastAsia="仿宋_GB2312" w:cs="Times New Roman"/>
                <w:color w:val="auto"/>
                <w:spacing w:val="-4"/>
                <w:highlight w:val="none"/>
                <w:lang w:eastAsia="zh-CN"/>
              </w:rPr>
              <w:t>站控层具备必要的监视、报警、控制与操作、时间顺序记录、电能计量与计费、视频及环境监控、数据远传功能。</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间隔层具备充电监控单元、电池更换监控单元、供电监控单元、视频及环境监控单元等监控设备。</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4</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数据实时性监测</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监视、报警等实时数据的采集周期满足技术规范要求。</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站控层实时数据与间隔层现场数据应一致。</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状态信息、交易记录及故障告警信息应能够按照技术规范要求及时上报。</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5</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数据可靠性检测</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电能计量与计费记录与现场结算信息应一致。</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现场发生故障时，监控系统故障信息显示正确。</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监控系统能够完整地显示站内所有主要设备运行参数和状态数据。</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6</w:t>
            </w:r>
          </w:p>
        </w:tc>
        <w:tc>
          <w:tcPr>
            <w:tcW w:w="1359" w:type="dxa"/>
            <w:vMerge w:val="restart"/>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数据完整性检测</w:t>
            </w: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交易记录不能存在丢失、误报、重报等情况。</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现场发生的所有故障均能准确地在监控系统内记录显示。</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28" w:type="dxa"/>
            <w:left w:w="57" w:type="dxa"/>
            <w:bottom w:w="28" w:type="dxa"/>
            <w:right w:w="57" w:type="dxa"/>
          </w:tblCellMar>
        </w:tblPrEx>
        <w:trPr>
          <w:trHeight w:val="0" w:hRule="atLeast"/>
          <w:jc w:val="center"/>
        </w:trPr>
        <w:tc>
          <w:tcPr>
            <w:tcW w:w="870"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359" w:type="dxa"/>
            <w:vMerge w:val="continue"/>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3925"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监控系统所有记录保存时间满足技术规范要求。</w:t>
            </w:r>
          </w:p>
        </w:tc>
        <w:tc>
          <w:tcPr>
            <w:tcW w:w="1511"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c>
          <w:tcPr>
            <w:tcW w:w="1406" w:type="dxa"/>
            <w:vAlign w:val="center"/>
          </w:tcPr>
          <w:p>
            <w:pPr>
              <w:pStyle w:val="50"/>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highlight w:val="none"/>
                <w:lang w:eastAsia="zh-CN"/>
              </w:rPr>
            </w:pPr>
          </w:p>
        </w:tc>
      </w:tr>
    </w:tbl>
    <w:p>
      <w:pPr>
        <w:pStyle w:val="50"/>
        <w:spacing w:line="590" w:lineRule="exact"/>
        <w:ind w:firstLine="632" w:firstLineChars="20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4. 文档资料验收</w:t>
      </w:r>
    </w:p>
    <w:p>
      <w:pPr>
        <w:pStyle w:val="50"/>
        <w:spacing w:line="590" w:lineRule="exact"/>
        <w:ind w:firstLine="632"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4.1验收申请文件</w:t>
      </w:r>
    </w:p>
    <w:p>
      <w:pPr>
        <w:pStyle w:val="50"/>
        <w:spacing w:line="59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验收申请文件应包括以下文件：</w:t>
      </w:r>
    </w:p>
    <w:p>
      <w:pPr>
        <w:pStyle w:val="50"/>
        <w:spacing w:line="59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（1）项目备案等前期文件；</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（2）充电设施制造企业提供的</w:t>
      </w:r>
      <w:r>
        <w:rPr>
          <w:rFonts w:hint="default" w:ascii="Times New Roman" w:hAnsi="Times New Roman" w:eastAsia="仿宋_GB2312" w:cs="Times New Roman"/>
          <w:color w:val="auto"/>
          <w:sz w:val="32"/>
          <w:szCs w:val="32"/>
          <w:highlight w:val="none"/>
          <w:lang w:eastAsia="zh-CN"/>
        </w:rPr>
        <w:t>认证机构出具的认证证书或检测机构出具的标准符合性合格报告、相关设备的出厂验收报告（包括出厂合格证和质量证明书等）；</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（3）产品说明书、安装图纸等技术文件；</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（4）安装记录；</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（5）现场安装调试报告；</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（6）施工单位施工资质证书；</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（7）竣工调试记录；</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（8）计量检定或校准证书；</w:t>
      </w:r>
    </w:p>
    <w:p>
      <w:pPr>
        <w:pStyle w:val="50"/>
        <w:spacing w:line="550" w:lineRule="exact"/>
        <w:ind w:firstLine="632"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（9）验收申请书。</w:t>
      </w:r>
    </w:p>
    <w:p>
      <w:pPr>
        <w:pStyle w:val="50"/>
        <w:spacing w:line="550" w:lineRule="exact"/>
        <w:ind w:firstLine="632"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4.2验收报告文件</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验收报告文件应包括以下内容：</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1）验收结论；</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2）验收差异汇总报告；</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3）设备及文件资料现场验收报告（附现场设备验收清单和文件资料清单）。</w:t>
      </w:r>
    </w:p>
    <w:p>
      <w:pPr>
        <w:pStyle w:val="50"/>
        <w:spacing w:line="550" w:lineRule="exact"/>
        <w:ind w:firstLine="632" w:firstLineChars="20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5. 验收评价</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5.1验收达到以下要求时，可认为验收通过：</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1）项目的文档资料齐全；</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2）所有软、硬件设备型号、配置、数量和技术参数均满足项目合同等技术文件的要求；</w:t>
      </w:r>
    </w:p>
    <w:p>
      <w:pPr>
        <w:pStyle w:val="50"/>
        <w:spacing w:line="55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3）验收结果满足相关国家和行业标准规范的要求。</w:t>
      </w:r>
    </w:p>
    <w:p>
      <w:pPr>
        <w:pStyle w:val="50"/>
        <w:spacing w:line="550" w:lineRule="exact"/>
        <w:ind w:firstLine="632" w:firstLineChars="200"/>
        <w:rPr>
          <w:rFonts w:hint="default" w:ascii="Times New Roman" w:hAnsi="Times New Roman" w:eastAsia="PMingLiU" w:cs="Times New Roman"/>
          <w:color w:val="auto"/>
          <w:sz w:val="32"/>
          <w:szCs w:val="32"/>
          <w:highlight w:val="none"/>
        </w:rPr>
      </w:pPr>
      <w:r>
        <w:rPr>
          <w:rFonts w:hint="default" w:ascii="Times New Roman" w:hAnsi="Times New Roman" w:eastAsia="仿宋_GB2312" w:cs="Times New Roman"/>
          <w:color w:val="auto"/>
          <w:sz w:val="32"/>
          <w:szCs w:val="32"/>
          <w:highlight w:val="none"/>
        </w:rPr>
        <w:t>5.2无缺陷项目或“差异”项属于偏差，不致影响系统正常运行或安全，系统可按“合格”处理。</w:t>
      </w:r>
    </w:p>
    <w:p>
      <w:pPr>
        <w:pStyle w:val="50"/>
        <w:spacing w:line="550" w:lineRule="exact"/>
        <w:ind w:firstLine="632" w:firstLineChars="200"/>
        <w:rPr>
          <w:rFonts w:hint="default" w:ascii="Times New Roman" w:hAnsi="Times New Roman" w:eastAsia="PMingLiU" w:cs="Times New Roman"/>
          <w:color w:val="auto"/>
          <w:sz w:val="32"/>
          <w:szCs w:val="32"/>
          <w:highlight w:val="none"/>
        </w:rPr>
      </w:pPr>
      <w:r>
        <w:rPr>
          <w:rFonts w:hint="default" w:ascii="Times New Roman" w:hAnsi="Times New Roman" w:eastAsia="PMingLiU" w:cs="Times New Roman"/>
          <w:color w:val="auto"/>
          <w:sz w:val="32"/>
          <w:szCs w:val="32"/>
          <w:highlight w:val="none"/>
        </w:rPr>
        <w:br w:type="page"/>
      </w:r>
    </w:p>
    <w:p>
      <w:pPr>
        <w:pStyle w:val="50"/>
        <w:spacing w:line="590" w:lineRule="exac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附录</w:t>
      </w: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eastAsia="zh-CN"/>
        </w:rPr>
        <w:t xml:space="preserve">  </w:t>
      </w:r>
      <w:r>
        <w:rPr>
          <w:rFonts w:hint="default" w:ascii="Times New Roman" w:hAnsi="Times New Roman" w:eastAsia="仿宋_GB2312" w:cs="Times New Roman"/>
          <w:color w:val="auto"/>
          <w:sz w:val="32"/>
          <w:szCs w:val="32"/>
          <w:highlight w:val="none"/>
        </w:rPr>
        <w:t>电动汽车充换电设施竣工验收报告文件</w:t>
      </w:r>
    </w:p>
    <w:p>
      <w:pPr>
        <w:pStyle w:val="50"/>
        <w:spacing w:line="579" w:lineRule="exact"/>
        <w:jc w:val="center"/>
        <w:rPr>
          <w:rFonts w:hint="default" w:ascii="Times New Roman" w:hAnsi="Times New Roman" w:cs="Times New Roman"/>
          <w:color w:val="auto"/>
          <w:sz w:val="26"/>
          <w:szCs w:val="26"/>
          <w:highlight w:val="none"/>
          <w:lang w:eastAsia="zh-CN"/>
        </w:rPr>
      </w:pPr>
    </w:p>
    <w:p>
      <w:pPr>
        <w:pStyle w:val="50"/>
        <w:spacing w:line="579" w:lineRule="exact"/>
        <w:jc w:val="center"/>
        <w:rPr>
          <w:rFonts w:hint="default" w:ascii="Times New Roman" w:hAnsi="Times New Roman" w:cs="Times New Roman"/>
          <w:color w:val="auto"/>
          <w:sz w:val="26"/>
          <w:szCs w:val="26"/>
          <w:highlight w:val="none"/>
          <w:lang w:eastAsia="zh-CN"/>
        </w:rPr>
      </w:pPr>
    </w:p>
    <w:p>
      <w:pPr>
        <w:pStyle w:val="50"/>
        <w:spacing w:line="579" w:lineRule="exact"/>
        <w:jc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 xml:space="preserve">A.1封 </w:t>
      </w:r>
      <w:r>
        <w:rPr>
          <w:rFonts w:hint="default" w:ascii="Times New Roman" w:hAnsi="Times New Roman" w:eastAsia="黑体" w:cs="Times New Roman"/>
          <w:color w:val="auto"/>
          <w:sz w:val="28"/>
          <w:szCs w:val="28"/>
          <w:highlight w:val="none"/>
          <w:lang w:eastAsia="zh-CN"/>
        </w:rPr>
        <w:t xml:space="preserve"> </w:t>
      </w:r>
      <w:r>
        <w:rPr>
          <w:rFonts w:hint="default" w:ascii="Times New Roman" w:hAnsi="Times New Roman" w:eastAsia="黑体" w:cs="Times New Roman"/>
          <w:color w:val="auto"/>
          <w:sz w:val="28"/>
          <w:szCs w:val="28"/>
          <w:highlight w:val="none"/>
        </w:rPr>
        <w:t>面</w:t>
      </w:r>
    </w:p>
    <w:p>
      <w:pPr>
        <w:pStyle w:val="50"/>
        <w:spacing w:line="579" w:lineRule="exact"/>
        <w:rPr>
          <w:rFonts w:hint="default" w:ascii="Times New Roman" w:hAnsi="Times New Roman" w:eastAsia="仿宋_GB2312" w:cs="Times New Roman"/>
          <w:color w:val="auto"/>
          <w:sz w:val="28"/>
          <w:szCs w:val="28"/>
          <w:highlight w:val="none"/>
          <w:lang w:eastAsia="zh-CN"/>
        </w:rPr>
      </w:pPr>
    </w:p>
    <w:p>
      <w:pPr>
        <w:pStyle w:val="50"/>
        <w:spacing w:line="579" w:lineRule="exact"/>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电动汽车充换电设施竣工验收证书</w:t>
      </w:r>
    </w:p>
    <w:p>
      <w:pPr>
        <w:pStyle w:val="50"/>
        <w:spacing w:line="579" w:lineRule="exact"/>
        <w:ind w:firstLine="2346" w:firstLineChars="85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工程名称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u w:val="single"/>
          <w:lang w:eastAsia="zh-CN"/>
        </w:rPr>
        <w:t xml:space="preserve">                   </w:t>
      </w:r>
    </w:p>
    <w:p>
      <w:pPr>
        <w:pStyle w:val="50"/>
        <w:spacing w:line="579" w:lineRule="exact"/>
        <w:jc w:val="center"/>
        <w:rPr>
          <w:rFonts w:hint="default" w:ascii="Times New Roman" w:hAnsi="Times New Roman" w:eastAsia="仿宋_GB2312" w:cs="Times New Roman"/>
          <w:color w:val="auto"/>
          <w:sz w:val="28"/>
          <w:szCs w:val="28"/>
          <w:highlight w:val="none"/>
          <w:lang w:eastAsia="zh-CN"/>
        </w:rPr>
      </w:pPr>
    </w:p>
    <w:p>
      <w:pPr>
        <w:pStyle w:val="50"/>
        <w:spacing w:line="579" w:lineRule="exact"/>
        <w:jc w:val="center"/>
        <w:rPr>
          <w:rFonts w:hint="default" w:ascii="Times New Roman" w:hAnsi="Times New Roman" w:eastAsia="仿宋_GB2312" w:cs="Times New Roman"/>
          <w:color w:val="auto"/>
          <w:sz w:val="28"/>
          <w:szCs w:val="28"/>
          <w:highlight w:val="none"/>
          <w:lang w:eastAsia="zh-CN"/>
        </w:rPr>
      </w:pPr>
    </w:p>
    <w:p>
      <w:pPr>
        <w:pStyle w:val="5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竣工验收工作组</w:t>
      </w:r>
    </w:p>
    <w:p>
      <w:pPr>
        <w:pStyle w:val="50"/>
        <w:wordWrap w:val="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rPr>
        <w:t>日</w:t>
      </w:r>
    </w:p>
    <w:p>
      <w:pPr>
        <w:widowControl/>
        <w:jc w:val="center"/>
        <w:rPr>
          <w:rFonts w:hint="default" w:ascii="Times New Roman" w:hAnsi="Times New Roman" w:eastAsia="仿宋_GB2312" w:cs="Times New Roman"/>
          <w:sz w:val="28"/>
          <w:szCs w:val="28"/>
          <w:highlight w:val="none"/>
        </w:rPr>
      </w:pPr>
    </w:p>
    <w:p>
      <w:pPr>
        <w:widowControl/>
        <w:jc w:val="center"/>
        <w:rPr>
          <w:rFonts w:hint="default" w:ascii="Times New Roman" w:hAnsi="Times New Roman" w:eastAsia="仿宋_GB2312" w:cs="Times New Roman"/>
          <w:sz w:val="28"/>
          <w:szCs w:val="28"/>
          <w:highlight w:val="none"/>
        </w:rPr>
      </w:pPr>
    </w:p>
    <w:p>
      <w:pPr>
        <w:widowControl/>
        <w:jc w:val="center"/>
        <w:rPr>
          <w:rFonts w:hint="default" w:ascii="Times New Roman" w:hAnsi="Times New Roman" w:eastAsia="仿宋_GB2312" w:cs="Times New Roman"/>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A.2竣工验收证书</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一、工程概况</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工程名称</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设计单位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建设管理单位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监理单位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施工单位</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二、验收简况</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验收起止时间</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验收范围</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验收依据</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（国家有关</w:t>
      </w:r>
      <w:r>
        <w:rPr>
          <w:rFonts w:hint="default" w:ascii="Times New Roman" w:hAnsi="Times New Roman" w:eastAsia="仿宋_GB2312" w:cs="Times New Roman"/>
          <w:color w:val="auto"/>
          <w:sz w:val="28"/>
          <w:szCs w:val="28"/>
          <w:highlight w:val="none"/>
          <w:lang w:eastAsia="zh-CN"/>
        </w:rPr>
        <w:t>法律法规</w:t>
      </w:r>
      <w:r>
        <w:rPr>
          <w:rFonts w:hint="default" w:ascii="Times New Roman" w:hAnsi="Times New Roman" w:eastAsia="仿宋_GB2312" w:cs="Times New Roman"/>
          <w:color w:val="auto"/>
          <w:sz w:val="28"/>
          <w:szCs w:val="28"/>
          <w:highlight w:val="none"/>
        </w:rPr>
        <w:t>、管理标准和有关技术标准；相关专业验收规范、国家强制性条文等；工程勘察设计文件、工程联系单等；设备采购合同、技术协议书；验收方案和作业指导书）</w:t>
      </w:r>
    </w:p>
    <w:p>
      <w:pPr>
        <w:pStyle w:val="50"/>
        <w:widowControl w:val="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验收组织及验收情况简述</w:t>
      </w:r>
      <w:r>
        <w:rPr>
          <w:rFonts w:hint="default" w:ascii="Times New Roman" w:hAnsi="Times New Roman" w:eastAsia="仿宋_GB2312" w:cs="Times New Roman"/>
          <w:color w:val="auto"/>
          <w:sz w:val="28"/>
          <w:szCs w:val="28"/>
          <w:highlight w:val="none"/>
          <w:lang w:eastAsia="zh-CN"/>
        </w:rPr>
        <w:t>：</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三、主要缺陷整改处理情况</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四、遗留问题及处理建议</w:t>
      </w: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p>
    <w:p>
      <w:pPr>
        <w:pStyle w:val="50"/>
        <w:widowControl w:val="0"/>
        <w:spacing w:line="579" w:lineRule="exact"/>
        <w:ind w:firstLine="552" w:firstLineChars="200"/>
        <w:jc w:val="both"/>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五、验收结论</w:t>
      </w:r>
    </w:p>
    <w:p>
      <w:pPr>
        <w:pStyle w:val="50"/>
        <w:spacing w:line="579" w:lineRule="exact"/>
        <w:rPr>
          <w:rFonts w:hint="default" w:ascii="Times New Roman" w:hAnsi="Times New Roman" w:eastAsia="仿宋_GB2312" w:cs="Times New Roman"/>
          <w:color w:val="auto"/>
          <w:sz w:val="28"/>
          <w:szCs w:val="28"/>
          <w:highlight w:val="none"/>
          <w:lang w:eastAsia="zh-CN"/>
        </w:rPr>
      </w:pPr>
    </w:p>
    <w:p>
      <w:pPr>
        <w:pStyle w:val="50"/>
        <w:spacing w:line="579" w:lineRule="exact"/>
        <w:rPr>
          <w:rFonts w:hint="default" w:ascii="Times New Roman" w:hAnsi="Times New Roman" w:eastAsia="仿宋_GB2312" w:cs="Times New Roman"/>
          <w:color w:val="auto"/>
          <w:sz w:val="28"/>
          <w:szCs w:val="28"/>
          <w:highlight w:val="none"/>
          <w:lang w:eastAsia="zh-CN"/>
        </w:rPr>
      </w:pPr>
    </w:p>
    <w:p>
      <w:pPr>
        <w:pStyle w:val="50"/>
        <w:wordWrap w:val="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负责人（签字）：</w:t>
      </w:r>
      <w:r>
        <w:rPr>
          <w:rFonts w:hint="default" w:ascii="Times New Roman" w:hAnsi="Times New Roman" w:eastAsia="仿宋_GB2312" w:cs="Times New Roman"/>
          <w:color w:val="auto"/>
          <w:sz w:val="28"/>
          <w:szCs w:val="28"/>
          <w:highlight w:val="none"/>
          <w:lang w:eastAsia="zh-CN"/>
        </w:rPr>
        <w:t xml:space="preserve">        </w:t>
      </w:r>
    </w:p>
    <w:p>
      <w:pPr>
        <w:pStyle w:val="50"/>
        <w:wordWrap w:val="0"/>
        <w:spacing w:line="579" w:lineRule="exact"/>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 xml:space="preserve">年   </w:t>
      </w:r>
      <w:r>
        <w:rPr>
          <w:rFonts w:hint="default" w:ascii="Times New Roman" w:hAnsi="Times New Roman" w:eastAsia="仿宋_GB2312" w:cs="Times New Roman"/>
          <w:color w:val="auto"/>
          <w:sz w:val="28"/>
          <w:szCs w:val="28"/>
          <w:highlight w:val="none"/>
          <w:lang w:eastAsia="zh-CN"/>
        </w:rPr>
        <w:t xml:space="preserve"> </w:t>
      </w:r>
      <w:r>
        <w:rPr>
          <w:rFonts w:hint="default" w:ascii="Times New Roman" w:hAnsi="Times New Roman" w:eastAsia="仿宋_GB2312" w:cs="Times New Roman"/>
          <w:color w:val="auto"/>
          <w:sz w:val="28"/>
          <w:szCs w:val="28"/>
          <w:highlight w:val="none"/>
        </w:rPr>
        <w:t>月    日</w:t>
      </w:r>
    </w:p>
    <w:p>
      <w:pPr>
        <w:pStyle w:val="5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工程遗留问题应按清单要求限期完成。</w:t>
      </w:r>
    </w:p>
    <w:p>
      <w:pPr>
        <w:pStyle w:val="50"/>
        <w:spacing w:line="579" w:lineRule="exact"/>
        <w:ind w:firstLine="552" w:firstLineChars="20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附件：A.3竣工验收工作组成员名单</w:t>
      </w:r>
    </w:p>
    <w:p>
      <w:pPr>
        <w:pStyle w:val="50"/>
        <w:spacing w:line="579" w:lineRule="exact"/>
        <w:ind w:firstLine="1353" w:firstLineChars="49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A.4工程遗留问题处理清单</w:t>
      </w:r>
    </w:p>
    <w:p>
      <w:pPr>
        <w:pStyle w:val="50"/>
        <w:spacing w:line="579" w:lineRule="exact"/>
        <w:ind w:firstLine="1353" w:firstLineChars="490"/>
        <w:jc w:val="both"/>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A.5工程建设有关单位代表名单</w:t>
      </w:r>
    </w:p>
    <w:p>
      <w:pPr>
        <w:pStyle w:val="50"/>
        <w:spacing w:line="579" w:lineRule="exact"/>
        <w:ind w:firstLine="552" w:firstLineChars="200"/>
        <w:jc w:val="both"/>
        <w:rPr>
          <w:rFonts w:hint="default" w:ascii="Times New Roman" w:hAnsi="Times New Roman" w:eastAsia="楷体_GB2312" w:cs="Times New Roman"/>
          <w:color w:val="auto"/>
          <w:sz w:val="28"/>
          <w:szCs w:val="28"/>
          <w:highlight w:val="none"/>
          <w:lang w:eastAsia="zh-CN"/>
        </w:rPr>
      </w:pPr>
    </w:p>
    <w:p>
      <w:pPr>
        <w:pStyle w:val="50"/>
        <w:spacing w:line="460" w:lineRule="exact"/>
        <w:ind w:firstLine="472" w:firstLineChars="200"/>
        <w:jc w:val="both"/>
        <w:rPr>
          <w:rFonts w:hint="default" w:ascii="Times New Roman" w:hAnsi="Times New Roman" w:eastAsia="楷体_GB2312" w:cs="Times New Roman"/>
          <w:color w:val="auto"/>
          <w:sz w:val="24"/>
          <w:szCs w:val="24"/>
          <w:highlight w:val="none"/>
          <w:lang w:eastAsia="zh-CN"/>
        </w:rPr>
      </w:pPr>
      <w:r>
        <w:rPr>
          <w:rFonts w:hint="default" w:ascii="Times New Roman" w:hAnsi="Times New Roman" w:eastAsia="楷体_GB2312" w:cs="Times New Roman"/>
          <w:color w:val="auto"/>
          <w:sz w:val="24"/>
          <w:szCs w:val="24"/>
          <w:highlight w:val="none"/>
        </w:rPr>
        <w:t>注：在实际应用中，上述</w:t>
      </w:r>
      <w:r>
        <w:rPr>
          <w:rFonts w:hint="default" w:ascii="Times New Roman" w:hAnsi="Times New Roman" w:eastAsia="楷体_GB2312" w:cs="Times New Roman"/>
          <w:color w:val="auto"/>
          <w:sz w:val="24"/>
          <w:szCs w:val="24"/>
          <w:highlight w:val="none"/>
          <w:lang w:eastAsia="zh-CN"/>
        </w:rPr>
        <w:t>文件</w:t>
      </w:r>
      <w:r>
        <w:rPr>
          <w:rFonts w:hint="default" w:ascii="Times New Roman" w:hAnsi="Times New Roman" w:eastAsia="楷体_GB2312" w:cs="Times New Roman"/>
          <w:color w:val="auto"/>
          <w:sz w:val="24"/>
          <w:szCs w:val="24"/>
          <w:highlight w:val="none"/>
        </w:rPr>
        <w:t>中的“充换电设施”，可根据具体的验收对象，分别改为“充电站</w:t>
      </w:r>
      <w:r>
        <w:rPr>
          <w:rFonts w:hint="default" w:ascii="Times New Roman" w:hAnsi="Times New Roman" w:eastAsia="楷体_GB2312" w:cs="Times New Roman"/>
          <w:color w:val="auto"/>
          <w:sz w:val="24"/>
          <w:szCs w:val="24"/>
          <w:highlight w:val="none"/>
          <w:lang w:eastAsia="zh-CN"/>
        </w:rPr>
        <w:t>”“</w:t>
      </w:r>
      <w:r>
        <w:rPr>
          <w:rFonts w:hint="default" w:ascii="Times New Roman" w:hAnsi="Times New Roman" w:eastAsia="楷体_GB2312" w:cs="Times New Roman"/>
          <w:color w:val="auto"/>
          <w:sz w:val="24"/>
          <w:szCs w:val="24"/>
          <w:highlight w:val="none"/>
        </w:rPr>
        <w:t>交流充电桩”和“电池更换站”等具体的充换电设施名称。</w:t>
      </w:r>
    </w:p>
    <w:p>
      <w:pPr>
        <w:pStyle w:val="50"/>
        <w:spacing w:line="579" w:lineRule="exact"/>
        <w:ind w:firstLine="697" w:firstLineChars="272"/>
        <w:jc w:val="both"/>
        <w:rPr>
          <w:rFonts w:hint="default" w:ascii="Times New Roman" w:hAnsi="Times New Roman" w:eastAsia="宋体" w:cs="Times New Roman"/>
          <w:color w:val="auto"/>
          <w:sz w:val="26"/>
          <w:szCs w:val="26"/>
          <w:highlight w:val="none"/>
          <w:lang w:eastAsia="zh-CN"/>
        </w:rPr>
      </w:pPr>
    </w:p>
    <w:p>
      <w:pPr>
        <w:pStyle w:val="50"/>
        <w:spacing w:line="579" w:lineRule="exact"/>
        <w:jc w:val="center"/>
        <w:rPr>
          <w:rFonts w:hint="default" w:ascii="Times New Roman" w:hAnsi="Times New Roman" w:eastAsia="黑体" w:cs="Times New Roman"/>
          <w:color w:val="auto"/>
          <w:sz w:val="28"/>
          <w:szCs w:val="28"/>
          <w:highlight w:val="none"/>
          <w:lang w:eastAsia="zh-CN"/>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A.3竣工验收工作组成员名单（见表A.1）</w:t>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表A.1竣工验收工作组成员名单</w:t>
      </w:r>
    </w:p>
    <w:tbl>
      <w:tblPr>
        <w:tblStyle w:val="18"/>
        <w:tblW w:w="884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1947"/>
        <w:gridCol w:w="1590"/>
        <w:gridCol w:w="1769"/>
        <w:gridCol w:w="1769"/>
        <w:gridCol w:w="177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竣工验收工作组</w:t>
            </w:r>
          </w:p>
        </w:tc>
        <w:tc>
          <w:tcPr>
            <w:tcW w:w="1590"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姓  名</w:t>
            </w:r>
          </w:p>
        </w:tc>
        <w:tc>
          <w:tcPr>
            <w:tcW w:w="1769"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单  位</w:t>
            </w:r>
          </w:p>
        </w:tc>
        <w:tc>
          <w:tcPr>
            <w:tcW w:w="1769"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职务/职称</w:t>
            </w:r>
          </w:p>
        </w:tc>
        <w:tc>
          <w:tcPr>
            <w:tcW w:w="1770"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签  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组长</w:t>
            </w: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副组长</w:t>
            </w: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成员</w:t>
            </w: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47" w:type="dxa"/>
            <w:vAlign w:val="center"/>
          </w:tcPr>
          <w:p>
            <w:pPr>
              <w:adjustRightInd w:val="0"/>
              <w:snapToGrid w:val="0"/>
              <w:jc w:val="center"/>
              <w:rPr>
                <w:rFonts w:hint="default" w:ascii="Times New Roman" w:hAnsi="Times New Roman" w:cs="Times New Roman"/>
                <w:sz w:val="24"/>
                <w:highlight w:val="none"/>
              </w:rPr>
            </w:pPr>
          </w:p>
        </w:tc>
        <w:tc>
          <w:tcPr>
            <w:tcW w:w="1590"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69" w:type="dxa"/>
            <w:vAlign w:val="center"/>
          </w:tcPr>
          <w:p>
            <w:pPr>
              <w:adjustRightInd w:val="0"/>
              <w:snapToGrid w:val="0"/>
              <w:jc w:val="center"/>
              <w:rPr>
                <w:rFonts w:hint="default" w:ascii="Times New Roman" w:hAnsi="Times New Roman" w:cs="Times New Roman"/>
                <w:sz w:val="24"/>
                <w:highlight w:val="none"/>
              </w:rPr>
            </w:pPr>
          </w:p>
        </w:tc>
        <w:tc>
          <w:tcPr>
            <w:tcW w:w="1770" w:type="dxa"/>
            <w:vAlign w:val="center"/>
          </w:tcPr>
          <w:p>
            <w:pPr>
              <w:adjustRightInd w:val="0"/>
              <w:snapToGrid w:val="0"/>
              <w:jc w:val="center"/>
              <w:rPr>
                <w:rFonts w:hint="default" w:ascii="Times New Roman" w:hAnsi="Times New Roman" w:cs="Times New Roman"/>
                <w:sz w:val="24"/>
                <w:highlight w:val="none"/>
              </w:rPr>
            </w:pPr>
          </w:p>
        </w:tc>
      </w:tr>
    </w:tbl>
    <w:p>
      <w:pPr>
        <w:pStyle w:val="50"/>
        <w:spacing w:line="579" w:lineRule="exact"/>
        <w:jc w:val="center"/>
        <w:rPr>
          <w:rFonts w:hint="default" w:ascii="Times New Roman" w:hAnsi="Times New Roman" w:eastAsia="黑体" w:cs="Times New Roman"/>
          <w:color w:val="auto"/>
          <w:sz w:val="28"/>
          <w:szCs w:val="28"/>
          <w:highlight w:val="none"/>
          <w:lang w:eastAsia="zh-CN"/>
        </w:rPr>
      </w:pP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A.4工程遗留问题处理清单（见表A.2）</w:t>
      </w:r>
    </w:p>
    <w:p>
      <w:pPr>
        <w:pStyle w:val="50"/>
        <w:spacing w:line="579"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表A.2工程遗留问题处理清单</w:t>
      </w:r>
    </w:p>
    <w:tbl>
      <w:tblPr>
        <w:tblStyle w:val="18"/>
        <w:tblW w:w="884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212"/>
        <w:gridCol w:w="2211"/>
        <w:gridCol w:w="2211"/>
        <w:gridCol w:w="221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序  号</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  容</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负责单位</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限期完成日期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12"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bl>
    <w:p>
      <w:pPr>
        <w:widowControl/>
        <w:jc w:val="left"/>
        <w:rPr>
          <w:rFonts w:hint="default" w:ascii="Times New Roman" w:hAnsi="Times New Roman" w:eastAsia="Arial Unicode MS" w:cs="Times New Roman"/>
          <w:kern w:val="0"/>
          <w:sz w:val="26"/>
          <w:szCs w:val="26"/>
          <w:highlight w:val="none"/>
          <w:u w:color="000000"/>
          <w:lang w:val="zh-TW" w:eastAsia="zh-TW"/>
        </w:rPr>
      </w:pPr>
    </w:p>
    <w:p>
      <w:pPr>
        <w:pStyle w:val="16"/>
        <w:keepNext w:val="0"/>
        <w:keepLines w:val="0"/>
        <w:pageBreakBefore w:val="0"/>
        <w:kinsoku/>
        <w:wordWrap/>
        <w:overflowPunct/>
        <w:topLinePunct w:val="0"/>
        <w:autoSpaceDE/>
        <w:autoSpaceDN/>
        <w:bidi w:val="0"/>
        <w:adjustRightInd/>
        <w:spacing w:line="579" w:lineRule="exact"/>
        <w:textAlignment w:val="auto"/>
        <w:rPr>
          <w:rFonts w:hint="default" w:ascii="Times New Roman" w:hAnsi="Times New Roman" w:eastAsia="Arial Unicode MS" w:cs="Times New Roman"/>
          <w:kern w:val="0"/>
          <w:sz w:val="26"/>
          <w:szCs w:val="26"/>
          <w:highlight w:val="none"/>
          <w:u w:color="000000"/>
          <w:lang w:val="zh-TW" w:eastAsia="zh-TW"/>
        </w:rPr>
      </w:pPr>
    </w:p>
    <w:p>
      <w:pPr>
        <w:pStyle w:val="50"/>
        <w:keepNext w:val="0"/>
        <w:keepLines w:val="0"/>
        <w:pageBreakBefore w:val="0"/>
        <w:kinsoku/>
        <w:wordWrap/>
        <w:overflowPunct/>
        <w:topLinePunct w:val="0"/>
        <w:autoSpaceDE/>
        <w:autoSpaceDN/>
        <w:bidi w:val="0"/>
        <w:adjustRightInd/>
        <w:spacing w:line="579"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A.5工程建设有关单位代表名单（见表A.3）</w:t>
      </w:r>
    </w:p>
    <w:p>
      <w:pPr>
        <w:pStyle w:val="50"/>
        <w:keepNext w:val="0"/>
        <w:keepLines w:val="0"/>
        <w:pageBreakBefore w:val="0"/>
        <w:kinsoku/>
        <w:wordWrap/>
        <w:overflowPunct/>
        <w:topLinePunct w:val="0"/>
        <w:autoSpaceDE/>
        <w:autoSpaceDN/>
        <w:bidi w:val="0"/>
        <w:adjustRightInd/>
        <w:spacing w:line="579"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表A.3工程建设有关单位代表名单</w:t>
      </w:r>
    </w:p>
    <w:tbl>
      <w:tblPr>
        <w:tblStyle w:val="18"/>
        <w:tblW w:w="8845"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2629"/>
        <w:gridCol w:w="1794"/>
        <w:gridCol w:w="2211"/>
        <w:gridCol w:w="2211"/>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相关单位</w:t>
            </w:r>
          </w:p>
        </w:tc>
        <w:tc>
          <w:tcPr>
            <w:tcW w:w="1794"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姓  名</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职务/职称</w:t>
            </w:r>
          </w:p>
        </w:tc>
        <w:tc>
          <w:tcPr>
            <w:tcW w:w="2211" w:type="dxa"/>
            <w:vAlign w:val="center"/>
          </w:tcPr>
          <w:p>
            <w:pPr>
              <w:adjustRightInd w:val="0"/>
              <w:snapToGrid w:val="0"/>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签  字</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工程项目法人代表</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工程设计单位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施工单位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工程监理单位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系统调试单位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629" w:type="dxa"/>
            <w:vAlign w:val="center"/>
          </w:tcPr>
          <w:p>
            <w:pPr>
              <w:adjustRightInd w:val="0"/>
              <w:snapToGrid w:val="0"/>
              <w:jc w:val="center"/>
              <w:rPr>
                <w:rFonts w:hint="default" w:ascii="Times New Roman" w:hAnsi="Times New Roman" w:cs="Times New Roman"/>
                <w:sz w:val="24"/>
                <w:highlight w:val="none"/>
              </w:rPr>
            </w:pPr>
            <w:r>
              <w:rPr>
                <w:rFonts w:hint="default" w:ascii="Times New Roman" w:hAnsi="Times New Roman" w:eastAsia="仿宋_GB2312" w:cs="Times New Roman"/>
                <w:sz w:val="24"/>
                <w:highlight w:val="none"/>
              </w:rPr>
              <w:t>运行管理单位</w:t>
            </w:r>
          </w:p>
        </w:tc>
        <w:tc>
          <w:tcPr>
            <w:tcW w:w="1794"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c>
          <w:tcPr>
            <w:tcW w:w="2211" w:type="dxa"/>
            <w:vAlign w:val="center"/>
          </w:tcPr>
          <w:p>
            <w:pPr>
              <w:adjustRightInd w:val="0"/>
              <w:snapToGrid w:val="0"/>
              <w:jc w:val="center"/>
              <w:rPr>
                <w:rFonts w:hint="default" w:ascii="Times New Roman" w:hAnsi="Times New Roman" w:cs="Times New Roman"/>
                <w:sz w:val="24"/>
                <w:highlight w:val="none"/>
              </w:rPr>
            </w:pPr>
          </w:p>
        </w:tc>
      </w:tr>
    </w:tbl>
    <w:p>
      <w:pPr>
        <w:pStyle w:val="5"/>
        <w:ind w:firstLine="640"/>
        <w:rPr>
          <w:rFonts w:hint="default" w:ascii="Times New Roman" w:hAnsi="Times New Roman" w:eastAsia="仿宋_GB2312" w:cs="Times New Roman"/>
          <w:highlight w:val="none"/>
        </w:rPr>
      </w:pPr>
    </w:p>
    <w:p>
      <w:pPr>
        <w:pStyle w:val="5"/>
        <w:spacing w:beforeLines="0" w:afterLines="0" w:line="579" w:lineRule="exact"/>
        <w:ind w:left="0" w:leftChars="0" w:firstLine="0" w:firstLineChars="0"/>
        <w:rPr>
          <w:rFonts w:hint="default" w:ascii="Times New Roman" w:hAnsi="Times New Roman" w:eastAsia="仿宋_GB2312" w:cs="Times New Roman"/>
          <w:highlight w:val="none"/>
        </w:rPr>
      </w:pPr>
    </w:p>
    <w:sectPr>
      <w:footerReference r:id="rId5"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3C5CFB-1710-47E5-83EA-8AE960B105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6A5CBAAD-817F-451C-97EA-248C7C67202E}"/>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3" w:fontKey="{321D6BE9-1B04-41AD-A57A-B0EED43EEB7F}"/>
  </w:font>
  <w:font w:name="楷体_GB2312">
    <w:panose1 w:val="02010609030101010101"/>
    <w:charset w:val="86"/>
    <w:family w:val="modern"/>
    <w:pitch w:val="default"/>
    <w:sig w:usb0="00000001" w:usb1="080E0000" w:usb2="00000000" w:usb3="00000000" w:csb0="00040000" w:csb1="00000000"/>
    <w:embedRegular r:id="rId4" w:fontKey="{E60EF2F8-3F73-405B-8447-D5105BD2C9EC}"/>
  </w:font>
  <w:font w:name="Arial Unicode MS">
    <w:panose1 w:val="020B0604020202020204"/>
    <w:charset w:val="86"/>
    <w:family w:val="roman"/>
    <w:pitch w:val="default"/>
    <w:sig w:usb0="00000000" w:usb1="00000000" w:usb2="00000000" w:usb3="00000000" w:csb0="00000000" w:csb1="00000000"/>
    <w:embedRegular r:id="rId5" w:fontKey="{2B3B565F-ADB4-4E7F-AFAE-89B249AA74C9}"/>
  </w:font>
  <w:font w:name="PMingLiU">
    <w:altName w:val="PMingLiU-ExtB"/>
    <w:panose1 w:val="02020500000000000000"/>
    <w:charset w:val="88"/>
    <w:family w:val="roman"/>
    <w:pitch w:val="default"/>
    <w:sig w:usb0="00000000" w:usb1="00000000" w:usb2="00000016" w:usb3="00000000" w:csb0="00100001" w:csb1="00000000"/>
    <w:embedRegular r:id="rId6" w:fontKey="{8B166456-9C78-43F2-BA29-9EA6412D487A}"/>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center"/>
      <w:rPr>
        <w:rFonts w:eastAsia="仿宋_GB231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560"/>
      <w:jc w:val="center"/>
      <w:rPr>
        <w:rFonts w:eastAsia="仿宋_GB231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67BDE"/>
    <w:multiLevelType w:val="multilevel"/>
    <w:tmpl w:val="00B67BDE"/>
    <w:lvl w:ilvl="0" w:tentative="0">
      <w:start w:val="1"/>
      <w:numFmt w:val="decimal"/>
      <w:pStyle w:val="33"/>
      <w:lvlText w:val="附件%1"/>
      <w:lvlJc w:val="left"/>
      <w:pPr>
        <w:tabs>
          <w:tab w:val="left" w:pos="1134"/>
        </w:tabs>
        <w:ind w:left="0" w:firstLine="0"/>
      </w:pPr>
      <w:rPr>
        <w:rFonts w:hint="eastAsia"/>
      </w:rPr>
    </w:lvl>
    <w:lvl w:ilvl="1" w:tentative="0">
      <w:start w:val="1"/>
      <w:numFmt w:val="chineseCountingThousand"/>
      <w:pStyle w:val="38"/>
      <w:suff w:val="nothing"/>
      <w:lvlText w:val="%2、"/>
      <w:lvlJc w:val="left"/>
      <w:pPr>
        <w:ind w:left="0" w:firstLine="0"/>
      </w:pPr>
      <w:rPr>
        <w:rFonts w:hint="eastAsia"/>
      </w:rPr>
    </w:lvl>
    <w:lvl w:ilvl="2" w:tentative="0">
      <w:start w:val="1"/>
      <w:numFmt w:val="chineseCountingThousand"/>
      <w:pStyle w:val="39"/>
      <w:suff w:val="nothing"/>
      <w:lvlText w:val="（%3）"/>
      <w:lvlJc w:val="left"/>
      <w:pPr>
        <w:ind w:left="0" w:firstLine="0"/>
      </w:pPr>
      <w:rPr>
        <w:rFonts w:hint="eastAsia"/>
      </w:rPr>
    </w:lvl>
    <w:lvl w:ilvl="3" w:tentative="0">
      <w:start w:val="1"/>
      <w:numFmt w:val="decimal"/>
      <w:pStyle w:val="40"/>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decimal"/>
      <w:pStyle w:val="41"/>
      <w:suff w:val="nothing"/>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7B36EEC"/>
    <w:multiLevelType w:val="singleLevel"/>
    <w:tmpl w:val="07B36EEC"/>
    <w:lvl w:ilvl="0" w:tentative="0">
      <w:start w:val="1"/>
      <w:numFmt w:val="decimal"/>
      <w:suff w:val="space"/>
      <w:lvlText w:val="%1."/>
      <w:lvlJc w:val="left"/>
    </w:lvl>
  </w:abstractNum>
  <w:abstractNum w:abstractNumId="2">
    <w:nsid w:val="192954D2"/>
    <w:multiLevelType w:val="singleLevel"/>
    <w:tmpl w:val="192954D2"/>
    <w:lvl w:ilvl="0" w:tentative="0">
      <w:start w:val="1"/>
      <w:numFmt w:val="chineseCounting"/>
      <w:suff w:val="nothing"/>
      <w:lvlText w:val="（%1）"/>
      <w:lvlJc w:val="left"/>
      <w:rPr>
        <w:rFonts w:hint="eastAsia"/>
      </w:rPr>
    </w:lvl>
  </w:abstractNum>
  <w:abstractNum w:abstractNumId="3">
    <w:nsid w:val="39AA604D"/>
    <w:multiLevelType w:val="multilevel"/>
    <w:tmpl w:val="39AA604D"/>
    <w:lvl w:ilvl="0" w:tentative="0">
      <w:start w:val="1"/>
      <w:numFmt w:val="chineseCountingThousand"/>
      <w:pStyle w:val="4"/>
      <w:lvlText w:val="第%1章"/>
      <w:lvlJc w:val="left"/>
      <w:pPr>
        <w:ind w:left="0" w:firstLine="0"/>
      </w:pPr>
      <w:rPr>
        <w:rFonts w:hint="eastAsia"/>
      </w:rPr>
    </w:lvl>
    <w:lvl w:ilvl="1" w:tentative="0">
      <w:start w:val="1"/>
      <w:numFmt w:val="chineseCountingThousand"/>
      <w:lvlRestart w:val="0"/>
      <w:pStyle w:val="6"/>
      <w:lvlText w:val="第%2条"/>
      <w:lvlJc w:val="left"/>
      <w:pPr>
        <w:ind w:left="0" w:firstLine="0"/>
      </w:pPr>
      <w:rPr>
        <w:rFonts w:hint="eastAsia" w:ascii="黑体" w:hAnsi="黑体" w:eastAsia="黑体"/>
      </w:rPr>
    </w:lvl>
    <w:lvl w:ilvl="2" w:tentative="0">
      <w:start w:val="1"/>
      <w:numFmt w:val="chineseCountingThousand"/>
      <w:pStyle w:val="7"/>
      <w:suff w:val="nothing"/>
      <w:lvlText w:val="（%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ZTFkMjUyYWFjZTkzNDAzNDAzNmFiMTU0N2JjM2IifQ=="/>
  </w:docVars>
  <w:rsids>
    <w:rsidRoot w:val="006B049C"/>
    <w:rsid w:val="00004886"/>
    <w:rsid w:val="00015610"/>
    <w:rsid w:val="00061809"/>
    <w:rsid w:val="0006570A"/>
    <w:rsid w:val="00084240"/>
    <w:rsid w:val="000E2617"/>
    <w:rsid w:val="000F0529"/>
    <w:rsid w:val="00103FB3"/>
    <w:rsid w:val="0012041D"/>
    <w:rsid w:val="001511E9"/>
    <w:rsid w:val="00183774"/>
    <w:rsid w:val="001957CB"/>
    <w:rsid w:val="001B4985"/>
    <w:rsid w:val="001F52B7"/>
    <w:rsid w:val="00200FC7"/>
    <w:rsid w:val="00210AD1"/>
    <w:rsid w:val="00234834"/>
    <w:rsid w:val="00292070"/>
    <w:rsid w:val="002961AB"/>
    <w:rsid w:val="002D3419"/>
    <w:rsid w:val="002D44DE"/>
    <w:rsid w:val="002D7816"/>
    <w:rsid w:val="002E15CD"/>
    <w:rsid w:val="00345DD6"/>
    <w:rsid w:val="003671F5"/>
    <w:rsid w:val="003B0F51"/>
    <w:rsid w:val="003B5F0C"/>
    <w:rsid w:val="003B725B"/>
    <w:rsid w:val="003C1EC7"/>
    <w:rsid w:val="003D2EC2"/>
    <w:rsid w:val="0043302F"/>
    <w:rsid w:val="004651E4"/>
    <w:rsid w:val="00470DE4"/>
    <w:rsid w:val="00473187"/>
    <w:rsid w:val="004A19F8"/>
    <w:rsid w:val="004B3113"/>
    <w:rsid w:val="004C7C69"/>
    <w:rsid w:val="004E7CFD"/>
    <w:rsid w:val="005248F7"/>
    <w:rsid w:val="00544454"/>
    <w:rsid w:val="00553B93"/>
    <w:rsid w:val="005576E4"/>
    <w:rsid w:val="005A6132"/>
    <w:rsid w:val="005F31A9"/>
    <w:rsid w:val="0061323B"/>
    <w:rsid w:val="0063455B"/>
    <w:rsid w:val="00661048"/>
    <w:rsid w:val="006B049C"/>
    <w:rsid w:val="006B295B"/>
    <w:rsid w:val="006C6386"/>
    <w:rsid w:val="006C6579"/>
    <w:rsid w:val="006F37A1"/>
    <w:rsid w:val="00743972"/>
    <w:rsid w:val="00763369"/>
    <w:rsid w:val="00766C01"/>
    <w:rsid w:val="00780AF6"/>
    <w:rsid w:val="00786E9C"/>
    <w:rsid w:val="007A486E"/>
    <w:rsid w:val="007F6F32"/>
    <w:rsid w:val="00803781"/>
    <w:rsid w:val="00820517"/>
    <w:rsid w:val="00863B50"/>
    <w:rsid w:val="00864A3A"/>
    <w:rsid w:val="00866861"/>
    <w:rsid w:val="0088047F"/>
    <w:rsid w:val="00891905"/>
    <w:rsid w:val="00896ECB"/>
    <w:rsid w:val="008B4592"/>
    <w:rsid w:val="008C176E"/>
    <w:rsid w:val="008D02CF"/>
    <w:rsid w:val="008F1AF1"/>
    <w:rsid w:val="00923BC5"/>
    <w:rsid w:val="00947108"/>
    <w:rsid w:val="009673A7"/>
    <w:rsid w:val="00985542"/>
    <w:rsid w:val="009D426B"/>
    <w:rsid w:val="009D4587"/>
    <w:rsid w:val="009E2434"/>
    <w:rsid w:val="00A223B7"/>
    <w:rsid w:val="00A3111A"/>
    <w:rsid w:val="00A52803"/>
    <w:rsid w:val="00A6291A"/>
    <w:rsid w:val="00A638DE"/>
    <w:rsid w:val="00A73C78"/>
    <w:rsid w:val="00A92B61"/>
    <w:rsid w:val="00A93FAB"/>
    <w:rsid w:val="00AC1D85"/>
    <w:rsid w:val="00AE49AC"/>
    <w:rsid w:val="00B520F5"/>
    <w:rsid w:val="00B54CDA"/>
    <w:rsid w:val="00B630E6"/>
    <w:rsid w:val="00B70414"/>
    <w:rsid w:val="00B734DA"/>
    <w:rsid w:val="00B97D31"/>
    <w:rsid w:val="00BB35E3"/>
    <w:rsid w:val="00BD7442"/>
    <w:rsid w:val="00BE0D1A"/>
    <w:rsid w:val="00C2233C"/>
    <w:rsid w:val="00C30BAA"/>
    <w:rsid w:val="00C416A2"/>
    <w:rsid w:val="00C6475F"/>
    <w:rsid w:val="00C70D16"/>
    <w:rsid w:val="00C832EC"/>
    <w:rsid w:val="00C92059"/>
    <w:rsid w:val="00CC78B7"/>
    <w:rsid w:val="00CD2FF7"/>
    <w:rsid w:val="00D13D4B"/>
    <w:rsid w:val="00D17A1D"/>
    <w:rsid w:val="00D62C77"/>
    <w:rsid w:val="00D72254"/>
    <w:rsid w:val="00D77220"/>
    <w:rsid w:val="00E21648"/>
    <w:rsid w:val="00E243C2"/>
    <w:rsid w:val="00E24F5A"/>
    <w:rsid w:val="00E3006B"/>
    <w:rsid w:val="00E857A9"/>
    <w:rsid w:val="00E91C41"/>
    <w:rsid w:val="00EC7F90"/>
    <w:rsid w:val="00F04AC0"/>
    <w:rsid w:val="00F12506"/>
    <w:rsid w:val="00F32EF0"/>
    <w:rsid w:val="00F53B40"/>
    <w:rsid w:val="00F53FD9"/>
    <w:rsid w:val="00FE01A5"/>
    <w:rsid w:val="00FE443C"/>
    <w:rsid w:val="013E61E2"/>
    <w:rsid w:val="01B92603"/>
    <w:rsid w:val="01C42794"/>
    <w:rsid w:val="02EE1D5F"/>
    <w:rsid w:val="03E17ACA"/>
    <w:rsid w:val="042A6EF2"/>
    <w:rsid w:val="04B75290"/>
    <w:rsid w:val="04D901CB"/>
    <w:rsid w:val="05016AE9"/>
    <w:rsid w:val="056B2BBA"/>
    <w:rsid w:val="05CF7D50"/>
    <w:rsid w:val="062005AC"/>
    <w:rsid w:val="068A1C21"/>
    <w:rsid w:val="07A717B4"/>
    <w:rsid w:val="07DA386F"/>
    <w:rsid w:val="08B65D3B"/>
    <w:rsid w:val="0A1D552E"/>
    <w:rsid w:val="0AC2020B"/>
    <w:rsid w:val="0B2B5A29"/>
    <w:rsid w:val="0C5B102E"/>
    <w:rsid w:val="0E73104F"/>
    <w:rsid w:val="0FA83F94"/>
    <w:rsid w:val="12A3059B"/>
    <w:rsid w:val="12A367ED"/>
    <w:rsid w:val="13854144"/>
    <w:rsid w:val="144731A8"/>
    <w:rsid w:val="15D0546F"/>
    <w:rsid w:val="18574A10"/>
    <w:rsid w:val="18C96AF0"/>
    <w:rsid w:val="18DB5FB1"/>
    <w:rsid w:val="1AE2232B"/>
    <w:rsid w:val="1BFFE62C"/>
    <w:rsid w:val="1CD714E1"/>
    <w:rsid w:val="1E026DA9"/>
    <w:rsid w:val="1FBF0E2C"/>
    <w:rsid w:val="1FC61D6D"/>
    <w:rsid w:val="210566D3"/>
    <w:rsid w:val="216B6728"/>
    <w:rsid w:val="23633E1E"/>
    <w:rsid w:val="248C5AF5"/>
    <w:rsid w:val="24C3687B"/>
    <w:rsid w:val="25CB7282"/>
    <w:rsid w:val="26891F71"/>
    <w:rsid w:val="274417F4"/>
    <w:rsid w:val="2A932BD1"/>
    <w:rsid w:val="2AB253C7"/>
    <w:rsid w:val="2B5800C2"/>
    <w:rsid w:val="2B945EBD"/>
    <w:rsid w:val="2BA80578"/>
    <w:rsid w:val="2CF62879"/>
    <w:rsid w:val="2D3E0472"/>
    <w:rsid w:val="2E325299"/>
    <w:rsid w:val="2EB15996"/>
    <w:rsid w:val="2EF35FAE"/>
    <w:rsid w:val="2EF51616"/>
    <w:rsid w:val="302E3742"/>
    <w:rsid w:val="311E5564"/>
    <w:rsid w:val="32A563F9"/>
    <w:rsid w:val="34D92420"/>
    <w:rsid w:val="35ED19A9"/>
    <w:rsid w:val="37C60704"/>
    <w:rsid w:val="38BD1B07"/>
    <w:rsid w:val="3AC342F5"/>
    <w:rsid w:val="3AEE733C"/>
    <w:rsid w:val="3B014369"/>
    <w:rsid w:val="3E247F32"/>
    <w:rsid w:val="3E4C3FFA"/>
    <w:rsid w:val="3F424261"/>
    <w:rsid w:val="3FEB52DD"/>
    <w:rsid w:val="4186530E"/>
    <w:rsid w:val="420A3CF3"/>
    <w:rsid w:val="42B555FD"/>
    <w:rsid w:val="430245CC"/>
    <w:rsid w:val="437D738F"/>
    <w:rsid w:val="441A7ED0"/>
    <w:rsid w:val="4456696C"/>
    <w:rsid w:val="44AD5E43"/>
    <w:rsid w:val="44C22253"/>
    <w:rsid w:val="45CC3389"/>
    <w:rsid w:val="491279F2"/>
    <w:rsid w:val="495C7E9F"/>
    <w:rsid w:val="495F62C2"/>
    <w:rsid w:val="49A07007"/>
    <w:rsid w:val="49BA44D2"/>
    <w:rsid w:val="49E05655"/>
    <w:rsid w:val="4A6022F2"/>
    <w:rsid w:val="4A9D3E59"/>
    <w:rsid w:val="4AA06B93"/>
    <w:rsid w:val="4AEE3DA2"/>
    <w:rsid w:val="4AF60EA8"/>
    <w:rsid w:val="4E791834"/>
    <w:rsid w:val="508A346A"/>
    <w:rsid w:val="50953B98"/>
    <w:rsid w:val="51B43ED4"/>
    <w:rsid w:val="532D11DF"/>
    <w:rsid w:val="53DE75B0"/>
    <w:rsid w:val="54332F77"/>
    <w:rsid w:val="54A36654"/>
    <w:rsid w:val="56F72230"/>
    <w:rsid w:val="5732429C"/>
    <w:rsid w:val="58A74D44"/>
    <w:rsid w:val="59F85406"/>
    <w:rsid w:val="5A1B6236"/>
    <w:rsid w:val="5A4237C2"/>
    <w:rsid w:val="5A44100C"/>
    <w:rsid w:val="5AA6514A"/>
    <w:rsid w:val="5AB900FA"/>
    <w:rsid w:val="5CAE3F47"/>
    <w:rsid w:val="5DA54F0B"/>
    <w:rsid w:val="5E893A28"/>
    <w:rsid w:val="5EA7453C"/>
    <w:rsid w:val="5EAC6A18"/>
    <w:rsid w:val="5EFBADF4"/>
    <w:rsid w:val="5F743B5F"/>
    <w:rsid w:val="603B318E"/>
    <w:rsid w:val="60767942"/>
    <w:rsid w:val="61887774"/>
    <w:rsid w:val="625B3673"/>
    <w:rsid w:val="62B47227"/>
    <w:rsid w:val="63B53257"/>
    <w:rsid w:val="64610CE9"/>
    <w:rsid w:val="64F501F7"/>
    <w:rsid w:val="65D83957"/>
    <w:rsid w:val="68B224EB"/>
    <w:rsid w:val="690B56C7"/>
    <w:rsid w:val="6A342DA1"/>
    <w:rsid w:val="6AED37F2"/>
    <w:rsid w:val="6BEF307E"/>
    <w:rsid w:val="6CC955FC"/>
    <w:rsid w:val="702C5799"/>
    <w:rsid w:val="710650F2"/>
    <w:rsid w:val="71755252"/>
    <w:rsid w:val="723F4D5F"/>
    <w:rsid w:val="724573D2"/>
    <w:rsid w:val="734204FA"/>
    <w:rsid w:val="734B0B22"/>
    <w:rsid w:val="750A2CD7"/>
    <w:rsid w:val="76D83408"/>
    <w:rsid w:val="775C3CBE"/>
    <w:rsid w:val="77DF41A1"/>
    <w:rsid w:val="7ABC786B"/>
    <w:rsid w:val="7B7B5FC1"/>
    <w:rsid w:val="7C711656"/>
    <w:rsid w:val="7D0A5F6A"/>
    <w:rsid w:val="7D474AC8"/>
    <w:rsid w:val="7D68132A"/>
    <w:rsid w:val="7DC828D1"/>
    <w:rsid w:val="7F2F22B8"/>
    <w:rsid w:val="7F7D4239"/>
    <w:rsid w:val="7FCF48EB"/>
    <w:rsid w:val="7FF470C5"/>
    <w:rsid w:val="FDEE53AA"/>
    <w:rsid w:val="FFAECE61"/>
    <w:rsid w:val="FFF314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5"/>
    <w:link w:val="22"/>
    <w:qFormat/>
    <w:uiPriority w:val="9"/>
    <w:pPr>
      <w:numPr>
        <w:ilvl w:val="0"/>
        <w:numId w:val="1"/>
      </w:numPr>
      <w:spacing w:line="600" w:lineRule="exact"/>
      <w:jc w:val="center"/>
      <w:outlineLvl w:val="0"/>
    </w:pPr>
    <w:rPr>
      <w:rFonts w:ascii="Times New Roman" w:hAnsi="Times New Roman" w:eastAsia="黑体"/>
      <w:bCs/>
      <w:kern w:val="44"/>
      <w:sz w:val="32"/>
      <w:szCs w:val="44"/>
    </w:rPr>
  </w:style>
  <w:style w:type="paragraph" w:styleId="6">
    <w:name w:val="heading 2"/>
    <w:basedOn w:val="1"/>
    <w:next w:val="5"/>
    <w:link w:val="23"/>
    <w:unhideWhenUsed/>
    <w:qFormat/>
    <w:uiPriority w:val="9"/>
    <w:pPr>
      <w:numPr>
        <w:ilvl w:val="1"/>
        <w:numId w:val="1"/>
      </w:numPr>
      <w:spacing w:line="600" w:lineRule="exact"/>
      <w:ind w:firstLine="200" w:firstLineChars="200"/>
      <w:outlineLvl w:val="1"/>
    </w:pPr>
    <w:rPr>
      <w:rFonts w:ascii="Times New Roman" w:hAnsi="Times New Roman" w:eastAsia="仿宋_GB2312" w:cstheme="majorBidi"/>
      <w:bCs/>
      <w:sz w:val="32"/>
      <w:szCs w:val="32"/>
    </w:rPr>
  </w:style>
  <w:style w:type="paragraph" w:styleId="7">
    <w:name w:val="heading 3"/>
    <w:basedOn w:val="5"/>
    <w:next w:val="1"/>
    <w:link w:val="20"/>
    <w:unhideWhenUsed/>
    <w:qFormat/>
    <w:uiPriority w:val="9"/>
    <w:pPr>
      <w:numPr>
        <w:ilvl w:val="2"/>
        <w:numId w:val="1"/>
      </w:numPr>
      <w:spacing w:line="600" w:lineRule="exact"/>
      <w:ind w:firstLine="200"/>
      <w:outlineLvl w:val="2"/>
    </w:pPr>
  </w:style>
  <w:style w:type="paragraph" w:styleId="8">
    <w:name w:val="heading 4"/>
    <w:basedOn w:val="1"/>
    <w:next w:val="5"/>
    <w:link w:val="4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5"/>
    <w:link w:val="44"/>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5"/>
    <w:link w:val="4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Indent"/>
    <w:basedOn w:val="1"/>
    <w:next w:val="2"/>
    <w:qFormat/>
    <w:uiPriority w:val="0"/>
    <w:pPr>
      <w:spacing w:after="120"/>
      <w:ind w:left="420" w:leftChars="200"/>
    </w:pPr>
    <w:rPr>
      <w:rFonts w:cs="Calibri"/>
    </w:rPr>
  </w:style>
  <w:style w:type="paragraph" w:customStyle="1" w:styleId="5">
    <w:name w:val="正文-文档"/>
    <w:basedOn w:val="1"/>
    <w:qFormat/>
    <w:uiPriority w:val="0"/>
    <w:pPr>
      <w:spacing w:line="360" w:lineRule="auto"/>
      <w:ind w:firstLine="200" w:firstLineChars="200"/>
    </w:pPr>
    <w:rPr>
      <w:rFonts w:ascii="Times New Roman" w:hAnsi="Times New Roman" w:eastAsia="仿宋"/>
      <w:sz w:val="32"/>
    </w:rPr>
  </w:style>
  <w:style w:type="paragraph" w:styleId="11">
    <w:name w:val="caption"/>
    <w:basedOn w:val="1"/>
    <w:next w:val="5"/>
    <w:semiHidden/>
    <w:unhideWhenUsed/>
    <w:qFormat/>
    <w:uiPriority w:val="35"/>
    <w:rPr>
      <w:rFonts w:eastAsia="黑体" w:asciiTheme="majorHAnsi" w:hAnsiTheme="majorHAnsi" w:cstheme="majorBidi"/>
      <w:sz w:val="20"/>
      <w:szCs w:val="20"/>
    </w:rPr>
  </w:style>
  <w:style w:type="paragraph" w:styleId="12">
    <w:name w:val="annotation text"/>
    <w:basedOn w:val="1"/>
    <w:link w:val="24"/>
    <w:semiHidden/>
    <w:unhideWhenUsed/>
    <w:qFormat/>
    <w:uiPriority w:val="99"/>
    <w:pPr>
      <w:jc w:val="left"/>
    </w:pPr>
  </w:style>
  <w:style w:type="paragraph" w:styleId="13">
    <w:name w:val="Plain Text"/>
    <w:basedOn w:val="1"/>
    <w:link w:val="49"/>
    <w:qFormat/>
    <w:uiPriority w:val="0"/>
    <w:pPr>
      <w:widowControl/>
      <w:spacing w:before="100" w:beforeAutospacing="1" w:after="100" w:afterAutospacing="1"/>
      <w:jc w:val="left"/>
    </w:pPr>
    <w:rPr>
      <w:rFonts w:ascii="宋体" w:hAnsi="宋体" w:cs="宋体"/>
      <w:color w:val="000000"/>
      <w:szCs w:val="21"/>
    </w:rPr>
  </w:style>
  <w:style w:type="paragraph" w:styleId="14">
    <w:name w:val="footer"/>
    <w:basedOn w:val="1"/>
    <w:link w:val="28"/>
    <w:unhideWhenUsed/>
    <w:qFormat/>
    <w:uiPriority w:val="99"/>
    <w:pPr>
      <w:tabs>
        <w:tab w:val="center" w:pos="4153"/>
        <w:tab w:val="right" w:pos="8306"/>
      </w:tabs>
      <w:snapToGrid w:val="0"/>
      <w:jc w:val="left"/>
    </w:pPr>
    <w:rPr>
      <w:rFonts w:ascii="Times New Roman" w:hAnsi="Times New Roman" w:eastAsia="仿宋"/>
      <w:szCs w:val="18"/>
    </w:rPr>
  </w:style>
  <w:style w:type="paragraph" w:styleId="15">
    <w:name w:val="header"/>
    <w:basedOn w:val="1"/>
    <w:link w:val="27"/>
    <w:unhideWhenUsed/>
    <w:qFormat/>
    <w:uiPriority w:val="99"/>
    <w:pP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Title"/>
    <w:basedOn w:val="1"/>
    <w:next w:val="1"/>
    <w:link w:val="25"/>
    <w:qFormat/>
    <w:uiPriority w:val="10"/>
    <w:pPr>
      <w:spacing w:line="600" w:lineRule="exact"/>
      <w:jc w:val="center"/>
      <w:outlineLvl w:val="0"/>
    </w:pPr>
    <w:rPr>
      <w:rFonts w:ascii="Times New Roman" w:hAnsi="Times New Roman" w:eastAsia="方正小标宋简体" w:cstheme="majorBidi"/>
      <w:bCs/>
      <w:sz w:val="44"/>
      <w:szCs w:val="32"/>
    </w:rPr>
  </w:style>
  <w:style w:type="character" w:customStyle="1" w:styleId="20">
    <w:name w:val="标题 3 字符"/>
    <w:basedOn w:val="19"/>
    <w:link w:val="7"/>
    <w:qFormat/>
    <w:uiPriority w:val="9"/>
    <w:rPr>
      <w:rFonts w:ascii="Times New Roman" w:hAnsi="Times New Roman" w:eastAsia="仿宋"/>
      <w:sz w:val="32"/>
    </w:rPr>
  </w:style>
  <w:style w:type="paragraph" w:customStyle="1" w:styleId="21">
    <w:name w:val="标题-附件"/>
    <w:basedOn w:val="4"/>
    <w:next w:val="5"/>
    <w:qFormat/>
    <w:uiPriority w:val="0"/>
    <w:pPr>
      <w:numPr>
        <w:ilvl w:val="0"/>
        <w:numId w:val="0"/>
      </w:numPr>
      <w:jc w:val="both"/>
    </w:pPr>
  </w:style>
  <w:style w:type="character" w:customStyle="1" w:styleId="22">
    <w:name w:val="标题 1 字符"/>
    <w:basedOn w:val="19"/>
    <w:link w:val="4"/>
    <w:qFormat/>
    <w:uiPriority w:val="9"/>
    <w:rPr>
      <w:rFonts w:ascii="Times New Roman" w:hAnsi="Times New Roman" w:eastAsia="黑体"/>
      <w:bCs/>
      <w:kern w:val="44"/>
      <w:sz w:val="32"/>
      <w:szCs w:val="44"/>
    </w:rPr>
  </w:style>
  <w:style w:type="character" w:customStyle="1" w:styleId="23">
    <w:name w:val="标题 2 字符"/>
    <w:basedOn w:val="19"/>
    <w:link w:val="6"/>
    <w:qFormat/>
    <w:uiPriority w:val="9"/>
    <w:rPr>
      <w:rFonts w:ascii="Times New Roman" w:hAnsi="Times New Roman" w:eastAsia="仿宋_GB2312" w:cstheme="majorBidi"/>
      <w:bCs/>
      <w:sz w:val="32"/>
      <w:szCs w:val="32"/>
    </w:rPr>
  </w:style>
  <w:style w:type="character" w:customStyle="1" w:styleId="24">
    <w:name w:val="批注文字 字符"/>
    <w:basedOn w:val="19"/>
    <w:link w:val="12"/>
    <w:semiHidden/>
    <w:qFormat/>
    <w:uiPriority w:val="99"/>
  </w:style>
  <w:style w:type="character" w:customStyle="1" w:styleId="25">
    <w:name w:val="标题 字符"/>
    <w:basedOn w:val="19"/>
    <w:link w:val="17"/>
    <w:qFormat/>
    <w:uiPriority w:val="10"/>
    <w:rPr>
      <w:rFonts w:ascii="Times New Roman" w:hAnsi="Times New Roman" w:eastAsia="方正小标宋简体" w:cstheme="majorBidi"/>
      <w:bCs/>
      <w:sz w:val="44"/>
      <w:szCs w:val="32"/>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页眉 字符"/>
    <w:basedOn w:val="19"/>
    <w:link w:val="15"/>
    <w:qFormat/>
    <w:uiPriority w:val="99"/>
    <w:rPr>
      <w:sz w:val="18"/>
      <w:szCs w:val="18"/>
    </w:rPr>
  </w:style>
  <w:style w:type="character" w:customStyle="1" w:styleId="28">
    <w:name w:val="页脚 字符"/>
    <w:basedOn w:val="19"/>
    <w:link w:val="14"/>
    <w:qFormat/>
    <w:uiPriority w:val="99"/>
    <w:rPr>
      <w:rFonts w:ascii="Times New Roman" w:hAnsi="Times New Roman" w:eastAsia="仿宋"/>
      <w:szCs w:val="18"/>
    </w:rPr>
  </w:style>
  <w:style w:type="paragraph" w:customStyle="1" w:styleId="29">
    <w:name w:val="正文-汇报信息"/>
    <w:basedOn w:val="5"/>
    <w:qFormat/>
    <w:uiPriority w:val="0"/>
    <w:pPr>
      <w:ind w:firstLine="0" w:firstLineChars="0"/>
      <w:jc w:val="center"/>
    </w:pPr>
    <w:rPr>
      <w:rFonts w:eastAsia="楷体_GB2312"/>
    </w:rPr>
  </w:style>
  <w:style w:type="paragraph" w:customStyle="1" w:styleId="30">
    <w:name w:val="正文-抬头"/>
    <w:basedOn w:val="5"/>
    <w:next w:val="5"/>
    <w:qFormat/>
    <w:uiPriority w:val="0"/>
    <w:pPr>
      <w:ind w:firstLine="0" w:firstLineChars="0"/>
    </w:pPr>
  </w:style>
  <w:style w:type="paragraph" w:customStyle="1" w:styleId="31">
    <w:name w:val="正文-图表"/>
    <w:basedOn w:val="5"/>
    <w:next w:val="5"/>
    <w:qFormat/>
    <w:uiPriority w:val="0"/>
    <w:pPr>
      <w:spacing w:line="240" w:lineRule="auto"/>
      <w:ind w:firstLine="0" w:firstLineChars="0"/>
      <w:jc w:val="center"/>
    </w:pPr>
    <w:rPr>
      <w:rFonts w:eastAsia="宋体"/>
      <w:sz w:val="28"/>
    </w:rPr>
  </w:style>
  <w:style w:type="paragraph" w:customStyle="1" w:styleId="32">
    <w:name w:val="正文-署名日期"/>
    <w:basedOn w:val="5"/>
    <w:next w:val="5"/>
    <w:qFormat/>
    <w:uiPriority w:val="0"/>
    <w:pPr>
      <w:ind w:firstLine="0" w:firstLineChars="0"/>
      <w:jc w:val="right"/>
    </w:pPr>
  </w:style>
  <w:style w:type="paragraph" w:customStyle="1" w:styleId="33">
    <w:name w:val="附件-标题0"/>
    <w:basedOn w:val="17"/>
    <w:next w:val="5"/>
    <w:qFormat/>
    <w:uiPriority w:val="0"/>
    <w:pPr>
      <w:numPr>
        <w:ilvl w:val="0"/>
        <w:numId w:val="2"/>
      </w:numPr>
      <w:jc w:val="left"/>
    </w:pPr>
    <w:rPr>
      <w:rFonts w:eastAsia="黑体"/>
      <w:sz w:val="32"/>
    </w:rPr>
  </w:style>
  <w:style w:type="paragraph" w:customStyle="1" w:styleId="34">
    <w:name w:val="正文-文档带序号"/>
    <w:basedOn w:val="5"/>
    <w:next w:val="5"/>
    <w:qFormat/>
    <w:uiPriority w:val="0"/>
  </w:style>
  <w:style w:type="paragraph" w:customStyle="1" w:styleId="35">
    <w:name w:val="标题-目录"/>
    <w:basedOn w:val="17"/>
    <w:next w:val="5"/>
    <w:qFormat/>
    <w:uiPriority w:val="0"/>
    <w:rPr>
      <w:rFonts w:eastAsia="黑体"/>
      <w:sz w:val="32"/>
    </w:rPr>
  </w:style>
  <w:style w:type="paragraph" w:customStyle="1" w:styleId="36">
    <w:name w:val="正文-表格"/>
    <w:basedOn w:val="31"/>
    <w:qFormat/>
    <w:uiPriority w:val="0"/>
    <w:pPr>
      <w:jc w:val="left"/>
    </w:pPr>
    <w:rPr>
      <w:sz w:val="21"/>
    </w:rPr>
  </w:style>
  <w:style w:type="paragraph" w:customStyle="1" w:styleId="37">
    <w:name w:val="附件-正文标题"/>
    <w:basedOn w:val="17"/>
    <w:next w:val="5"/>
    <w:qFormat/>
    <w:uiPriority w:val="0"/>
    <w:pPr>
      <w:outlineLvl w:val="9"/>
    </w:pPr>
  </w:style>
  <w:style w:type="paragraph" w:customStyle="1" w:styleId="38">
    <w:name w:val="附件-标题1"/>
    <w:basedOn w:val="4"/>
    <w:next w:val="5"/>
    <w:qFormat/>
    <w:uiPriority w:val="0"/>
    <w:pPr>
      <w:numPr>
        <w:ilvl w:val="1"/>
        <w:numId w:val="2"/>
      </w:numPr>
      <w:outlineLvl w:val="1"/>
    </w:pPr>
  </w:style>
  <w:style w:type="paragraph" w:customStyle="1" w:styleId="39">
    <w:name w:val="附件-标题2"/>
    <w:basedOn w:val="6"/>
    <w:next w:val="5"/>
    <w:qFormat/>
    <w:uiPriority w:val="0"/>
    <w:pPr>
      <w:numPr>
        <w:ilvl w:val="2"/>
        <w:numId w:val="2"/>
      </w:numPr>
      <w:outlineLvl w:val="2"/>
    </w:pPr>
  </w:style>
  <w:style w:type="paragraph" w:customStyle="1" w:styleId="40">
    <w:name w:val="附件-标题3"/>
    <w:basedOn w:val="7"/>
    <w:next w:val="5"/>
    <w:qFormat/>
    <w:uiPriority w:val="0"/>
    <w:pPr>
      <w:numPr>
        <w:ilvl w:val="3"/>
        <w:numId w:val="2"/>
      </w:numPr>
      <w:outlineLvl w:val="3"/>
    </w:pPr>
  </w:style>
  <w:style w:type="paragraph" w:customStyle="1" w:styleId="41">
    <w:name w:val="附件-标题5"/>
    <w:basedOn w:val="8"/>
    <w:next w:val="5"/>
    <w:qFormat/>
    <w:uiPriority w:val="0"/>
    <w:pPr>
      <w:numPr>
        <w:ilvl w:val="5"/>
        <w:numId w:val="2"/>
      </w:numPr>
      <w:ind w:firstLine="200" w:firstLineChars="200"/>
      <w:outlineLvl w:val="4"/>
    </w:pPr>
  </w:style>
  <w:style w:type="character" w:customStyle="1" w:styleId="42">
    <w:name w:val="标题 4 字符"/>
    <w:basedOn w:val="19"/>
    <w:link w:val="8"/>
    <w:semiHidden/>
    <w:qFormat/>
    <w:uiPriority w:val="9"/>
    <w:rPr>
      <w:rFonts w:asciiTheme="majorHAnsi" w:hAnsiTheme="majorHAnsi" w:eastAsiaTheme="majorEastAsia" w:cstheme="majorBidi"/>
      <w:b/>
      <w:bCs/>
      <w:sz w:val="28"/>
      <w:szCs w:val="28"/>
    </w:rPr>
  </w:style>
  <w:style w:type="paragraph" w:customStyle="1" w:styleId="43">
    <w:name w:val="样式1"/>
    <w:basedOn w:val="9"/>
    <w:qFormat/>
    <w:uiPriority w:val="0"/>
    <w:pPr>
      <w:ind w:firstLine="200" w:firstLineChars="200"/>
      <w:outlineLvl w:val="5"/>
    </w:pPr>
  </w:style>
  <w:style w:type="character" w:customStyle="1" w:styleId="44">
    <w:name w:val="标题 5 字符"/>
    <w:basedOn w:val="19"/>
    <w:link w:val="9"/>
    <w:semiHidden/>
    <w:qFormat/>
    <w:uiPriority w:val="9"/>
    <w:rPr>
      <w:b/>
      <w:bCs/>
      <w:sz w:val="28"/>
      <w:szCs w:val="28"/>
    </w:rPr>
  </w:style>
  <w:style w:type="paragraph" w:customStyle="1" w:styleId="45">
    <w:name w:val="附件-标题6"/>
    <w:basedOn w:val="43"/>
    <w:next w:val="5"/>
    <w:qFormat/>
    <w:uiPriority w:val="0"/>
  </w:style>
  <w:style w:type="character" w:customStyle="1" w:styleId="46">
    <w:name w:val="标题 6 字符"/>
    <w:basedOn w:val="19"/>
    <w:link w:val="10"/>
    <w:semiHidden/>
    <w:qFormat/>
    <w:uiPriority w:val="9"/>
    <w:rPr>
      <w:rFonts w:asciiTheme="majorHAnsi" w:hAnsiTheme="majorHAnsi" w:eastAsiaTheme="majorEastAsia" w:cstheme="majorBidi"/>
      <w:b/>
      <w:bCs/>
      <w:sz w:val="24"/>
      <w:szCs w:val="24"/>
    </w:rPr>
  </w:style>
  <w:style w:type="character" w:customStyle="1" w:styleId="47">
    <w:name w:val="Char Char4"/>
    <w:qFormat/>
    <w:uiPriority w:val="0"/>
    <w:rPr>
      <w:rFonts w:eastAsia="宋体"/>
      <w:kern w:val="2"/>
      <w:sz w:val="18"/>
      <w:szCs w:val="18"/>
      <w:lang w:val="en-US" w:eastAsia="zh-CN" w:bidi="ar-SA"/>
    </w:rPr>
  </w:style>
  <w:style w:type="paragraph" w:customStyle="1" w:styleId="4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纯文本 字符"/>
    <w:link w:val="13"/>
    <w:qFormat/>
    <w:uiPriority w:val="0"/>
    <w:rPr>
      <w:rFonts w:ascii="宋体" w:hAnsi="宋体" w:cs="宋体"/>
      <w:color w:val="000000"/>
      <w:szCs w:val="21"/>
    </w:rPr>
  </w:style>
  <w:style w:type="paragraph" w:customStyle="1" w:styleId="50">
    <w:name w:val="默认"/>
    <w:qFormat/>
    <w:uiPriority w:val="0"/>
    <w:rPr>
      <w:rFonts w:ascii="Arial Unicode MS" w:hAnsi="Arial Unicode MS" w:eastAsia="Arial Unicode MS" w:cs="Arial Unicode MS"/>
      <w:color w:val="000000"/>
      <w:kern w:val="2"/>
      <w:sz w:val="22"/>
      <w:szCs w:val="22"/>
      <w:u w:color="000000"/>
      <w:lang w:val="zh-TW" w:eastAsia="zh-TW" w:bidi="ar-SA"/>
    </w:rPr>
  </w:style>
  <w:style w:type="character" w:customStyle="1" w:styleId="51">
    <w:name w:val="纯文本 字符1"/>
    <w:basedOn w:val="19"/>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13516</Words>
  <Characters>14101</Characters>
  <Lines>103</Lines>
  <Paragraphs>29</Paragraphs>
  <TotalTime>2</TotalTime>
  <ScaleCrop>false</ScaleCrop>
  <LinksUpToDate>false</LinksUpToDate>
  <CharactersWithSpaces>14312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2023-10-17T19:25:00Z</dcterms:created>
  <dc:creator>Revan Weng</dc:creator>
  <cp:lastModifiedBy>来莹芳（信息服务专班）</cp:lastModifiedBy>
  <cp:lastPrinted>2023-10-17T23:45:00Z</cp:lastPrinted>
  <dcterms:modified xsi:type="dcterms:W3CDTF">2025-04-30T07:43:05Z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ECD690B15CBE49D79CDB8603C2F975A0_13</vt:lpwstr>
  </property>
</Properties>
</file>