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shd w:val="clear" w:color="auto" w:fill="FFFFFF"/>
          <w:lang w:eastAsia="zh-CN"/>
        </w:rPr>
        <w:t>附件</w:t>
      </w:r>
      <w:r>
        <w:rPr>
          <w:rFonts w:hint="eastAsia" w:ascii="方正黑体_GBK" w:hAnsi="方正黑体_GBK" w:eastAsia="方正黑体_GBK" w:cs="方正黑体_GBK"/>
          <w:color w:val="000000"/>
          <w:sz w:val="28"/>
          <w:szCs w:val="28"/>
          <w:shd w:val="clear" w:color="auto" w:fill="FFFFFF"/>
          <w:lang w:val="en-US" w:eastAsia="zh-CN"/>
        </w:rPr>
        <w:t>1</w:t>
      </w:r>
    </w:p>
    <w:p>
      <w:pPr>
        <w:spacing w:line="590" w:lineRule="exact"/>
        <w:jc w:val="center"/>
        <w:rPr>
          <w:rFonts w:ascii="黑体" w:hAnsi="黑体" w:eastAsia="黑体" w:cs="Times New Roman"/>
          <w:spacing w:val="4"/>
          <w:sz w:val="32"/>
          <w:szCs w:val="32"/>
        </w:rPr>
      </w:pP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浙江省综合性评标专家库管理办法实施细则</w:t>
      </w:r>
    </w:p>
    <w:p>
      <w:pPr>
        <w:spacing w:line="58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（修订稿）</w:t>
      </w:r>
    </w:p>
    <w:p>
      <w:pPr>
        <w:spacing w:line="580" w:lineRule="exact"/>
        <w:jc w:val="both"/>
        <w:rPr>
          <w:rFonts w:ascii="黑体" w:hAnsi="黑体" w:eastAsia="黑体" w:cs="Times New Roman"/>
          <w:sz w:val="32"/>
          <w:szCs w:val="32"/>
        </w:rPr>
      </w:pPr>
    </w:p>
    <w:p>
      <w:pPr>
        <w:spacing w:line="580" w:lineRule="exact"/>
        <w:ind w:firstLine="640" w:firstLineChars="200"/>
        <w:jc w:val="both"/>
        <w:rPr>
          <w:rFonts w:hint="eastAsia" w:ascii="仿宋_GB2312" w:hAnsi="仿宋_GB2312" w:eastAsia="仿宋_GB2312" w:cs="仿宋_GB2312"/>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一</w:t>
      </w:r>
      <w:r>
        <w:rPr>
          <w:rFonts w:hint="eastAsia" w:ascii="方正黑体_GBK" w:hAnsi="方正黑体_GBK" w:eastAsia="方正黑体_GBK" w:cs="方正黑体_GBK"/>
          <w:b w:val="0"/>
          <w:bCs w:val="0"/>
          <w:color w:val="000000"/>
          <w:kern w:val="0"/>
          <w:sz w:val="32"/>
          <w:szCs w:val="32"/>
        </w:rPr>
        <w:t>、</w:t>
      </w:r>
      <w:r>
        <w:rPr>
          <w:rFonts w:hint="eastAsia" w:ascii="方正黑体_GBK" w:hAnsi="方正黑体_GBK" w:eastAsia="方正黑体_GBK" w:cs="方正黑体_GBK"/>
          <w:b w:val="0"/>
          <w:bCs w:val="0"/>
          <w:color w:val="000000"/>
          <w:kern w:val="0"/>
          <w:sz w:val="32"/>
          <w:szCs w:val="32"/>
          <w:lang w:val="zh-CN"/>
        </w:rPr>
        <w:t>总则</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（一）</w:t>
      </w:r>
      <w:r>
        <w:rPr>
          <w:rFonts w:hint="eastAsia" w:ascii="仿宋_GB2312" w:hAnsi="仿宋_GB2312" w:eastAsia="仿宋_GB2312" w:cs="仿宋_GB2312"/>
          <w:b w:val="0"/>
          <w:bCs w:val="0"/>
          <w:color w:val="000000"/>
          <w:sz w:val="32"/>
          <w:szCs w:val="32"/>
        </w:rPr>
        <w:t>为加强浙江省综合性评标专家库管理，规范评标专家行为，提高评标质量，根据《中华人民共和国招标投标法》《中华人民共和国招标投标法实施条例》《浙江省招标投标条例》和《浙江省综合性评标专家库管理办法》等法律、法规、规章的规定，制订本细则。</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w:t>
      </w:r>
      <w:r>
        <w:rPr>
          <w:rFonts w:hint="eastAsia" w:ascii="仿宋_GB2312" w:hAnsi="仿宋_GB2312" w:eastAsia="仿宋_GB2312" w:cs="仿宋_GB2312"/>
          <w:b w:val="0"/>
          <w:bCs w:val="0"/>
          <w:color w:val="000000"/>
          <w:sz w:val="32"/>
          <w:szCs w:val="32"/>
        </w:rPr>
        <w:t>浙江省综合性评标专家库（以下简称省评标专家库）的组建、使用、管理，以及评标专家的征聘、抽取、考评、退出等，适用于本细则。</w:t>
      </w:r>
    </w:p>
    <w:p>
      <w:pPr>
        <w:spacing w:line="58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w:t>
      </w:r>
      <w:r>
        <w:rPr>
          <w:rFonts w:hint="eastAsia" w:ascii="仿宋_GB2312" w:hAnsi="仿宋_GB2312" w:eastAsia="仿宋_GB2312" w:cs="仿宋_GB2312"/>
          <w:b w:val="0"/>
          <w:bCs w:val="0"/>
          <w:color w:val="000000"/>
          <w:sz w:val="32"/>
          <w:szCs w:val="32"/>
        </w:rPr>
        <w:t>省发展改革委（省评标专家库管理部门）负责省评标专家库和评标专家的管理，组织专家征聘、培训、考评、解聘、清退等工作。</w:t>
      </w:r>
    </w:p>
    <w:p>
      <w:pPr>
        <w:spacing w:line="580" w:lineRule="exact"/>
        <w:ind w:firstLine="640" w:firstLineChars="200"/>
        <w:jc w:val="both"/>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sz w:val="32"/>
          <w:szCs w:val="32"/>
        </w:rPr>
        <w:t>省有关行政部门协同</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color w:val="000000"/>
          <w:sz w:val="32"/>
          <w:szCs w:val="32"/>
        </w:rPr>
        <w:t>开展</w:t>
      </w:r>
      <w:r>
        <w:rPr>
          <w:rFonts w:hint="eastAsia" w:ascii="仿宋_GB2312" w:hAnsi="仿宋_GB2312" w:eastAsia="仿宋_GB2312" w:cs="仿宋_GB2312"/>
          <w:b w:val="0"/>
          <w:bCs w:val="0"/>
          <w:color w:val="000000"/>
          <w:kern w:val="0"/>
          <w:sz w:val="32"/>
          <w:szCs w:val="32"/>
          <w:lang w:val="zh-CN"/>
        </w:rPr>
        <w:t>专家征聘、资深专家认定、专家培训教育等工作。</w:t>
      </w:r>
    </w:p>
    <w:p>
      <w:pPr>
        <w:spacing w:line="580" w:lineRule="exact"/>
        <w:ind w:firstLine="656" w:firstLineChars="200"/>
        <w:jc w:val="both"/>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val="0"/>
          <w:bCs w:val="0"/>
          <w:spacing w:val="4"/>
          <w:sz w:val="32"/>
          <w:szCs w:val="32"/>
        </w:rPr>
        <w:t>设区市</w:t>
      </w:r>
      <w:r>
        <w:rPr>
          <w:rFonts w:hint="eastAsia" w:ascii="仿宋_GB2312" w:hAnsi="仿宋_GB2312" w:eastAsia="仿宋_GB2312" w:cs="仿宋_GB2312"/>
          <w:b w:val="0"/>
          <w:bCs w:val="0"/>
          <w:color w:val="auto"/>
          <w:spacing w:val="4"/>
          <w:sz w:val="32"/>
          <w:szCs w:val="32"/>
        </w:rPr>
        <w:t>招标投标（公共资源交易）综合管理</w:t>
      </w:r>
      <w:r>
        <w:rPr>
          <w:rFonts w:hint="eastAsia" w:ascii="仿宋_GB2312" w:hAnsi="仿宋_GB2312" w:eastAsia="仿宋_GB2312" w:cs="仿宋_GB2312"/>
          <w:b w:val="0"/>
          <w:bCs w:val="0"/>
          <w:iCs/>
          <w:color w:val="auto"/>
          <w:spacing w:val="4"/>
          <w:sz w:val="32"/>
          <w:szCs w:val="32"/>
        </w:rPr>
        <w:t>部门</w:t>
      </w:r>
      <w:r>
        <w:rPr>
          <w:rFonts w:hint="eastAsia" w:ascii="仿宋_GB2312" w:hAnsi="仿宋_GB2312" w:eastAsia="仿宋_GB2312" w:cs="仿宋_GB2312"/>
          <w:b w:val="0"/>
          <w:bCs w:val="0"/>
          <w:iCs/>
          <w:color w:val="000000"/>
          <w:spacing w:val="4"/>
          <w:sz w:val="32"/>
          <w:szCs w:val="32"/>
        </w:rPr>
        <w:t>会同行政监督部门，协助</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iCs/>
          <w:color w:val="000000"/>
          <w:spacing w:val="4"/>
          <w:sz w:val="32"/>
          <w:szCs w:val="32"/>
        </w:rPr>
        <w:t>做好</w:t>
      </w:r>
      <w:r>
        <w:rPr>
          <w:rFonts w:hint="eastAsia" w:ascii="仿宋_GB2312" w:hAnsi="仿宋_GB2312" w:eastAsia="仿宋_GB2312" w:cs="仿宋_GB2312"/>
          <w:b w:val="0"/>
          <w:bCs w:val="0"/>
          <w:color w:val="000000"/>
          <w:spacing w:val="4"/>
          <w:sz w:val="32"/>
          <w:szCs w:val="32"/>
        </w:rPr>
        <w:t>辖区内专家申报审核、信用评价、年度考核等专家日常管理工作。</w:t>
      </w:r>
    </w:p>
    <w:p>
      <w:pPr>
        <w:spacing w:line="580" w:lineRule="exact"/>
        <w:ind w:firstLine="656" w:firstLineChars="200"/>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val="0"/>
          <w:bCs w:val="0"/>
          <w:color w:val="000000"/>
          <w:spacing w:val="4"/>
          <w:sz w:val="32"/>
          <w:szCs w:val="32"/>
          <w:lang w:val="zh-CN"/>
        </w:rPr>
        <w:t>各行政监督部门对评标专家的抽取和评标活动实施监督，严肃</w:t>
      </w:r>
      <w:r>
        <w:rPr>
          <w:rFonts w:hint="eastAsia" w:ascii="仿宋_GB2312" w:hAnsi="仿宋_GB2312" w:eastAsia="仿宋_GB2312" w:cs="仿宋_GB2312"/>
          <w:b w:val="0"/>
          <w:bCs w:val="0"/>
          <w:color w:val="000000"/>
          <w:spacing w:val="4"/>
          <w:sz w:val="32"/>
          <w:szCs w:val="32"/>
        </w:rPr>
        <w:t>查处评标专家违法违规行为，</w:t>
      </w:r>
      <w:r>
        <w:rPr>
          <w:rFonts w:hint="eastAsia" w:ascii="仿宋_GB2312" w:hAnsi="仿宋_GB2312" w:eastAsia="仿宋_GB2312" w:cs="仿宋_GB2312"/>
          <w:b w:val="0"/>
          <w:bCs w:val="0"/>
          <w:color w:val="000000"/>
          <w:spacing w:val="4"/>
          <w:sz w:val="32"/>
          <w:szCs w:val="32"/>
          <w:lang w:val="zh-CN"/>
        </w:rPr>
        <w:t>开展评标专家信用评价。</w:t>
      </w:r>
    </w:p>
    <w:p>
      <w:pPr>
        <w:spacing w:line="580" w:lineRule="exact"/>
        <w:ind w:firstLine="640" w:firstLineChars="200"/>
        <w:jc w:val="both"/>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sz w:val="32"/>
          <w:szCs w:val="32"/>
        </w:rPr>
        <w:t>各招标投标（公共资源）交易场所</w:t>
      </w:r>
      <w:r>
        <w:rPr>
          <w:rFonts w:hint="eastAsia" w:ascii="仿宋_GB2312" w:hAnsi="仿宋_GB2312" w:eastAsia="仿宋_GB2312" w:cs="仿宋_GB2312"/>
          <w:b w:val="0"/>
          <w:bCs w:val="0"/>
          <w:color w:val="000000"/>
          <w:kern w:val="0"/>
          <w:sz w:val="32"/>
          <w:szCs w:val="32"/>
          <w:lang w:val="zh-CN"/>
        </w:rPr>
        <w:t>负责提供省评标专家库专家抽取服务，维持评标现场纪律和秩序，协助行政监督部门开展评标专家信用评价。</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二、专家征聘</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（四）</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color w:val="000000"/>
          <w:sz w:val="32"/>
          <w:szCs w:val="32"/>
        </w:rPr>
        <w:t>会同省有关行政部门公开征集选聘评标专家。专家申请加入省评标专家库的，须由本人提出申请，并符合以下条件：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
        </w:rPr>
        <w:t>1.</w:t>
      </w:r>
      <w:r>
        <w:rPr>
          <w:rFonts w:hint="eastAsia" w:ascii="仿宋_GB2312" w:hAnsi="仿宋_GB2312" w:eastAsia="仿宋_GB2312" w:cs="仿宋_GB2312"/>
          <w:b w:val="0"/>
          <w:bCs w:val="0"/>
          <w:iCs/>
          <w:color w:val="000000"/>
          <w:sz w:val="32"/>
          <w:szCs w:val="32"/>
        </w:rPr>
        <w:t>具有良好的政治品质，</w:t>
      </w:r>
      <w:r>
        <w:rPr>
          <w:rFonts w:hint="eastAsia" w:ascii="仿宋_GB2312" w:hAnsi="仿宋_GB2312" w:eastAsia="仿宋_GB2312" w:cs="仿宋_GB2312"/>
          <w:b w:val="0"/>
          <w:bCs w:val="0"/>
          <w:color w:val="000000"/>
          <w:sz w:val="32"/>
          <w:szCs w:val="32"/>
        </w:rPr>
        <w:t>熟悉有关招标投标法律、法规和规章，能够公正、诚实、廉洁、认真履行职责；</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
        </w:rPr>
        <w:t>2.</w:t>
      </w:r>
      <w:r>
        <w:rPr>
          <w:rFonts w:hint="eastAsia" w:ascii="仿宋_GB2312" w:hAnsi="仿宋_GB2312" w:eastAsia="仿宋_GB2312" w:cs="仿宋_GB2312"/>
          <w:b w:val="0"/>
          <w:bCs w:val="0"/>
          <w:color w:val="000000"/>
          <w:sz w:val="32"/>
          <w:szCs w:val="32"/>
        </w:rPr>
        <w:t>具有完全民事行为能力，身体健康，能够承担评标工作，年龄不超过65周岁</w:t>
      </w:r>
      <w:r>
        <w:rPr>
          <w:rFonts w:hint="eastAsia" w:ascii="仿宋_GB2312" w:hAnsi="仿宋_GB2312" w:eastAsia="仿宋_GB2312" w:cs="仿宋_GB2312"/>
          <w:b w:val="0"/>
          <w:bCs w:val="0"/>
          <w:sz w:val="32"/>
          <w:szCs w:val="32"/>
        </w:rPr>
        <w:t>；</w:t>
      </w:r>
    </w:p>
    <w:p>
      <w:pPr>
        <w:spacing w:line="580" w:lineRule="exact"/>
        <w:ind w:firstLine="640" w:firstLineChars="200"/>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sz w:val="32"/>
          <w:szCs w:val="32"/>
          <w:lang w:val="en"/>
        </w:rPr>
        <w:t>3.</w:t>
      </w:r>
      <w:r>
        <w:rPr>
          <w:rFonts w:hint="eastAsia" w:ascii="仿宋_GB2312" w:hAnsi="仿宋_GB2312" w:eastAsia="仿宋_GB2312" w:cs="仿宋_GB2312"/>
          <w:b w:val="0"/>
          <w:bCs w:val="0"/>
          <w:color w:val="000000"/>
          <w:sz w:val="32"/>
          <w:szCs w:val="32"/>
        </w:rPr>
        <w:t>从事相关专业领域工作满8年，并具有与申请专业类别相关的高级技术职称或同等专业水平</w:t>
      </w:r>
      <w:r>
        <w:rPr>
          <w:rFonts w:hint="eastAsia" w:ascii="仿宋_GB2312" w:hAnsi="仿宋_GB2312" w:eastAsia="仿宋_GB2312" w:cs="仿宋_GB2312"/>
          <w:b w:val="0"/>
          <w:bCs w:val="0"/>
          <w:color w:val="0D0D0D"/>
          <w:sz w:val="32"/>
          <w:szCs w:val="32"/>
        </w:rPr>
        <w:t>；</w:t>
      </w:r>
    </w:p>
    <w:p>
      <w:pPr>
        <w:spacing w:line="580" w:lineRule="exact"/>
        <w:rPr>
          <w:rFonts w:hint="eastAsia" w:ascii="仿宋_GB2312" w:hAnsi="仿宋_GB2312" w:eastAsia="仿宋_GB2312" w:cs="仿宋_GB2312"/>
          <w:b w:val="0"/>
          <w:bCs w:val="0"/>
          <w:color w:val="000000"/>
          <w:sz w:val="32"/>
          <w:szCs w:val="32"/>
          <w:lang w:val="en"/>
        </w:rPr>
      </w:pPr>
      <w:r>
        <w:rPr>
          <w:rFonts w:hint="eastAsia" w:ascii="仿宋_GB2312" w:hAnsi="仿宋_GB2312" w:eastAsia="仿宋_GB2312" w:cs="仿宋_GB2312"/>
          <w:b w:val="0"/>
          <w:bCs w:val="0"/>
          <w:sz w:val="32"/>
          <w:szCs w:val="32"/>
          <w:lang w:val="en"/>
        </w:rPr>
        <w:t xml:space="preserve">    4.</w:t>
      </w:r>
      <w:r>
        <w:rPr>
          <w:rFonts w:hint="eastAsia" w:ascii="仿宋_GB2312" w:hAnsi="仿宋_GB2312" w:eastAsia="仿宋_GB2312" w:cs="仿宋_GB2312"/>
          <w:b w:val="0"/>
          <w:bCs w:val="0"/>
          <w:color w:val="000000"/>
          <w:sz w:val="32"/>
          <w:szCs w:val="32"/>
        </w:rPr>
        <w:t>具有与申请专业类别相关的实践经验</w:t>
      </w:r>
      <w:r>
        <w:rPr>
          <w:rFonts w:hint="eastAsia" w:ascii="仿宋_GB2312" w:hAnsi="仿宋_GB2312" w:eastAsia="仿宋_GB2312" w:cs="仿宋_GB2312"/>
          <w:b w:val="0"/>
          <w:bCs w:val="0"/>
          <w:color w:val="000000"/>
          <w:sz w:val="32"/>
          <w:szCs w:val="32"/>
          <w:lang w:val="en"/>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5.能独立通过电子计算机完成评标工作；</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
        </w:rPr>
        <w:t>6.</w:t>
      </w:r>
      <w:r>
        <w:rPr>
          <w:rFonts w:hint="eastAsia" w:ascii="仿宋_GB2312" w:hAnsi="仿宋_GB2312" w:eastAsia="仿宋_GB2312" w:cs="仿宋_GB2312"/>
          <w:b w:val="0"/>
          <w:bCs w:val="0"/>
          <w:color w:val="000000"/>
          <w:sz w:val="32"/>
          <w:szCs w:val="32"/>
        </w:rPr>
        <w:t>法律、法规规定的其他条件。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前款所称同等专业水平是指从事相关专业领域工作满15年，取得中级职称满8年，且取得该领域一级（含不区分等级）国家执业资格满5年。征集紧缺专业专家时，可放宽至同等专业水平。</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（五）</w:t>
      </w:r>
      <w:r>
        <w:rPr>
          <w:rFonts w:hint="eastAsia" w:ascii="仿宋_GB2312" w:hAnsi="仿宋_GB2312" w:eastAsia="仿宋_GB2312" w:cs="仿宋_GB2312"/>
          <w:b w:val="0"/>
          <w:bCs w:val="0"/>
          <w:color w:val="000000"/>
          <w:sz w:val="32"/>
          <w:szCs w:val="32"/>
        </w:rPr>
        <w:t>专家申请入库时，不得存在以下情形：</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color w:val="000000"/>
          <w:sz w:val="32"/>
          <w:szCs w:val="32"/>
        </w:rPr>
        <w:t>曾被国家各部门或省级人民政府评标或评审专家库予以除名、解聘或清退的；</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曾因在招投标活动中存在违法违规行为受行政处罚的；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3.受过刑事处罚的；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4.被列为失信被执行人或列入严重失信名单的；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5.法律、法规规定的其他不得担任评标专家的情形。</w:t>
      </w:r>
    </w:p>
    <w:p>
      <w:pPr>
        <w:spacing w:line="580" w:lineRule="exact"/>
        <w:ind w:firstLine="640" w:firstLineChars="200"/>
        <w:rPr>
          <w:rFonts w:hint="eastAsia" w:ascii="仿宋_GB2312" w:hAnsi="仿宋_GB2312" w:eastAsia="仿宋_GB2312" w:cs="仿宋_GB2312"/>
          <w:b w:val="0"/>
          <w:bCs w:val="0"/>
          <w:iCs/>
          <w:color w:val="000000"/>
          <w:sz w:val="32"/>
          <w:szCs w:val="32"/>
        </w:rPr>
      </w:pPr>
      <w:r>
        <w:rPr>
          <w:rFonts w:hint="eastAsia" w:ascii="方正楷体_GBK" w:hAnsi="方正楷体_GBK" w:eastAsia="方正楷体_GBK" w:cs="方正楷体_GBK"/>
          <w:b w:val="0"/>
          <w:bCs w:val="0"/>
          <w:color w:val="000000"/>
          <w:kern w:val="0"/>
          <w:sz w:val="32"/>
          <w:szCs w:val="32"/>
          <w:lang w:val="zh-CN"/>
        </w:rPr>
        <w:t>（六）</w:t>
      </w:r>
      <w:r>
        <w:rPr>
          <w:rFonts w:hint="eastAsia" w:ascii="仿宋_GB2312" w:hAnsi="仿宋_GB2312" w:eastAsia="仿宋_GB2312" w:cs="仿宋_GB2312"/>
          <w:b w:val="0"/>
          <w:bCs w:val="0"/>
          <w:iCs/>
          <w:color w:val="000000"/>
          <w:sz w:val="32"/>
          <w:szCs w:val="32"/>
        </w:rPr>
        <w:t>申请人通过省评标专家库系统在线提出入库申请。设区市</w:t>
      </w:r>
      <w:r>
        <w:rPr>
          <w:rFonts w:hint="eastAsia" w:ascii="仿宋_GB2312" w:hAnsi="仿宋_GB2312" w:eastAsia="仿宋_GB2312" w:cs="仿宋_GB2312"/>
          <w:b w:val="0"/>
          <w:bCs w:val="0"/>
          <w:color w:val="auto"/>
          <w:spacing w:val="4"/>
          <w:sz w:val="32"/>
          <w:szCs w:val="32"/>
        </w:rPr>
        <w:t>招标投标（公共资源交易）综合管理</w:t>
      </w:r>
      <w:r>
        <w:rPr>
          <w:rFonts w:hint="eastAsia" w:ascii="仿宋_GB2312" w:hAnsi="仿宋_GB2312" w:eastAsia="仿宋_GB2312" w:cs="仿宋_GB2312"/>
          <w:b w:val="0"/>
          <w:bCs w:val="0"/>
          <w:iCs/>
          <w:color w:val="auto"/>
          <w:spacing w:val="4"/>
          <w:sz w:val="32"/>
          <w:szCs w:val="32"/>
        </w:rPr>
        <w:t>部门</w:t>
      </w:r>
      <w:r>
        <w:rPr>
          <w:rFonts w:hint="eastAsia" w:ascii="仿宋_GB2312" w:hAnsi="仿宋_GB2312" w:eastAsia="仿宋_GB2312" w:cs="仿宋_GB2312"/>
          <w:b w:val="0"/>
          <w:bCs w:val="0"/>
          <w:iCs/>
          <w:color w:val="000000"/>
          <w:sz w:val="32"/>
          <w:szCs w:val="32"/>
        </w:rPr>
        <w:t>对辖区内的入库申请进行初审，省评标专家库管理部门会同</w:t>
      </w:r>
      <w:r>
        <w:rPr>
          <w:rFonts w:hint="eastAsia" w:ascii="仿宋_GB2312" w:hAnsi="仿宋_GB2312" w:eastAsia="仿宋_GB2312" w:cs="仿宋_GB2312"/>
          <w:b w:val="0"/>
          <w:bCs w:val="0"/>
          <w:color w:val="000000"/>
          <w:sz w:val="32"/>
          <w:szCs w:val="32"/>
        </w:rPr>
        <w:t>省有关行政部门</w:t>
      </w:r>
      <w:r>
        <w:rPr>
          <w:rFonts w:hint="eastAsia" w:ascii="仿宋_GB2312" w:hAnsi="仿宋_GB2312" w:eastAsia="仿宋_GB2312" w:cs="仿宋_GB2312"/>
          <w:b w:val="0"/>
          <w:bCs w:val="0"/>
          <w:iCs/>
          <w:sz w:val="32"/>
          <w:szCs w:val="32"/>
        </w:rPr>
        <w:t>负责复核</w:t>
      </w:r>
      <w:r>
        <w:rPr>
          <w:rFonts w:hint="eastAsia" w:ascii="仿宋_GB2312" w:hAnsi="仿宋_GB2312" w:eastAsia="仿宋_GB2312" w:cs="仿宋_GB2312"/>
          <w:b w:val="0"/>
          <w:bCs w:val="0"/>
          <w:iCs/>
          <w:color w:val="000000"/>
          <w:sz w:val="32"/>
          <w:szCs w:val="32"/>
        </w:rPr>
        <w:t>。申请人对申报信息的真实性、完整性</w:t>
      </w:r>
      <w:r>
        <w:rPr>
          <w:rFonts w:hint="eastAsia" w:ascii="仿宋_GB2312" w:hAnsi="仿宋_GB2312" w:eastAsia="仿宋_GB2312" w:cs="仿宋_GB2312"/>
          <w:b w:val="0"/>
          <w:bCs w:val="0"/>
          <w:iCs/>
          <w:sz w:val="32"/>
          <w:szCs w:val="32"/>
        </w:rPr>
        <w:t>、有效性</w:t>
      </w:r>
      <w:r>
        <w:rPr>
          <w:rFonts w:hint="eastAsia" w:ascii="仿宋_GB2312" w:hAnsi="仿宋_GB2312" w:eastAsia="仿宋_GB2312" w:cs="仿宋_GB2312"/>
          <w:b w:val="0"/>
          <w:bCs w:val="0"/>
          <w:iCs/>
          <w:color w:val="000000"/>
          <w:sz w:val="32"/>
          <w:szCs w:val="32"/>
        </w:rPr>
        <w:t xml:space="preserve">负责。 </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方正楷体_GBK" w:hAnsi="方正楷体_GBK" w:eastAsia="方正楷体_GBK" w:cs="方正楷体_GBK"/>
          <w:b w:val="0"/>
          <w:bCs w:val="0"/>
          <w:color w:val="000000"/>
          <w:kern w:val="0"/>
          <w:sz w:val="32"/>
          <w:szCs w:val="32"/>
          <w:lang w:val="zh-CN"/>
        </w:rPr>
        <w:t>（七）</w:t>
      </w:r>
      <w:r>
        <w:rPr>
          <w:rFonts w:hint="eastAsia" w:ascii="仿宋_GB2312" w:hAnsi="仿宋_GB2312" w:eastAsia="仿宋_GB2312" w:cs="仿宋_GB2312"/>
          <w:b w:val="0"/>
          <w:bCs w:val="0"/>
          <w:iCs/>
          <w:color w:val="000000"/>
          <w:sz w:val="32"/>
          <w:szCs w:val="32"/>
        </w:rPr>
        <w:t>省评标专家库评标专家实行聘任制，每任聘期3年。通过应聘审查的专家候选人须参加入库培训，培训考核合格后，获得省评标专家库评标专家电子聘书。</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（八）</w:t>
      </w:r>
      <w:r>
        <w:rPr>
          <w:rFonts w:hint="eastAsia" w:ascii="仿宋_GB2312" w:hAnsi="仿宋_GB2312" w:eastAsia="仿宋_GB2312" w:cs="仿宋_GB2312"/>
          <w:b w:val="0"/>
          <w:bCs w:val="0"/>
          <w:color w:val="000000"/>
          <w:sz w:val="32"/>
          <w:szCs w:val="32"/>
        </w:rPr>
        <w:t>省评标专家库内设置资深专家分库。具有全日制本科及以上学历，取得正高级专业技术职称(或高级技术职称满10年)，担任省评标专家库专家满3年，未曾被暂时冻结省库专家身份，年度考核均合格，且符合下列条件之一的省评标专家库专家，可以认定为资深专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1.担任过省级以上重大工程或技术复杂工程项目的经济、技术负责人；</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2.相关专业工作成果获省部级及以上表彰或奖励的；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3.担任过省级及以上已发布的过程技术规范或者技术标准主要起草人的；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4.在相关行业的行政监督部门、事业单位担任中层以上职务的；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资深专家除参与正常评标工作外，还可为技术复杂、专业性强或者有特殊要求的项目提供评价、论证、咨询等服务；为有关行政监督部门的行政决策、评标争议处理提供咨询等服务。</w:t>
      </w:r>
    </w:p>
    <w:p>
      <w:pPr>
        <w:spacing w:line="58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资深专家由</w:t>
      </w:r>
      <w:r>
        <w:rPr>
          <w:rFonts w:hint="eastAsia" w:ascii="仿宋_GB2312" w:hAnsi="仿宋_GB2312" w:eastAsia="仿宋_GB2312" w:cs="仿宋_GB2312"/>
          <w:b w:val="0"/>
          <w:bCs w:val="0"/>
          <w:color w:val="000000"/>
          <w:kern w:val="0"/>
          <w:sz w:val="32"/>
          <w:szCs w:val="32"/>
        </w:rPr>
        <w:t>省评标专家库管理部门会同</w:t>
      </w:r>
      <w:r>
        <w:rPr>
          <w:rFonts w:hint="eastAsia" w:ascii="仿宋_GB2312" w:hAnsi="仿宋_GB2312" w:eastAsia="仿宋_GB2312" w:cs="仿宋_GB2312"/>
          <w:b w:val="0"/>
          <w:bCs w:val="0"/>
          <w:color w:val="000000"/>
          <w:sz w:val="32"/>
          <w:szCs w:val="32"/>
        </w:rPr>
        <w:t>省有关行政部门审核认定。资深专家出现不符合资深专家资格条件情形的，由</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color w:val="000000"/>
          <w:sz w:val="32"/>
          <w:szCs w:val="32"/>
        </w:rPr>
        <w:t xml:space="preserve">从资深专家库中移除。  </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三、专家抽取</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（九）</w:t>
      </w:r>
      <w:r>
        <w:rPr>
          <w:rFonts w:hint="eastAsia" w:ascii="仿宋_GB2312" w:hAnsi="仿宋_GB2312" w:eastAsia="仿宋_GB2312" w:cs="仿宋_GB2312"/>
          <w:b w:val="0"/>
          <w:bCs w:val="0"/>
          <w:color w:val="000000"/>
          <w:kern w:val="0"/>
          <w:sz w:val="32"/>
          <w:szCs w:val="32"/>
          <w:lang w:val="zh-CN"/>
        </w:rPr>
        <w:t>省评标专家库</w:t>
      </w:r>
      <w:r>
        <w:rPr>
          <w:rFonts w:hint="eastAsia" w:ascii="仿宋_GB2312" w:hAnsi="仿宋_GB2312" w:eastAsia="仿宋_GB2312" w:cs="仿宋_GB2312"/>
          <w:b w:val="0"/>
          <w:bCs w:val="0"/>
          <w:color w:val="000000"/>
          <w:sz w:val="32"/>
          <w:szCs w:val="32"/>
        </w:rPr>
        <w:t>专家抽取终端必须配置计算机、政务外网等省评标专家库系统所需的硬件设备与网络环境，具备抽取评标专家所需的相对封闭的空间。</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具备省评标专家库抽取终端配置条件的省有关行政部门和市、县（市、区）招标投标（公共资源）交易场所，可向省评标专家库管理部门申请，开设专家抽取终端。</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lang w:val="zh-CN"/>
        </w:rPr>
        <w:t>省评标专家库</w:t>
      </w:r>
      <w:r>
        <w:rPr>
          <w:rFonts w:hint="eastAsia" w:ascii="仿宋_GB2312" w:hAnsi="仿宋_GB2312" w:eastAsia="仿宋_GB2312" w:cs="仿宋_GB2312"/>
          <w:b w:val="0"/>
          <w:bCs w:val="0"/>
          <w:color w:val="000000"/>
          <w:sz w:val="32"/>
          <w:szCs w:val="32"/>
        </w:rPr>
        <w:t>专家抽取终端使用单位应指定专人管理账号，建立工作台账，采取必要措施保障专家抽取终端的安全规范使用。</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w:t>
      </w:r>
      <w:r>
        <w:rPr>
          <w:rFonts w:hint="eastAsia" w:ascii="仿宋_GB2312" w:hAnsi="仿宋_GB2312" w:eastAsia="仿宋_GB2312" w:cs="仿宋_GB2312"/>
          <w:b w:val="0"/>
          <w:bCs w:val="0"/>
          <w:color w:val="000000"/>
          <w:sz w:val="32"/>
          <w:szCs w:val="32"/>
        </w:rPr>
        <w:t>省评标专家库管理部门加强对</w:t>
      </w:r>
      <w:r>
        <w:rPr>
          <w:rFonts w:hint="eastAsia" w:ascii="仿宋_GB2312" w:hAnsi="仿宋_GB2312" w:eastAsia="仿宋_GB2312" w:cs="仿宋_GB2312"/>
          <w:b w:val="0"/>
          <w:bCs w:val="0"/>
          <w:sz w:val="32"/>
          <w:szCs w:val="32"/>
        </w:rPr>
        <w:t>省评标专家库专家</w:t>
      </w:r>
      <w:r>
        <w:rPr>
          <w:rFonts w:hint="eastAsia" w:ascii="仿宋_GB2312" w:hAnsi="仿宋_GB2312" w:eastAsia="仿宋_GB2312" w:cs="仿宋_GB2312"/>
          <w:b w:val="0"/>
          <w:bCs w:val="0"/>
          <w:color w:val="000000"/>
          <w:sz w:val="32"/>
          <w:szCs w:val="32"/>
        </w:rPr>
        <w:t>抽取终端工作人员的培训管理。</w:t>
      </w:r>
      <w:r>
        <w:rPr>
          <w:rFonts w:hint="eastAsia" w:ascii="仿宋_GB2312" w:hAnsi="仿宋_GB2312" w:eastAsia="仿宋_GB2312" w:cs="仿宋_GB2312"/>
          <w:b w:val="0"/>
          <w:bCs w:val="0"/>
          <w:sz w:val="32"/>
          <w:szCs w:val="32"/>
        </w:rPr>
        <w:t>省评标专家库</w:t>
      </w:r>
      <w:r>
        <w:rPr>
          <w:rFonts w:hint="eastAsia" w:ascii="仿宋_GB2312" w:hAnsi="仿宋_GB2312" w:eastAsia="仿宋_GB2312" w:cs="仿宋_GB2312"/>
          <w:b w:val="0"/>
          <w:bCs w:val="0"/>
          <w:color w:val="000000"/>
          <w:sz w:val="32"/>
          <w:szCs w:val="32"/>
        </w:rPr>
        <w:t>抽取终端工作人员必须经培训后上岗，且不得随意变更，确需变更的，应将变更情况报省评标专家库管理部门备案。</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省评标专家库</w:t>
      </w:r>
      <w:r>
        <w:rPr>
          <w:rFonts w:hint="eastAsia" w:ascii="仿宋_GB2312" w:hAnsi="仿宋_GB2312" w:eastAsia="仿宋_GB2312" w:cs="仿宋_GB2312"/>
          <w:b w:val="0"/>
          <w:bCs w:val="0"/>
          <w:color w:val="000000"/>
          <w:sz w:val="32"/>
          <w:szCs w:val="32"/>
        </w:rPr>
        <w:t>抽取终端工作人员培训由省评标专家库管理部门统一组织。</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（十一）</w:t>
      </w:r>
      <w:r>
        <w:rPr>
          <w:rFonts w:hint="eastAsia" w:ascii="仿宋_GB2312" w:hAnsi="仿宋_GB2312" w:eastAsia="仿宋_GB2312" w:cs="仿宋_GB2312"/>
          <w:b w:val="0"/>
          <w:bCs w:val="0"/>
          <w:color w:val="000000"/>
          <w:sz w:val="32"/>
          <w:szCs w:val="32"/>
        </w:rPr>
        <w:t>评标专家抽取工作遵循属地管理原则，招标人通过项目招标投标交易场所内设立的网络抽取终端抽取评标专家。招标人应合理确定专家抽取时间，确保专家能够准时到场。</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（十二）</w:t>
      </w:r>
      <w:r>
        <w:rPr>
          <w:rFonts w:hint="eastAsia" w:ascii="仿宋_GB2312" w:hAnsi="仿宋_GB2312" w:eastAsia="仿宋_GB2312" w:cs="仿宋_GB2312"/>
          <w:b w:val="0"/>
          <w:bCs w:val="0"/>
          <w:color w:val="000000"/>
          <w:sz w:val="32"/>
          <w:szCs w:val="32"/>
        </w:rPr>
        <w:t>评标专家名单抽取确定之后，应在24小时之内开始评标。有省外专家参与评标的，应在48小时之内开始评标。评标时间原则上不晚于开标后48小时。</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（十三）</w:t>
      </w:r>
      <w:r>
        <w:rPr>
          <w:rFonts w:hint="eastAsia" w:ascii="仿宋_GB2312" w:hAnsi="仿宋_GB2312" w:eastAsia="仿宋_GB2312" w:cs="仿宋_GB2312"/>
          <w:b w:val="0"/>
          <w:bCs w:val="0"/>
          <w:sz w:val="32"/>
          <w:szCs w:val="32"/>
        </w:rPr>
        <w:t>采用技术标打分制的各类项目，必须在省评标专家库内不分地区随机抽取评标专家。</w:t>
      </w:r>
      <w:r>
        <w:rPr>
          <w:rFonts w:hint="eastAsia" w:ascii="仿宋_GB2312" w:hAnsi="仿宋_GB2312" w:eastAsia="仿宋_GB2312" w:cs="仿宋_GB2312"/>
          <w:b w:val="0"/>
          <w:bCs w:val="0"/>
          <w:color w:val="000000"/>
          <w:sz w:val="32"/>
          <w:szCs w:val="32"/>
        </w:rPr>
        <w:t>特别重大的建设项目评标专家，可以从国务院有关部门或者外省市评标专家库中抽取。在与国务院有关部门或外省市评标专家库实现联网后，</w:t>
      </w:r>
      <w:r>
        <w:rPr>
          <w:rFonts w:hint="eastAsia" w:ascii="仿宋_GB2312" w:hAnsi="仿宋_GB2312" w:eastAsia="仿宋_GB2312" w:cs="仿宋_GB2312"/>
          <w:b w:val="0"/>
          <w:bCs w:val="0"/>
          <w:sz w:val="32"/>
          <w:szCs w:val="32"/>
        </w:rPr>
        <w:t>采用技术标打分制的</w:t>
      </w:r>
      <w:r>
        <w:rPr>
          <w:rFonts w:hint="eastAsia" w:ascii="仿宋_GB2312" w:hAnsi="仿宋_GB2312" w:eastAsia="仿宋_GB2312" w:cs="仿宋_GB2312"/>
          <w:b w:val="0"/>
          <w:bCs w:val="0"/>
          <w:color w:val="000000"/>
          <w:sz w:val="32"/>
          <w:szCs w:val="32"/>
        </w:rPr>
        <w:t>各类项目评标专家抽取，必须在联网后的评标专家库内不分地区随机抽取。</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用技术标通过制的综合评估法、经评审的合理低价法的各类项目，可以在项目所在设区市及附近区域内随机抽取评标专家。抽取人数与设区市及附近区域内所属专业类别专家人数比不得低于1:10。人数不足的，应按照项目需要，从上一级专业类别或扩大地区抽取评标专家。</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采用经评审的合理低价法的各类项目，原则上应在相关二级类别中随机抽取所有专家</w:t>
      </w:r>
      <w:bookmarkStart w:id="0" w:name="_GoBack"/>
      <w:bookmarkEnd w:id="0"/>
      <w:r>
        <w:rPr>
          <w:rFonts w:hint="eastAsia" w:ascii="仿宋_GB2312" w:hAnsi="仿宋_GB2312" w:eastAsia="仿宋_GB2312" w:cs="仿宋_GB2312"/>
          <w:b w:val="0"/>
          <w:bCs w:val="0"/>
          <w:sz w:val="32"/>
          <w:szCs w:val="32"/>
        </w:rPr>
        <w:t xml:space="preserve">。 </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各地不得设置与本办法不符的专家抽取规定。</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（十四）</w:t>
      </w:r>
      <w:r>
        <w:rPr>
          <w:rFonts w:hint="eastAsia" w:ascii="仿宋_GB2312" w:hAnsi="仿宋_GB2312" w:eastAsia="仿宋_GB2312" w:cs="仿宋_GB2312"/>
          <w:b w:val="0"/>
          <w:bCs w:val="0"/>
          <w:color w:val="000000"/>
          <w:sz w:val="32"/>
          <w:szCs w:val="32"/>
        </w:rPr>
        <w:t>招标人应根据《评标委员会和评标方法暂行规定》第十二条规定，将招标人、投标单位、代理机构、项目主管部门、行政监督部门等列为专家抽取的回避单位。</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（十五）</w:t>
      </w:r>
      <w:r>
        <w:rPr>
          <w:rFonts w:hint="eastAsia" w:ascii="仿宋_GB2312" w:hAnsi="仿宋_GB2312" w:eastAsia="仿宋_GB2312" w:cs="仿宋_GB2312"/>
          <w:b w:val="0"/>
          <w:bCs w:val="0"/>
          <w:color w:val="000000"/>
          <w:sz w:val="32"/>
          <w:szCs w:val="32"/>
        </w:rPr>
        <w:t>各交易平台、监督系统应与省评标专家库实现互联互通，推送交互专家抽取需求、抽取结果、信用评价等信息。</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评标开始后，省评标专家库向交易平台推送项目评委信息。各交易平台应严格评标专家信息调取使用，每周清理专家信息，避免平台留存专家批量名单。  </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（十六）</w:t>
      </w:r>
      <w:r>
        <w:rPr>
          <w:rFonts w:hint="eastAsia" w:ascii="仿宋_GB2312" w:hAnsi="仿宋_GB2312" w:eastAsia="仿宋_GB2312" w:cs="仿宋_GB2312"/>
          <w:b w:val="0"/>
          <w:bCs w:val="0"/>
          <w:color w:val="000000"/>
          <w:sz w:val="32"/>
          <w:szCs w:val="32"/>
        </w:rPr>
        <w:t>评标专家承诺参加评标的，应按时到达指定地点，如确实因故不能参加，应及时在省评标专家库系统在线请假。</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评标</w:t>
      </w:r>
      <w:r>
        <w:rPr>
          <w:rFonts w:hint="eastAsia" w:ascii="仿宋_GB2312" w:hAnsi="仿宋_GB2312" w:eastAsia="仿宋_GB2312" w:cs="仿宋_GB2312"/>
          <w:b w:val="0"/>
          <w:bCs w:val="0"/>
          <w:color w:val="000000"/>
          <w:sz w:val="32"/>
          <w:szCs w:val="32"/>
        </w:rPr>
        <w:t>专家名单确定后，评标专家因故不能到场的，应当进行补抽。</w:t>
      </w:r>
      <w:r>
        <w:rPr>
          <w:rFonts w:hint="eastAsia" w:ascii="仿宋_GB2312" w:hAnsi="仿宋_GB2312" w:eastAsia="仿宋_GB2312" w:cs="仿宋_GB2312"/>
          <w:b w:val="0"/>
          <w:bCs w:val="0"/>
          <w:sz w:val="32"/>
          <w:szCs w:val="32"/>
        </w:rPr>
        <w:t>评标专家迟到30分钟以上的，视为放弃参与评标资格，招标人可以进行补抽。</w:t>
      </w:r>
      <w:r>
        <w:rPr>
          <w:rFonts w:hint="eastAsia" w:ascii="仿宋_GB2312" w:hAnsi="仿宋_GB2312" w:eastAsia="仿宋_GB2312" w:cs="仿宋_GB2312"/>
          <w:b w:val="0"/>
          <w:bCs w:val="0"/>
          <w:color w:val="000000"/>
          <w:sz w:val="32"/>
          <w:szCs w:val="32"/>
        </w:rPr>
        <w:t>距评标时间不足2小时的或评标开始后需要补抽专家的，招标人可在本行政区域或1小时交通圈内进行补抽。</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黑体_GBK" w:hAnsi="方正黑体_GBK" w:eastAsia="方正黑体_GBK" w:cs="方正黑体_GBK"/>
          <w:b w:val="0"/>
          <w:bCs w:val="0"/>
          <w:color w:val="000000"/>
          <w:kern w:val="0"/>
          <w:sz w:val="32"/>
          <w:szCs w:val="32"/>
          <w:lang w:val="zh-CN"/>
        </w:rPr>
        <w:t>四、专家考核</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（十七）</w:t>
      </w:r>
      <w:r>
        <w:rPr>
          <w:rFonts w:hint="eastAsia" w:ascii="仿宋_GB2312" w:hAnsi="仿宋_GB2312" w:eastAsia="仿宋_GB2312" w:cs="仿宋_GB2312"/>
          <w:b w:val="0"/>
          <w:bCs w:val="0"/>
          <w:sz w:val="32"/>
          <w:szCs w:val="32"/>
        </w:rPr>
        <w:t>省评标专家库管理部门负责建立省评标专家库专家个人电子档案，实行“一人一档”管理。电子档案归集专家个人基本信息、入库申请资料、培训学习、考试、评标、考核、诚信记录等信息。</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专家考核分为日常信用评价、年度考核、聘期考核。</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（十八）</w:t>
      </w:r>
      <w:r>
        <w:rPr>
          <w:rFonts w:hint="eastAsia" w:ascii="仿宋_GB2312" w:hAnsi="仿宋_GB2312" w:eastAsia="仿宋_GB2312" w:cs="仿宋_GB2312"/>
          <w:b w:val="0"/>
          <w:bCs w:val="0"/>
          <w:color w:val="000000"/>
          <w:sz w:val="32"/>
          <w:szCs w:val="32"/>
        </w:rPr>
        <w:t>评标专家日常信用评价采用动态评分，从基础信息、履职能力、遵纪守法和社会公德四个方面对评标专家</w:t>
      </w:r>
      <w:r>
        <w:rPr>
          <w:rFonts w:hint="eastAsia" w:ascii="仿宋_GB2312" w:hAnsi="仿宋_GB2312" w:eastAsia="仿宋_GB2312" w:cs="仿宋_GB2312"/>
          <w:b w:val="0"/>
          <w:bCs w:val="0"/>
          <w:sz w:val="32"/>
          <w:szCs w:val="32"/>
        </w:rPr>
        <w:t>履职质量、</w:t>
      </w:r>
      <w:r>
        <w:rPr>
          <w:rFonts w:hint="eastAsia" w:ascii="仿宋_GB2312" w:hAnsi="仿宋_GB2312" w:eastAsia="仿宋_GB2312" w:cs="仿宋_GB2312"/>
          <w:b w:val="0"/>
          <w:bCs w:val="0"/>
          <w:color w:val="000000"/>
          <w:sz w:val="32"/>
          <w:szCs w:val="32"/>
        </w:rPr>
        <w:t>信用情况作出评价。信用评价结果区间为0—1000分，其中信用评价基础分为800分，根据《浙江省综合性评标专家库评标专家信用评价标准（试行）》统一评分。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评标专家日常信用</w:t>
      </w:r>
      <w:r>
        <w:rPr>
          <w:rFonts w:hint="eastAsia" w:ascii="仿宋_GB2312" w:hAnsi="仿宋_GB2312" w:eastAsia="仿宋_GB2312" w:cs="仿宋_GB2312"/>
          <w:b w:val="0"/>
          <w:bCs w:val="0"/>
          <w:sz w:val="32"/>
          <w:szCs w:val="32"/>
          <w:lang w:eastAsia="zh-CN"/>
        </w:rPr>
        <w:t>评价</w:t>
      </w:r>
      <w:r>
        <w:rPr>
          <w:rFonts w:hint="eastAsia" w:ascii="仿宋_GB2312" w:hAnsi="仿宋_GB2312" w:eastAsia="仿宋_GB2312" w:cs="仿宋_GB2312"/>
          <w:b w:val="0"/>
          <w:bCs w:val="0"/>
          <w:sz w:val="32"/>
          <w:szCs w:val="32"/>
        </w:rPr>
        <w:t>贯穿专家在库全生命周期，新聘期开始后不再重新赋予</w:t>
      </w:r>
      <w:r>
        <w:rPr>
          <w:rFonts w:hint="eastAsia" w:ascii="仿宋_GB2312" w:hAnsi="仿宋_GB2312" w:eastAsia="仿宋_GB2312" w:cs="仿宋_GB2312"/>
          <w:b w:val="0"/>
          <w:bCs w:val="0"/>
          <w:color w:val="000000"/>
          <w:sz w:val="32"/>
          <w:szCs w:val="32"/>
        </w:rPr>
        <w:t>基础分</w:t>
      </w:r>
      <w:r>
        <w:rPr>
          <w:rFonts w:hint="eastAsia" w:ascii="仿宋_GB2312" w:hAnsi="仿宋_GB2312" w:eastAsia="仿宋_GB2312" w:cs="仿宋_GB2312"/>
          <w:b w:val="0"/>
          <w:bCs w:val="0"/>
          <w:sz w:val="32"/>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（十九）</w:t>
      </w:r>
      <w:r>
        <w:rPr>
          <w:rFonts w:hint="eastAsia" w:ascii="仿宋_GB2312" w:hAnsi="仿宋_GB2312" w:eastAsia="仿宋_GB2312" w:cs="仿宋_GB2312"/>
          <w:b w:val="0"/>
          <w:bCs w:val="0"/>
          <w:color w:val="000000"/>
          <w:sz w:val="32"/>
          <w:szCs w:val="32"/>
        </w:rPr>
        <w:t>各行政监督部门、招标人、招标投标（公共资源）交易机构根据《浙江省综合性评标专家库评标专家信用评价标准（试行）》</w:t>
      </w:r>
      <w:r>
        <w:rPr>
          <w:rFonts w:hint="eastAsia" w:ascii="仿宋_GB2312" w:hAnsi="仿宋_GB2312" w:eastAsia="仿宋_GB2312" w:cs="仿宋_GB2312"/>
          <w:b w:val="0"/>
          <w:bCs w:val="0"/>
          <w:sz w:val="32"/>
          <w:szCs w:val="32"/>
        </w:rPr>
        <w:t>对评标专家进行评价，确认信用评价扣分的，报送至</w:t>
      </w:r>
      <w:r>
        <w:rPr>
          <w:rFonts w:hint="eastAsia" w:ascii="仿宋_GB2312" w:hAnsi="仿宋_GB2312" w:eastAsia="仿宋_GB2312" w:cs="仿宋_GB2312"/>
          <w:b w:val="0"/>
          <w:bCs w:val="0"/>
          <w:color w:val="000000"/>
          <w:sz w:val="32"/>
          <w:szCs w:val="32"/>
        </w:rPr>
        <w:t>同级</w:t>
      </w:r>
      <w:r>
        <w:rPr>
          <w:rFonts w:hint="eastAsia" w:ascii="仿宋_GB2312" w:hAnsi="仿宋_GB2312" w:eastAsia="仿宋_GB2312" w:cs="仿宋_GB2312"/>
          <w:b w:val="0"/>
          <w:bCs w:val="0"/>
          <w:spacing w:val="4"/>
          <w:sz w:val="32"/>
          <w:szCs w:val="32"/>
        </w:rPr>
        <w:t>招标投标（公共资源交易）综合管理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color w:val="000000"/>
          <w:sz w:val="32"/>
          <w:szCs w:val="32"/>
        </w:rPr>
        <w:t>进行记录和处理。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社会公德信息实行自主申报，由评标专家上传材料至省评标专家库系统，经所属</w:t>
      </w:r>
      <w:r>
        <w:rPr>
          <w:rFonts w:hint="eastAsia" w:ascii="仿宋_GB2312" w:hAnsi="仿宋_GB2312" w:eastAsia="仿宋_GB2312" w:cs="仿宋_GB2312"/>
          <w:b w:val="0"/>
          <w:bCs w:val="0"/>
          <w:iCs/>
          <w:color w:val="000000"/>
          <w:sz w:val="32"/>
          <w:szCs w:val="32"/>
        </w:rPr>
        <w:t>设区市</w:t>
      </w:r>
      <w:r>
        <w:rPr>
          <w:rFonts w:hint="eastAsia" w:ascii="仿宋_GB2312" w:hAnsi="仿宋_GB2312" w:eastAsia="仿宋_GB2312" w:cs="仿宋_GB2312"/>
          <w:b w:val="0"/>
          <w:bCs w:val="0"/>
          <w:spacing w:val="4"/>
          <w:sz w:val="32"/>
          <w:szCs w:val="32"/>
        </w:rPr>
        <w:t>招标投标（公共资源交易）综合管理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sz w:val="32"/>
          <w:szCs w:val="32"/>
        </w:rPr>
        <w:t>审核后予以加分。</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w:t>
      </w:r>
      <w:r>
        <w:rPr>
          <w:rFonts w:hint="eastAsia" w:ascii="仿宋_GB2312" w:hAnsi="仿宋_GB2312" w:eastAsia="仿宋_GB2312" w:cs="仿宋_GB2312"/>
          <w:b w:val="0"/>
          <w:bCs w:val="0"/>
          <w:color w:val="000000"/>
          <w:sz w:val="32"/>
          <w:szCs w:val="32"/>
        </w:rPr>
        <w:t>评标专家对日常信用评价结果有异议的，可以在知道或者应当知道之日起5日内通过省评标专家库系统向记录信用评价的</w:t>
      </w:r>
      <w:r>
        <w:rPr>
          <w:rFonts w:hint="eastAsia" w:ascii="仿宋_GB2312" w:hAnsi="仿宋_GB2312" w:eastAsia="仿宋_GB2312" w:cs="仿宋_GB2312"/>
          <w:b w:val="0"/>
          <w:bCs w:val="0"/>
          <w:spacing w:val="4"/>
          <w:sz w:val="32"/>
          <w:szCs w:val="32"/>
        </w:rPr>
        <w:t>招标投标（公共资源）综合管理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color w:val="000000"/>
          <w:sz w:val="32"/>
          <w:szCs w:val="32"/>
        </w:rPr>
        <w:t>提出异议。</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评标专家对异议处理结果不服的，可以在知道或者应当知道异议处理结果之日起5日内向</w:t>
      </w:r>
      <w:r>
        <w:rPr>
          <w:rFonts w:hint="eastAsia" w:ascii="仿宋_GB2312" w:hAnsi="仿宋_GB2312" w:eastAsia="仿宋_GB2312" w:cs="仿宋_GB2312"/>
          <w:b w:val="0"/>
          <w:bCs w:val="0"/>
          <w:iCs/>
          <w:color w:val="000000"/>
          <w:sz w:val="32"/>
          <w:szCs w:val="32"/>
        </w:rPr>
        <w:t>设区市</w:t>
      </w:r>
      <w:r>
        <w:rPr>
          <w:rFonts w:hint="eastAsia" w:ascii="仿宋_GB2312" w:hAnsi="仿宋_GB2312" w:eastAsia="仿宋_GB2312" w:cs="仿宋_GB2312"/>
          <w:b w:val="0"/>
          <w:bCs w:val="0"/>
          <w:spacing w:val="4"/>
          <w:sz w:val="32"/>
          <w:szCs w:val="32"/>
        </w:rPr>
        <w:t>招标投标（公共资源交易）综合管理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color w:val="000000"/>
          <w:sz w:val="32"/>
          <w:szCs w:val="32"/>
        </w:rPr>
        <w:t>申请复核。</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iCs/>
          <w:color w:val="000000"/>
          <w:sz w:val="32"/>
          <w:szCs w:val="32"/>
        </w:rPr>
        <w:t>有关</w:t>
      </w:r>
      <w:r>
        <w:rPr>
          <w:rFonts w:hint="eastAsia" w:ascii="仿宋_GB2312" w:hAnsi="仿宋_GB2312" w:eastAsia="仿宋_GB2312" w:cs="仿宋_GB2312"/>
          <w:b w:val="0"/>
          <w:bCs w:val="0"/>
          <w:color w:val="000000"/>
          <w:sz w:val="32"/>
          <w:szCs w:val="32"/>
        </w:rPr>
        <w:t>招标投标（</w:t>
      </w:r>
      <w:r>
        <w:rPr>
          <w:rFonts w:hint="eastAsia" w:ascii="仿宋_GB2312" w:hAnsi="仿宋_GB2312" w:eastAsia="仿宋_GB2312" w:cs="仿宋_GB2312"/>
          <w:b w:val="0"/>
          <w:bCs w:val="0"/>
          <w:color w:val="000000"/>
          <w:spacing w:val="4"/>
          <w:sz w:val="32"/>
          <w:szCs w:val="32"/>
        </w:rPr>
        <w:t>公共资源交易</w:t>
      </w:r>
      <w:r>
        <w:rPr>
          <w:rFonts w:hint="eastAsia" w:ascii="仿宋_GB2312" w:hAnsi="仿宋_GB2312" w:eastAsia="仿宋_GB2312" w:cs="仿宋_GB2312"/>
          <w:b w:val="0"/>
          <w:bCs w:val="0"/>
          <w:color w:val="000000"/>
          <w:sz w:val="32"/>
          <w:szCs w:val="32"/>
        </w:rPr>
        <w:t>）综合管理部门应当自收到异议或复核申请之日起15个工作日内处理并答复。</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（二十一）</w:t>
      </w:r>
      <w:r>
        <w:rPr>
          <w:rFonts w:hint="eastAsia" w:ascii="仿宋_GB2312" w:hAnsi="仿宋_GB2312" w:eastAsia="仿宋_GB2312" w:cs="仿宋_GB2312"/>
          <w:b w:val="0"/>
          <w:bCs w:val="0"/>
          <w:color w:val="000000"/>
          <w:sz w:val="32"/>
          <w:szCs w:val="32"/>
        </w:rPr>
        <w:t>建立评标专家信用修复机制。评标专家具有主动改正、消除不良影响且在12个月内未再次发生信用扣分行为情形的，可向原记录信用扣分部门申请信用修复。原记录信用扣分部门认为符合规定的，可以修复该扣分，并在省评标专家库系统对修复情况予以标注。</w:t>
      </w:r>
    </w:p>
    <w:p>
      <w:pPr>
        <w:spacing w:line="580" w:lineRule="exact"/>
        <w:ind w:firstLine="640" w:firstLineChars="200"/>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val="0"/>
          <w:bCs w:val="0"/>
          <w:color w:val="000000"/>
          <w:sz w:val="32"/>
          <w:szCs w:val="32"/>
        </w:rPr>
        <w:t>评</w:t>
      </w:r>
      <w:r>
        <w:rPr>
          <w:rFonts w:hint="eastAsia" w:ascii="仿宋_GB2312" w:hAnsi="仿宋_GB2312" w:eastAsia="仿宋_GB2312" w:cs="仿宋_GB2312"/>
          <w:b w:val="0"/>
          <w:bCs w:val="0"/>
          <w:color w:val="000000"/>
          <w:spacing w:val="-4"/>
          <w:sz w:val="32"/>
          <w:szCs w:val="32"/>
        </w:rPr>
        <w:t>标专家存在遵纪守法</w:t>
      </w:r>
      <w:r>
        <w:rPr>
          <w:rFonts w:hint="eastAsia" w:ascii="仿宋_GB2312" w:hAnsi="仿宋_GB2312" w:eastAsia="仿宋_GB2312" w:cs="仿宋_GB2312"/>
          <w:b w:val="0"/>
          <w:bCs w:val="0"/>
          <w:color w:val="000000"/>
          <w:sz w:val="32"/>
          <w:szCs w:val="32"/>
        </w:rPr>
        <w:t>指</w:t>
      </w:r>
      <w:r>
        <w:rPr>
          <w:rFonts w:hint="eastAsia" w:ascii="仿宋_GB2312" w:hAnsi="仿宋_GB2312" w:eastAsia="仿宋_GB2312" w:cs="仿宋_GB2312"/>
          <w:b w:val="0"/>
          <w:bCs w:val="0"/>
          <w:color w:val="000000"/>
          <w:spacing w:val="-4"/>
          <w:sz w:val="32"/>
          <w:szCs w:val="32"/>
        </w:rPr>
        <w:t>标项信用扣分的，不适用前款规定。</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（二十二）</w:t>
      </w:r>
      <w:r>
        <w:rPr>
          <w:rFonts w:hint="eastAsia" w:ascii="仿宋_GB2312" w:hAnsi="仿宋_GB2312" w:eastAsia="仿宋_GB2312" w:cs="仿宋_GB2312"/>
          <w:b w:val="0"/>
          <w:bCs w:val="0"/>
          <w:sz w:val="32"/>
          <w:szCs w:val="32"/>
        </w:rPr>
        <w:t>评标专家年度考核分为合格、不合格两个等级，考核周期为1个自然年度。存在以下情形之一的，年度考核结果确定为不合格，并予以解聘：</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（1）信用评价单次扣分120分及以上的；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（2）信用评价扣分累计达180分及以上的；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（3）未完成规定学习任务的；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（4）评标质量不满意次数3次及以上的；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sz w:val="32"/>
          <w:szCs w:val="32"/>
        </w:rPr>
        <w:t>未按要求完成年度考核等级自评的。</w:t>
      </w:r>
    </w:p>
    <w:p>
      <w:pPr>
        <w:spacing w:line="580" w:lineRule="exact"/>
        <w:ind w:firstLine="656"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设区市招标投标（公共资源交易）综合管理</w:t>
      </w:r>
      <w:r>
        <w:rPr>
          <w:rFonts w:hint="eastAsia" w:ascii="仿宋_GB2312" w:hAnsi="仿宋_GB2312" w:eastAsia="仿宋_GB2312" w:cs="仿宋_GB2312"/>
          <w:b w:val="0"/>
          <w:bCs w:val="0"/>
          <w:iCs/>
          <w:spacing w:val="4"/>
          <w:sz w:val="32"/>
          <w:szCs w:val="32"/>
        </w:rPr>
        <w:t>部门应协助</w:t>
      </w:r>
      <w:r>
        <w:rPr>
          <w:rFonts w:hint="eastAsia" w:ascii="仿宋_GB2312" w:hAnsi="仿宋_GB2312" w:eastAsia="仿宋_GB2312" w:cs="仿宋_GB2312"/>
          <w:b w:val="0"/>
          <w:bCs w:val="0"/>
          <w:sz w:val="32"/>
          <w:szCs w:val="32"/>
        </w:rPr>
        <w:t>省评标专家库管理部门完成专家年度考核相关工作。</w:t>
      </w:r>
    </w:p>
    <w:p>
      <w:pPr>
        <w:spacing w:line="580" w:lineRule="exact"/>
        <w:ind w:firstLine="640" w:firstLineChars="200"/>
        <w:rPr>
          <w:rFonts w:hint="eastAsia" w:ascii="仿宋_GB2312" w:hAnsi="仿宋_GB2312" w:eastAsia="仿宋_GB2312" w:cs="仿宋_GB2312"/>
          <w:b w:val="0"/>
          <w:bCs w:val="0"/>
          <w:color w:val="000000"/>
          <w:spacing w:val="4"/>
          <w:sz w:val="32"/>
          <w:szCs w:val="32"/>
        </w:rPr>
      </w:pPr>
      <w:r>
        <w:rPr>
          <w:rFonts w:hint="eastAsia" w:ascii="方正楷体_GBK" w:hAnsi="方正楷体_GBK" w:eastAsia="方正楷体_GBK" w:cs="方正楷体_GBK"/>
          <w:b w:val="0"/>
          <w:bCs w:val="0"/>
          <w:color w:val="000000"/>
          <w:kern w:val="0"/>
          <w:sz w:val="32"/>
          <w:szCs w:val="32"/>
          <w:lang w:val="zh-CN"/>
        </w:rPr>
        <w:t>（二十三）</w:t>
      </w:r>
      <w:r>
        <w:rPr>
          <w:rFonts w:hint="eastAsia" w:ascii="仿宋_GB2312" w:hAnsi="仿宋_GB2312" w:eastAsia="仿宋_GB2312" w:cs="仿宋_GB2312"/>
          <w:b w:val="0"/>
          <w:bCs w:val="0"/>
          <w:color w:val="000000"/>
          <w:spacing w:val="4"/>
          <w:sz w:val="32"/>
          <w:szCs w:val="32"/>
        </w:rPr>
        <w:t>评标专家应在省评标专家库系统参加继续教育在线学习，开展法律法规、职业道德、专业知识及廉洁教育等培训，每年度必须完成80个学分的学习。评标专家的培训学习情况记入</w:t>
      </w:r>
      <w:r>
        <w:rPr>
          <w:rFonts w:hint="eastAsia" w:ascii="仿宋_GB2312" w:hAnsi="仿宋_GB2312" w:eastAsia="仿宋_GB2312" w:cs="仿宋_GB2312"/>
          <w:b w:val="0"/>
          <w:bCs w:val="0"/>
          <w:color w:val="000000"/>
          <w:sz w:val="32"/>
          <w:szCs w:val="32"/>
        </w:rPr>
        <w:t>个人电子档案</w:t>
      </w:r>
      <w:r>
        <w:rPr>
          <w:rFonts w:hint="eastAsia" w:ascii="仿宋_GB2312" w:hAnsi="仿宋_GB2312" w:eastAsia="仿宋_GB2312" w:cs="仿宋_GB2312"/>
          <w:b w:val="0"/>
          <w:bCs w:val="0"/>
          <w:color w:val="000000"/>
          <w:spacing w:val="4"/>
          <w:sz w:val="32"/>
          <w:szCs w:val="32"/>
        </w:rPr>
        <w:t>，纳入年度考核。</w:t>
      </w:r>
    </w:p>
    <w:p>
      <w:pPr>
        <w:spacing w:line="580" w:lineRule="exact"/>
        <w:ind w:firstLine="656"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省评标专家库将不定期开展评标专家专项学习培训，评标专家的年度学习和专项学习培训记入评标专家信用档案，纳入年度考核。</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省评标专家库管理部门会同省有关行政监督部门、</w:t>
      </w:r>
      <w:r>
        <w:rPr>
          <w:rFonts w:hint="eastAsia" w:ascii="仿宋_GB2312" w:hAnsi="仿宋_GB2312" w:eastAsia="仿宋_GB2312" w:cs="仿宋_GB2312"/>
          <w:b w:val="0"/>
          <w:bCs w:val="0"/>
          <w:spacing w:val="4"/>
          <w:sz w:val="32"/>
          <w:szCs w:val="32"/>
        </w:rPr>
        <w:t>设区市招标投标（公共资源交易）综合管理部门</w:t>
      </w:r>
      <w:r>
        <w:rPr>
          <w:rFonts w:hint="eastAsia" w:ascii="仿宋_GB2312" w:hAnsi="仿宋_GB2312" w:eastAsia="仿宋_GB2312" w:cs="仿宋_GB2312"/>
          <w:b w:val="0"/>
          <w:bCs w:val="0"/>
          <w:sz w:val="32"/>
          <w:szCs w:val="32"/>
        </w:rPr>
        <w:t>做好评标专家学习培训资料的编制。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（二十四）</w:t>
      </w:r>
      <w:r>
        <w:rPr>
          <w:rFonts w:hint="eastAsia" w:ascii="仿宋_GB2312" w:hAnsi="仿宋_GB2312" w:eastAsia="仿宋_GB2312" w:cs="仿宋_GB2312"/>
          <w:b w:val="0"/>
          <w:bCs w:val="0"/>
          <w:color w:val="000000"/>
          <w:sz w:val="32"/>
          <w:szCs w:val="32"/>
        </w:rPr>
        <w:t>评标专家存在下列情形之一的，聘期到期后不予续聘，三年内不再接受其入库申请：</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1.聘期内被随机抽中10次及以上，且参评率低于30%的；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pacing w:val="4"/>
          <w:sz w:val="32"/>
          <w:szCs w:val="32"/>
        </w:rPr>
        <w:t>在聘期内申请暂停参加评标活动的时间累计超过200天的；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3.在聘期内被暂时冻结省评标专家库评标专家身份2次及以上的；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4.未通过续聘考试的；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iCs/>
          <w:color w:val="auto"/>
          <w:sz w:val="32"/>
          <w:szCs w:val="32"/>
        </w:rPr>
        <w:t>评标专家不存在</w:t>
      </w:r>
      <w:r>
        <w:rPr>
          <w:rFonts w:hint="eastAsia" w:ascii="仿宋_GB2312" w:hAnsi="仿宋_GB2312" w:eastAsia="仿宋_GB2312" w:cs="仿宋_GB2312"/>
          <w:b w:val="0"/>
          <w:bCs w:val="0"/>
          <w:iCs/>
          <w:sz w:val="32"/>
          <w:szCs w:val="32"/>
        </w:rPr>
        <w:t>上述</w:t>
      </w:r>
      <w:r>
        <w:rPr>
          <w:rFonts w:hint="eastAsia" w:ascii="仿宋_GB2312" w:hAnsi="仿宋_GB2312" w:eastAsia="仿宋_GB2312" w:cs="仿宋_GB2312"/>
          <w:b w:val="0"/>
          <w:bCs w:val="0"/>
          <w:iCs/>
          <w:color w:val="auto"/>
          <w:sz w:val="32"/>
          <w:szCs w:val="32"/>
        </w:rPr>
        <w:t>情形的，</w:t>
      </w:r>
      <w:r>
        <w:rPr>
          <w:rFonts w:hint="eastAsia" w:ascii="仿宋_GB2312" w:hAnsi="仿宋_GB2312" w:eastAsia="仿宋_GB2312" w:cs="仿宋_GB2312"/>
          <w:b w:val="0"/>
          <w:bCs w:val="0"/>
          <w:iCs/>
          <w:sz w:val="32"/>
          <w:szCs w:val="32"/>
        </w:rPr>
        <w:t>续聘考试通过后</w:t>
      </w:r>
      <w:r>
        <w:rPr>
          <w:rFonts w:hint="eastAsia" w:ascii="仿宋_GB2312" w:hAnsi="仿宋_GB2312" w:eastAsia="仿宋_GB2312" w:cs="仿宋_GB2312"/>
          <w:b w:val="0"/>
          <w:bCs w:val="0"/>
          <w:iCs/>
          <w:color w:val="auto"/>
          <w:sz w:val="32"/>
          <w:szCs w:val="32"/>
        </w:rPr>
        <w:t>自动续聘</w:t>
      </w:r>
      <w:r>
        <w:rPr>
          <w:rFonts w:hint="eastAsia" w:ascii="仿宋_GB2312" w:hAnsi="仿宋_GB2312" w:eastAsia="仿宋_GB2312" w:cs="仿宋_GB2312"/>
          <w:b w:val="0"/>
          <w:bCs w:val="0"/>
          <w:iCs/>
          <w:sz w:val="32"/>
          <w:szCs w:val="32"/>
        </w:rPr>
        <w:t>。</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五、专家管理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（二十五）</w:t>
      </w:r>
      <w:r>
        <w:rPr>
          <w:rFonts w:hint="eastAsia" w:ascii="仿宋_GB2312" w:hAnsi="仿宋_GB2312" w:eastAsia="仿宋_GB2312" w:cs="仿宋_GB2312"/>
          <w:b w:val="0"/>
          <w:bCs w:val="0"/>
          <w:sz w:val="32"/>
          <w:szCs w:val="32"/>
        </w:rPr>
        <w:t>专家独立评标的权利依法受到保护。评标过程中，只允许评标委员会成员和招标投标行政监督部门人员在场，其余人员一概不许在评标场所内。</w:t>
      </w:r>
    </w:p>
    <w:p>
      <w:pPr>
        <w:spacing w:line="580" w:lineRule="exact"/>
        <w:ind w:firstLine="640" w:firstLineChars="200"/>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sz w:val="32"/>
          <w:szCs w:val="32"/>
        </w:rPr>
        <w:t>评标过程全程录音录像，录音录像应当清晰可辨。各招标投标（公共资源）交易场所应建立和完善评标音像记录管理制度，妥善保管评标音像记录。</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（二十六）</w:t>
      </w:r>
      <w:r>
        <w:rPr>
          <w:rFonts w:hint="eastAsia" w:ascii="仿宋_GB2312" w:hAnsi="仿宋_GB2312" w:eastAsia="仿宋_GB2312" w:cs="仿宋_GB2312"/>
          <w:b w:val="0"/>
          <w:bCs w:val="0"/>
          <w:color w:val="000000"/>
          <w:sz w:val="32"/>
          <w:szCs w:val="32"/>
        </w:rPr>
        <w:t>评标专家因身体状况、工作等原因，一定时间内不能参加评标活动的，应及时在省评标专家库系统中请假，申请暂停参加评标活动。</w:t>
      </w:r>
    </w:p>
    <w:p>
      <w:pPr>
        <w:pStyle w:val="2"/>
        <w:spacing w:line="580" w:lineRule="exact"/>
        <w:ind w:firstLine="643"/>
        <w:rPr>
          <w:rFonts w:hint="eastAsia" w:ascii="仿宋_GB2312" w:hAnsi="仿宋_GB2312" w:eastAsia="仿宋_GB2312" w:cs="仿宋_GB2312"/>
          <w:b w:val="0"/>
          <w:bCs w:val="0"/>
          <w:sz w:val="32"/>
          <w:szCs w:val="32"/>
        </w:rPr>
      </w:pPr>
      <w:r>
        <w:rPr>
          <w:rFonts w:hint="eastAsia" w:ascii="仿宋_GB2312" w:hAnsi="仿宋_GB2312" w:cs="仿宋_GB2312"/>
          <w:b w:val="0"/>
          <w:bCs w:val="0"/>
          <w:color w:val="000000"/>
          <w:szCs w:val="32"/>
        </w:rPr>
        <w:t>评标专家</w:t>
      </w:r>
      <w:r>
        <w:rPr>
          <w:rFonts w:hint="eastAsia" w:ascii="仿宋_GB2312" w:hAnsi="仿宋_GB2312" w:eastAsia="仿宋_GB2312" w:cs="仿宋_GB2312"/>
          <w:b w:val="0"/>
          <w:bCs w:val="0"/>
          <w:color w:val="000000"/>
          <w:sz w:val="32"/>
          <w:szCs w:val="32"/>
        </w:rPr>
        <w:t>认为本人不能再胜任评标工作或存在不再适宜担任评标专家情形的</w:t>
      </w:r>
      <w:r>
        <w:rPr>
          <w:rFonts w:hint="eastAsia" w:ascii="仿宋_GB2312" w:hAnsi="仿宋_GB2312" w:eastAsia="仿宋_GB2312" w:cs="仿宋_GB2312"/>
          <w:b w:val="0"/>
          <w:bCs w:val="0"/>
          <w:sz w:val="32"/>
          <w:szCs w:val="32"/>
        </w:rPr>
        <w:t>，可申请退出省评标专家库</w:t>
      </w:r>
      <w:r>
        <w:rPr>
          <w:rFonts w:hint="eastAsia" w:ascii="仿宋_GB2312" w:hAnsi="仿宋_GB2312" w:eastAsia="仿宋_GB2312" w:cs="仿宋_GB2312"/>
          <w:b w:val="0"/>
          <w:bCs w:val="0"/>
          <w:color w:val="000000"/>
          <w:sz w:val="32"/>
          <w:szCs w:val="32"/>
        </w:rPr>
        <w:t>。</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方正楷体_GBK" w:hAnsi="方正楷体_GBK" w:eastAsia="方正楷体_GBK" w:cs="方正楷体_GBK"/>
          <w:b w:val="0"/>
          <w:bCs w:val="0"/>
          <w:color w:val="000000"/>
          <w:kern w:val="0"/>
          <w:sz w:val="32"/>
          <w:szCs w:val="32"/>
          <w:lang w:val="zh-CN"/>
        </w:rPr>
        <w:t>（二十七）</w:t>
      </w:r>
      <w:r>
        <w:rPr>
          <w:rFonts w:hint="eastAsia" w:ascii="仿宋_GB2312" w:hAnsi="仿宋_GB2312" w:eastAsia="仿宋_GB2312" w:cs="仿宋_GB2312"/>
          <w:b w:val="0"/>
          <w:bCs w:val="0"/>
          <w:color w:val="000000"/>
          <w:sz w:val="32"/>
          <w:szCs w:val="32"/>
        </w:rPr>
        <w:t>评标专家存在下列情形之一的，暂时冻结省评标专家库评标专家身份</w:t>
      </w:r>
      <w:r>
        <w:rPr>
          <w:rFonts w:hint="eastAsia" w:ascii="仿宋_GB2312" w:hAnsi="仿宋_GB2312" w:eastAsia="仿宋_GB2312" w:cs="仿宋_GB2312"/>
          <w:b w:val="0"/>
          <w:bCs w:val="0"/>
          <w:color w:val="auto"/>
          <w:sz w:val="32"/>
          <w:szCs w:val="32"/>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信用评价分数在700分（含本数）以下的；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因涉嫌存在招标投标违法违规行为，有关行政监督部门正在调查的；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因涉嫌违法犯罪，正在接受公安部门、司法部门、监察部门调查审讯或审理的；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
        </w:rPr>
        <w:t>4</w:t>
      </w:r>
      <w:r>
        <w:rPr>
          <w:rFonts w:hint="eastAsia" w:ascii="仿宋_GB2312" w:hAnsi="仿宋_GB2312" w:eastAsia="仿宋_GB2312" w:cs="仿宋_GB2312"/>
          <w:b w:val="0"/>
          <w:bCs w:val="0"/>
          <w:color w:val="000000"/>
          <w:sz w:val="32"/>
          <w:szCs w:val="32"/>
        </w:rPr>
        <w:t>.身体状况不足以胜任评标工作的；</w:t>
      </w:r>
    </w:p>
    <w:p>
      <w:pPr>
        <w:pStyle w:val="2"/>
        <w:spacing w:line="580" w:lineRule="exact"/>
        <w:ind w:firstLine="643"/>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5.其他应当</w:t>
      </w:r>
      <w:r>
        <w:rPr>
          <w:rFonts w:hint="eastAsia" w:ascii="仿宋_GB2312" w:hAnsi="仿宋_GB2312" w:cs="仿宋_GB2312"/>
          <w:b w:val="0"/>
          <w:bCs w:val="0"/>
          <w:color w:val="000000"/>
          <w:szCs w:val="32"/>
        </w:rPr>
        <w:t>暂时冻结评标专家身份</w:t>
      </w:r>
      <w:r>
        <w:rPr>
          <w:rFonts w:hint="eastAsia" w:ascii="仿宋_GB2312" w:hAnsi="仿宋_GB2312" w:eastAsia="仿宋_GB2312" w:cs="仿宋_GB2312"/>
          <w:b w:val="0"/>
          <w:bCs w:val="0"/>
          <w:color w:val="000000"/>
          <w:sz w:val="32"/>
          <w:szCs w:val="32"/>
        </w:rPr>
        <w:t>的情形。</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因存在前款所列第2种至第3种情形被暂时冻结身份的，经调查审讯审理部门确认不存在违法违规行为的，解除身份冻结。其他冻结自情形消失之日起解除冻结。</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（二十八）</w:t>
      </w:r>
      <w:r>
        <w:rPr>
          <w:rFonts w:hint="eastAsia" w:ascii="仿宋_GB2312" w:hAnsi="仿宋_GB2312" w:eastAsia="仿宋_GB2312" w:cs="仿宋_GB2312"/>
          <w:b w:val="0"/>
          <w:bCs w:val="0"/>
          <w:sz w:val="32"/>
          <w:szCs w:val="32"/>
        </w:rPr>
        <w:t>评</w:t>
      </w:r>
      <w:r>
        <w:rPr>
          <w:rFonts w:hint="eastAsia" w:ascii="仿宋_GB2312" w:hAnsi="仿宋_GB2312" w:eastAsia="仿宋_GB2312" w:cs="仿宋_GB2312"/>
          <w:b w:val="0"/>
          <w:bCs w:val="0"/>
          <w:color w:val="000000"/>
          <w:sz w:val="32"/>
          <w:szCs w:val="32"/>
        </w:rPr>
        <w:t>标专家存在下列情形之一的，予以解聘并清退出库，今后不再接受入库申请：</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年满</w:t>
      </w:r>
      <w:r>
        <w:rPr>
          <w:rFonts w:hint="eastAsia" w:ascii="仿宋_GB2312" w:hAnsi="仿宋_GB2312" w:eastAsia="仿宋_GB2312" w:cs="仿宋_GB2312"/>
          <w:b w:val="0"/>
          <w:bCs w:val="0"/>
          <w:iCs/>
          <w:sz w:val="32"/>
          <w:szCs w:val="32"/>
        </w:rPr>
        <w:t>65</w:t>
      </w:r>
      <w:r>
        <w:rPr>
          <w:rFonts w:hint="eastAsia" w:ascii="仿宋_GB2312" w:hAnsi="仿宋_GB2312" w:eastAsia="仿宋_GB2312" w:cs="仿宋_GB2312"/>
          <w:b w:val="0"/>
          <w:bCs w:val="0"/>
          <w:color w:val="000000"/>
          <w:sz w:val="32"/>
          <w:szCs w:val="32"/>
        </w:rPr>
        <w:t>周岁的</w:t>
      </w:r>
      <w:r>
        <w:rPr>
          <w:rFonts w:hint="eastAsia" w:ascii="仿宋_GB2312" w:hAnsi="仿宋_GB2312" w:eastAsia="仿宋_GB2312" w:cs="仿宋_GB2312"/>
          <w:b w:val="0"/>
          <w:bCs w:val="0"/>
          <w:sz w:val="32"/>
          <w:szCs w:val="32"/>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2.申请退出省评标专家库的；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3.年度考核结果不合格的；</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4.提供虚假材料，</w:t>
      </w:r>
      <w:r>
        <w:rPr>
          <w:rFonts w:hint="eastAsia" w:ascii="仿宋_GB2312" w:hAnsi="仿宋_GB2312" w:eastAsia="仿宋_GB2312" w:cs="仿宋_GB2312"/>
          <w:b w:val="0"/>
          <w:bCs w:val="0"/>
          <w:iCs/>
          <w:color w:val="auto"/>
          <w:sz w:val="32"/>
          <w:szCs w:val="32"/>
        </w:rPr>
        <w:t>骗取省评标专家库评标专家身份的</w:t>
      </w:r>
      <w:r>
        <w:rPr>
          <w:rFonts w:hint="eastAsia" w:ascii="仿宋_GB2312" w:hAnsi="仿宋_GB2312" w:eastAsia="仿宋_GB2312" w:cs="仿宋_GB2312"/>
          <w:b w:val="0"/>
          <w:bCs w:val="0"/>
          <w:iCs/>
          <w:sz w:val="32"/>
          <w:szCs w:val="32"/>
        </w:rPr>
        <w:t>；</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5.</w:t>
      </w:r>
      <w:r>
        <w:rPr>
          <w:rFonts w:hint="eastAsia" w:ascii="仿宋_GB2312" w:hAnsi="仿宋_GB2312" w:eastAsia="仿宋_GB2312" w:cs="仿宋_GB2312"/>
          <w:b w:val="0"/>
          <w:bCs w:val="0"/>
          <w:kern w:val="0"/>
          <w:sz w:val="32"/>
          <w:szCs w:val="32"/>
        </w:rPr>
        <w:t>组建或加入可能影响公正评标的移动及网络通讯群组的</w:t>
      </w:r>
      <w:r>
        <w:rPr>
          <w:rFonts w:hint="eastAsia" w:ascii="仿宋_GB2312" w:hAnsi="仿宋_GB2312" w:eastAsia="仿宋_GB2312" w:cs="仿宋_GB2312"/>
          <w:b w:val="0"/>
          <w:bCs w:val="0"/>
          <w:iCs/>
          <w:sz w:val="32"/>
          <w:szCs w:val="32"/>
        </w:rPr>
        <w:t>；</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6.打听其他专家是否参加特定时间、特定地点评标，或向他人透露评标委员会成员身份，</w:t>
      </w:r>
      <w:r>
        <w:rPr>
          <w:rFonts w:hint="eastAsia" w:ascii="仿宋_GB2312" w:hAnsi="仿宋_GB2312" w:eastAsia="仿宋_GB2312" w:cs="仿宋_GB2312"/>
          <w:b w:val="0"/>
          <w:bCs w:val="0"/>
          <w:iCs/>
          <w:color w:val="auto"/>
          <w:sz w:val="32"/>
          <w:szCs w:val="32"/>
        </w:rPr>
        <w:t>明示或暗示参与评标</w:t>
      </w:r>
      <w:r>
        <w:rPr>
          <w:rFonts w:hint="eastAsia" w:ascii="仿宋_GB2312" w:hAnsi="仿宋_GB2312" w:eastAsia="仿宋_GB2312" w:cs="仿宋_GB2312"/>
          <w:b w:val="0"/>
          <w:bCs w:val="0"/>
          <w:iCs/>
          <w:sz w:val="32"/>
          <w:szCs w:val="32"/>
        </w:rPr>
        <w:t>的；</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7.私下接触他人，收受投标人、中介人、其他利害关系人财物或其他好处的；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8.经公安机关、司法部门、监察部门或有关行政监督部门认定存在参与他人招标投标领域违法违规行为、犯罪行为或为他人招标投标领域违法违规行为、犯罪行为提供便利的</w:t>
      </w:r>
      <w:r>
        <w:rPr>
          <w:rFonts w:hint="eastAsia" w:ascii="仿宋_GB2312" w:hAnsi="仿宋_GB2312" w:eastAsia="仿宋_GB2312" w:cs="仿宋_GB2312"/>
          <w:b w:val="0"/>
          <w:bCs w:val="0"/>
          <w:iCs/>
          <w:sz w:val="32"/>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iCs/>
          <w:sz w:val="32"/>
          <w:szCs w:val="32"/>
        </w:rPr>
        <w:t>存在本细则第（五）条规定情形的。</w:t>
      </w:r>
    </w:p>
    <w:p>
      <w:pPr>
        <w:spacing w:line="580" w:lineRule="exact"/>
        <w:ind w:firstLine="640" w:firstLineChars="200"/>
        <w:rPr>
          <w:rFonts w:hint="eastAsia" w:ascii="仿宋_GB2312" w:hAnsi="仿宋_GB2312" w:eastAsia="仿宋_GB2312" w:cs="仿宋_GB2312"/>
          <w:b w:val="0"/>
          <w:bCs w:val="0"/>
          <w:color w:val="000000"/>
          <w:spacing w:val="2"/>
          <w:sz w:val="32"/>
          <w:szCs w:val="32"/>
        </w:rPr>
      </w:pPr>
      <w:r>
        <w:rPr>
          <w:rFonts w:hint="eastAsia" w:ascii="方正楷体_GBK" w:hAnsi="方正楷体_GBK" w:eastAsia="方正楷体_GBK" w:cs="方正楷体_GBK"/>
          <w:b w:val="0"/>
          <w:bCs w:val="0"/>
          <w:color w:val="000000"/>
          <w:kern w:val="0"/>
          <w:sz w:val="32"/>
          <w:szCs w:val="32"/>
          <w:lang w:val="zh-CN"/>
        </w:rPr>
        <w:t>（二十九）</w:t>
      </w:r>
      <w:r>
        <w:rPr>
          <w:rFonts w:hint="eastAsia" w:ascii="仿宋_GB2312" w:hAnsi="仿宋_GB2312" w:eastAsia="仿宋_GB2312" w:cs="仿宋_GB2312"/>
          <w:b w:val="0"/>
          <w:bCs w:val="0"/>
          <w:color w:val="000000"/>
          <w:sz w:val="32"/>
          <w:szCs w:val="32"/>
        </w:rPr>
        <w:t>各招标投标（公共资源交易）综合管理部门、有</w:t>
      </w:r>
      <w:r>
        <w:rPr>
          <w:rFonts w:hint="eastAsia" w:ascii="仿宋_GB2312" w:hAnsi="仿宋_GB2312" w:eastAsia="仿宋_GB2312" w:cs="仿宋_GB2312"/>
          <w:b w:val="0"/>
          <w:bCs w:val="0"/>
          <w:color w:val="000000"/>
          <w:spacing w:val="2"/>
          <w:sz w:val="32"/>
          <w:szCs w:val="32"/>
        </w:rPr>
        <w:t>关行政监督部门、</w:t>
      </w:r>
      <w:r>
        <w:rPr>
          <w:rFonts w:hint="eastAsia" w:ascii="仿宋_GB2312" w:hAnsi="仿宋_GB2312" w:eastAsia="仿宋_GB2312" w:cs="仿宋_GB2312"/>
          <w:b w:val="0"/>
          <w:bCs w:val="0"/>
          <w:color w:val="000000"/>
          <w:kern w:val="0"/>
          <w:sz w:val="32"/>
          <w:szCs w:val="32"/>
        </w:rPr>
        <w:t>司法机关等</w:t>
      </w:r>
      <w:r>
        <w:rPr>
          <w:rFonts w:hint="eastAsia" w:ascii="仿宋_GB2312" w:hAnsi="仿宋_GB2312" w:eastAsia="仿宋_GB2312" w:cs="仿宋_GB2312"/>
          <w:b w:val="0"/>
          <w:bCs w:val="0"/>
          <w:color w:val="000000"/>
          <w:spacing w:val="2"/>
          <w:sz w:val="32"/>
          <w:szCs w:val="32"/>
        </w:rPr>
        <w:t>发现评标专家存在应予以冻结、解聘情形的，应及时报送</w:t>
      </w:r>
      <w:r>
        <w:rPr>
          <w:rFonts w:hint="eastAsia" w:ascii="仿宋_GB2312" w:hAnsi="仿宋_GB2312" w:eastAsia="仿宋_GB2312" w:cs="仿宋_GB2312"/>
          <w:b w:val="0"/>
          <w:bCs w:val="0"/>
          <w:color w:val="000000"/>
          <w:sz w:val="32"/>
          <w:szCs w:val="32"/>
        </w:rPr>
        <w:t>省评标专家库管理部门</w:t>
      </w:r>
      <w:r>
        <w:rPr>
          <w:rFonts w:hint="eastAsia" w:ascii="仿宋_GB2312" w:hAnsi="仿宋_GB2312" w:eastAsia="仿宋_GB2312" w:cs="仿宋_GB2312"/>
          <w:b w:val="0"/>
          <w:bCs w:val="0"/>
          <w:color w:val="000000"/>
          <w:kern w:val="0"/>
          <w:sz w:val="32"/>
          <w:szCs w:val="32"/>
        </w:rPr>
        <w:t>依照本细则规定作出处理。</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省评标专家库管理部门负责在浙江省公共资源交易服务平台公开评标专家在招标投标领域的违法信息，向其所在单位抄送相关情况，并适时提出解聘或低聘其所聘用的专业技术岗位建议。</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w:t>
      </w:r>
      <w:r>
        <w:rPr>
          <w:rFonts w:hint="eastAsia" w:ascii="仿宋_GB2312" w:hAnsi="仿宋_GB2312" w:eastAsia="仿宋_GB2312" w:cs="仿宋_GB2312"/>
          <w:b w:val="0"/>
          <w:bCs w:val="0"/>
          <w:color w:val="000000"/>
          <w:kern w:val="0"/>
          <w:sz w:val="32"/>
          <w:szCs w:val="32"/>
          <w:lang w:val="zh-CN"/>
        </w:rPr>
        <w:t>评标专家的</w:t>
      </w:r>
      <w:r>
        <w:rPr>
          <w:rFonts w:hint="eastAsia" w:ascii="仿宋_GB2312" w:hAnsi="仿宋_GB2312" w:eastAsia="仿宋_GB2312" w:cs="仿宋_GB2312"/>
          <w:b w:val="0"/>
          <w:bCs w:val="0"/>
          <w:color w:val="000000"/>
          <w:sz w:val="32"/>
          <w:szCs w:val="32"/>
        </w:rPr>
        <w:t>考核、续聘、身份冻结、解聘等管理措施，均通过省评标专家库系统告知、送达，专家应及时关注省评标专家库个人终端信息。评标专家如对冻结、解聘等处理意见有异议，应在告知的时限内通过规范途径进行申辩。</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六、评标劳务报酬</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（三十一）</w:t>
      </w:r>
      <w:r>
        <w:rPr>
          <w:rFonts w:hint="eastAsia" w:ascii="仿宋_GB2312" w:hAnsi="仿宋_GB2312" w:eastAsia="仿宋_GB2312" w:cs="仿宋_GB2312"/>
          <w:b w:val="0"/>
          <w:bCs w:val="0"/>
          <w:color w:val="000000"/>
          <w:sz w:val="32"/>
          <w:szCs w:val="32"/>
        </w:rPr>
        <w:t>评标专家有获得评标劳务报酬的权利，并依法履行纳税义务。</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评标劳务报酬由招标人或其委托的招标代理机构支付，一般应在评标结束后15日内支付。招标人或其委托的招标代理机构不得留存评标专家联系方式。</w:t>
      </w:r>
    </w:p>
    <w:p>
      <w:pPr>
        <w:widowControl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（三十二）</w:t>
      </w:r>
      <w:r>
        <w:rPr>
          <w:rFonts w:hint="eastAsia" w:ascii="仿宋_GB2312" w:hAnsi="仿宋_GB2312" w:eastAsia="仿宋_GB2312" w:cs="仿宋_GB2312"/>
          <w:b w:val="0"/>
          <w:bCs w:val="0"/>
          <w:color w:val="000000"/>
          <w:sz w:val="32"/>
          <w:szCs w:val="32"/>
        </w:rPr>
        <w:t>各设区市招标投标（公共资源交易）综合管理部门可参照《浙江省综合性评标专家库专家评标劳务报酬参考标准》制定本区域评标劳务报酬支付标准，但应通过省公共资源交易服务平台向社会公开。</w:t>
      </w:r>
    </w:p>
    <w:p>
      <w:pPr>
        <w:widowControl/>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（三十三）</w:t>
      </w:r>
      <w:r>
        <w:rPr>
          <w:rFonts w:hint="eastAsia" w:ascii="仿宋_GB2312" w:hAnsi="仿宋_GB2312" w:eastAsia="仿宋_GB2312" w:cs="仿宋_GB2312"/>
          <w:b w:val="0"/>
          <w:bCs w:val="0"/>
          <w:color w:val="000000"/>
          <w:sz w:val="32"/>
          <w:szCs w:val="32"/>
        </w:rPr>
        <w:t>招标人应在评标专家抽取时将评标劳务报酬标准告知评标专家。评标专家确认参加评标的，视为接受告知标准给付的酬劳，评标专家不得提出更高标准酬劳或其他不合理费用要求。</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（三十四）</w:t>
      </w:r>
      <w:r>
        <w:rPr>
          <w:rFonts w:hint="eastAsia" w:ascii="仿宋_GB2312" w:hAnsi="仿宋_GB2312" w:eastAsia="仿宋_GB2312" w:cs="仿宋_GB2312"/>
          <w:b w:val="0"/>
          <w:bCs w:val="0"/>
          <w:sz w:val="32"/>
          <w:szCs w:val="32"/>
        </w:rPr>
        <w:t>评标专家对所得酬劳有异议的，可在评标结束后向</w:t>
      </w:r>
      <w:r>
        <w:rPr>
          <w:rFonts w:hint="eastAsia" w:ascii="仿宋_GB2312" w:hAnsi="仿宋_GB2312" w:eastAsia="仿宋_GB2312" w:cs="仿宋_GB2312"/>
          <w:b w:val="0"/>
          <w:bCs w:val="0"/>
          <w:color w:val="000000"/>
          <w:sz w:val="32"/>
          <w:szCs w:val="32"/>
        </w:rPr>
        <w:t>项目行政监督部门</w:t>
      </w:r>
      <w:r>
        <w:rPr>
          <w:rFonts w:hint="eastAsia" w:ascii="仿宋_GB2312" w:hAnsi="仿宋_GB2312" w:eastAsia="仿宋_GB2312" w:cs="仿宋_GB2312"/>
          <w:b w:val="0"/>
          <w:bCs w:val="0"/>
          <w:sz w:val="32"/>
          <w:szCs w:val="32"/>
        </w:rPr>
        <w:t>反映，但不得以酬劳低为由拒绝在评标报告上签字。评标专家拒绝签字且不陈述其不同意见和理由的，视为同意评标结论，评标委员会应当对此作出书面说明并记录在案。招标人或招标代理机构应将有关情况反映至</w:t>
      </w:r>
      <w:r>
        <w:rPr>
          <w:rFonts w:hint="eastAsia" w:ascii="仿宋_GB2312" w:hAnsi="仿宋_GB2312" w:eastAsia="仿宋_GB2312" w:cs="仿宋_GB2312"/>
          <w:b w:val="0"/>
          <w:bCs w:val="0"/>
          <w:color w:val="000000"/>
          <w:sz w:val="32"/>
          <w:szCs w:val="32"/>
        </w:rPr>
        <w:t>招标投标</w:t>
      </w:r>
      <w:r>
        <w:rPr>
          <w:rFonts w:hint="eastAsia" w:ascii="仿宋_GB2312" w:hAnsi="仿宋_GB2312" w:eastAsia="仿宋_GB2312" w:cs="仿宋_GB2312"/>
          <w:b w:val="0"/>
          <w:bCs w:val="0"/>
          <w:color w:val="000000"/>
          <w:kern w:val="0"/>
          <w:sz w:val="32"/>
          <w:szCs w:val="32"/>
        </w:rPr>
        <w:t>（公共资源交易）</w:t>
      </w:r>
      <w:r>
        <w:rPr>
          <w:rFonts w:hint="eastAsia" w:ascii="仿宋_GB2312" w:hAnsi="仿宋_GB2312" w:eastAsia="仿宋_GB2312" w:cs="仿宋_GB2312"/>
          <w:b w:val="0"/>
          <w:bCs w:val="0"/>
          <w:color w:val="000000"/>
          <w:sz w:val="32"/>
          <w:szCs w:val="32"/>
        </w:rPr>
        <w:t>综合管理部门</w:t>
      </w:r>
      <w:r>
        <w:rPr>
          <w:rFonts w:hint="eastAsia" w:ascii="仿宋_GB2312" w:hAnsi="仿宋_GB2312" w:eastAsia="仿宋_GB2312" w:cs="仿宋_GB2312"/>
          <w:b w:val="0"/>
          <w:bCs w:val="0"/>
          <w:sz w:val="32"/>
          <w:szCs w:val="32"/>
        </w:rPr>
        <w:t>或有关行政监督部门。</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eastAsia="zh-CN" w:bidi="ar-SA"/>
        </w:rPr>
        <w:t>（三十五）</w:t>
      </w:r>
      <w:r>
        <w:rPr>
          <w:rFonts w:hint="eastAsia" w:ascii="仿宋_GB2312" w:hAnsi="仿宋_GB2312" w:eastAsia="仿宋_GB2312" w:cs="仿宋_GB2312"/>
          <w:b w:val="0"/>
          <w:bCs w:val="0"/>
          <w:sz w:val="32"/>
          <w:szCs w:val="32"/>
        </w:rPr>
        <w:t>招标人或招标代理机构不按规定支付评标劳务报酬的，由</w:t>
      </w:r>
      <w:r>
        <w:rPr>
          <w:rFonts w:hint="eastAsia" w:ascii="仿宋_GB2312" w:hAnsi="仿宋_GB2312" w:cs="仿宋_GB2312"/>
          <w:b w:val="0"/>
          <w:bCs w:val="0"/>
          <w:color w:val="000000"/>
          <w:szCs w:val="32"/>
        </w:rPr>
        <w:t>招标投标</w:t>
      </w:r>
      <w:r>
        <w:rPr>
          <w:rFonts w:hint="eastAsia" w:ascii="仿宋_GB2312" w:hAnsi="仿宋_GB2312" w:eastAsia="仿宋_GB2312" w:cs="仿宋_GB2312"/>
          <w:b w:val="0"/>
          <w:bCs w:val="0"/>
          <w:color w:val="000000"/>
          <w:sz w:val="32"/>
          <w:szCs w:val="32"/>
        </w:rPr>
        <w:t>（公共资源交易）综合管理部门</w:t>
      </w:r>
      <w:r>
        <w:rPr>
          <w:rFonts w:hint="eastAsia" w:ascii="仿宋_GB2312" w:hAnsi="仿宋_GB2312" w:eastAsia="仿宋_GB2312" w:cs="仿宋_GB2312"/>
          <w:b w:val="0"/>
          <w:bCs w:val="0"/>
          <w:sz w:val="32"/>
          <w:szCs w:val="32"/>
        </w:rPr>
        <w:t>责令限期改正。</w:t>
      </w:r>
      <w:r>
        <w:rPr>
          <w:rFonts w:hint="eastAsia" w:ascii="仿宋_GB2312" w:hAnsi="仿宋_GB2312" w:eastAsia="仿宋_GB2312" w:cs="仿宋_GB2312"/>
          <w:b w:val="0"/>
          <w:bCs w:val="0"/>
          <w:color w:val="000000"/>
          <w:sz w:val="32"/>
          <w:szCs w:val="32"/>
        </w:rPr>
        <w:t>未按要求改正的，</w:t>
      </w:r>
      <w:r>
        <w:rPr>
          <w:rFonts w:hint="eastAsia" w:ascii="仿宋_GB2312" w:hAnsi="仿宋_GB2312" w:eastAsia="仿宋_GB2312" w:cs="仿宋_GB2312"/>
          <w:b w:val="0"/>
          <w:bCs w:val="0"/>
          <w:sz w:val="32"/>
          <w:szCs w:val="32"/>
        </w:rPr>
        <w:t>有关行政监督应</w:t>
      </w:r>
      <w:r>
        <w:rPr>
          <w:rFonts w:hint="eastAsia" w:ascii="仿宋_GB2312" w:hAnsi="仿宋_GB2312" w:eastAsia="仿宋_GB2312" w:cs="仿宋_GB2312"/>
          <w:b w:val="0"/>
          <w:bCs w:val="0"/>
          <w:color w:val="000000"/>
          <w:sz w:val="32"/>
          <w:szCs w:val="32"/>
        </w:rPr>
        <w:t>予以通报。</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七、责任追究</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eastAsia="zh-CN" w:bidi="ar-SA"/>
        </w:rPr>
        <w:t>（三十六）</w:t>
      </w:r>
      <w:r>
        <w:rPr>
          <w:rFonts w:hint="eastAsia" w:ascii="仿宋_GB2312" w:hAnsi="仿宋_GB2312" w:eastAsia="仿宋_GB2312" w:cs="仿宋_GB2312"/>
          <w:b w:val="0"/>
          <w:bCs w:val="0"/>
          <w:color w:val="000000"/>
          <w:sz w:val="32"/>
          <w:szCs w:val="32"/>
        </w:rPr>
        <w:t>评标专家存在违反招标投标法律法规行为的，有关</w:t>
      </w:r>
      <w:r>
        <w:rPr>
          <w:rFonts w:hint="eastAsia" w:ascii="仿宋_GB2312" w:hAnsi="仿宋_GB2312" w:eastAsia="仿宋_GB2312" w:cs="仿宋_GB2312"/>
          <w:b w:val="0"/>
          <w:bCs w:val="0"/>
          <w:sz w:val="32"/>
          <w:szCs w:val="32"/>
        </w:rPr>
        <w:t>行政监督部门</w:t>
      </w:r>
      <w:r>
        <w:rPr>
          <w:rFonts w:hint="eastAsia" w:ascii="仿宋_GB2312" w:hAnsi="仿宋_GB2312" w:eastAsia="仿宋_GB2312" w:cs="仿宋_GB2312"/>
          <w:b w:val="0"/>
          <w:bCs w:val="0"/>
          <w:color w:val="000000"/>
          <w:sz w:val="32"/>
          <w:szCs w:val="32"/>
        </w:rPr>
        <w:t>按照《中华人民共和国招标投标法》等法律法规进行处理，并将处理结果通报省评标专家库管理部门，不得简单以信用扣分、通报省评标专家库管理部门暂停或取消评标专家资格代替行政处罚。构成犯罪的，应当移送司法机关依法追究刑事责任。</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（三十七）</w:t>
      </w:r>
      <w:r>
        <w:rPr>
          <w:rFonts w:hint="eastAsia" w:ascii="仿宋_GB2312" w:hAnsi="仿宋_GB2312" w:eastAsia="仿宋_GB2312" w:cs="仿宋_GB2312"/>
          <w:b w:val="0"/>
          <w:bCs w:val="0"/>
          <w:color w:val="000000"/>
          <w:sz w:val="32"/>
          <w:szCs w:val="32"/>
        </w:rPr>
        <w:t>省评标专家库管理部门和设区市招标投标（公共资源交易）综合管理部门的评标专家管理部门负责人任职时间原则上不超过5年。</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有关行政部门、招标投标综合管理部门、各招标投标（公共资源）交易场所及其工作人员违反本细则规定的，对直接负责的主管人员和其他直接责任人员，由有权机关按照管理权限依法给予处分。</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网络抽取终端工作人员违规操作的，视情节暂停或取消网络抽取终端抽取权限，造成严重后果的，承担相应法律责任。</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（三十八）</w:t>
      </w:r>
      <w:r>
        <w:rPr>
          <w:rFonts w:hint="eastAsia" w:ascii="仿宋_GB2312" w:hAnsi="仿宋_GB2312" w:eastAsia="仿宋_GB2312" w:cs="仿宋_GB2312"/>
          <w:b w:val="0"/>
          <w:bCs w:val="0"/>
          <w:color w:val="000000"/>
          <w:sz w:val="32"/>
          <w:szCs w:val="32"/>
        </w:rPr>
        <w:t>招标人违反本细则规定，有下列行为之一的，行政监督部门应当责令其改正：</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1.未依照本细则的规定抽取或者补抽评标专家的；</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cs="仿宋_GB2312"/>
          <w:b w:val="0"/>
          <w:bCs w:val="0"/>
          <w:color w:val="000000"/>
          <w:szCs w:val="32"/>
        </w:rPr>
        <w:t>未</w:t>
      </w:r>
      <w:r>
        <w:rPr>
          <w:rFonts w:hint="eastAsia" w:ascii="仿宋_GB2312" w:hAnsi="仿宋_GB2312" w:eastAsia="仿宋_GB2312" w:cs="仿宋_GB2312"/>
          <w:b w:val="0"/>
          <w:bCs w:val="0"/>
          <w:color w:val="000000"/>
          <w:sz w:val="32"/>
          <w:szCs w:val="32"/>
        </w:rPr>
        <w:t>按规定在指定平台公开评标委员会定量评审结</w:t>
      </w:r>
      <w:r>
        <w:rPr>
          <w:rFonts w:hint="eastAsia" w:ascii="仿宋_GB2312" w:hAnsi="仿宋_GB2312" w:cs="仿宋_GB2312"/>
          <w:b w:val="0"/>
          <w:bCs w:val="0"/>
          <w:color w:val="000000"/>
          <w:szCs w:val="32"/>
        </w:rPr>
        <w:t>果</w:t>
      </w:r>
      <w:r>
        <w:rPr>
          <w:rFonts w:hint="eastAsia" w:ascii="仿宋_GB2312" w:hAnsi="仿宋_GB2312" w:eastAsia="仿宋_GB2312" w:cs="仿宋_GB2312"/>
          <w:b w:val="0"/>
          <w:bCs w:val="0"/>
          <w:color w:val="000000"/>
          <w:sz w:val="32"/>
          <w:szCs w:val="32"/>
        </w:rPr>
        <w:t>的</w:t>
      </w:r>
      <w:r>
        <w:rPr>
          <w:rFonts w:hint="eastAsia" w:ascii="仿宋_GB2312" w:hAnsi="仿宋_GB2312" w:cs="仿宋_GB2312"/>
          <w:b w:val="0"/>
          <w:bCs w:val="0"/>
          <w:color w:val="000000"/>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（三十九）</w:t>
      </w:r>
      <w:r>
        <w:rPr>
          <w:rFonts w:hint="eastAsia" w:ascii="仿宋_GB2312" w:hAnsi="仿宋_GB2312" w:eastAsia="仿宋_GB2312" w:cs="仿宋_GB2312"/>
          <w:b w:val="0"/>
          <w:bCs w:val="0"/>
          <w:sz w:val="32"/>
          <w:szCs w:val="32"/>
        </w:rPr>
        <w:t>省评标专家库管理部门应与省评标专家库系统开发公司、运维保障单位签订保密协议。</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评标专家库系统开发公司和运维保障单位要严格设定有关工作人员权限，遵守有关信息保密规定，加强省评标专家库系统专家名单等重要数据安全管控，全程记录重要数据的查询、修改和更新。违反保密协议的，应承担相应的违约责任，并由有关部门依法依规予以处理。涉嫌犯罪的，依法移送司法机关处理。</w:t>
      </w:r>
    </w:p>
    <w:p>
      <w:pPr>
        <w:pStyle w:val="2"/>
        <w:spacing w:line="580" w:lineRule="exact"/>
        <w:ind w:firstLine="640"/>
        <w:rPr>
          <w:rFonts w:hint="eastAsia" w:ascii="方正黑体_GBK" w:hAnsi="方正黑体_GBK" w:eastAsia="方正黑体_GBK" w:cs="方正黑体_GBK"/>
          <w:b w:val="0"/>
          <w:bCs w:val="0"/>
          <w:color w:val="000000"/>
          <w:kern w:val="0"/>
          <w:sz w:val="32"/>
          <w:szCs w:val="32"/>
          <w:lang w:val="zh-CN" w:eastAsia="zh-CN" w:bidi="ar-SA"/>
        </w:rPr>
      </w:pPr>
      <w:r>
        <w:rPr>
          <w:rFonts w:hint="eastAsia" w:ascii="方正黑体_GBK" w:hAnsi="方正黑体_GBK" w:eastAsia="方正黑体_GBK" w:cs="方正黑体_GBK"/>
          <w:b w:val="0"/>
          <w:bCs w:val="0"/>
          <w:color w:val="000000"/>
          <w:kern w:val="0"/>
          <w:sz w:val="32"/>
          <w:szCs w:val="32"/>
          <w:lang w:val="zh-CN" w:eastAsia="zh-CN" w:bidi="ar-SA"/>
        </w:rPr>
        <w:t>八、附则</w:t>
      </w:r>
    </w:p>
    <w:p>
      <w:pPr>
        <w:spacing w:line="580" w:lineRule="exact"/>
        <w:ind w:firstLine="320" w:firstLineChars="1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（四十）</w:t>
      </w:r>
      <w:r>
        <w:rPr>
          <w:rFonts w:hint="eastAsia" w:ascii="仿宋_GB2312" w:hAnsi="仿宋_GB2312" w:eastAsia="仿宋_GB2312" w:cs="仿宋_GB2312"/>
          <w:b w:val="0"/>
          <w:bCs w:val="0"/>
          <w:color w:val="000000"/>
          <w:sz w:val="32"/>
          <w:szCs w:val="32"/>
        </w:rPr>
        <w:t>本细则由浙江省发展和改革委员会负责解释。</w:t>
      </w:r>
    </w:p>
    <w:p>
      <w:pPr>
        <w:pStyle w:val="2"/>
        <w:spacing w:line="580" w:lineRule="exact"/>
        <w:ind w:firstLine="320" w:firstLineChars="1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Cs w:val="32"/>
          <w:lang w:val="zh-CN"/>
        </w:rPr>
        <w:t>（四十</w:t>
      </w:r>
      <w:r>
        <w:rPr>
          <w:rFonts w:hint="eastAsia" w:ascii="方正楷体_GBK" w:hAnsi="方正楷体_GBK" w:eastAsia="方正楷体_GBK" w:cs="方正楷体_GBK"/>
          <w:b w:val="0"/>
          <w:bCs w:val="0"/>
          <w:color w:val="000000"/>
          <w:kern w:val="0"/>
          <w:sz w:val="32"/>
          <w:szCs w:val="32"/>
          <w:lang w:val="zh-CN" w:eastAsia="zh-CN" w:bidi="ar-SA"/>
        </w:rPr>
        <w:t>一</w:t>
      </w:r>
      <w:r>
        <w:rPr>
          <w:rFonts w:hint="eastAsia" w:ascii="方正楷体_GBK" w:hAnsi="方正楷体_GBK" w:eastAsia="方正楷体_GBK" w:cs="方正楷体_GBK"/>
          <w:b w:val="0"/>
          <w:bCs w:val="0"/>
          <w:color w:val="000000"/>
          <w:kern w:val="0"/>
          <w:szCs w:val="32"/>
          <w:lang w:val="zh-CN"/>
        </w:rPr>
        <w:t>）</w:t>
      </w:r>
      <w:r>
        <w:rPr>
          <w:rFonts w:hint="eastAsia" w:ascii="仿宋_GB2312" w:hAnsi="仿宋_GB2312" w:cs="仿宋_GB2312"/>
          <w:b w:val="0"/>
          <w:bCs w:val="0"/>
          <w:color w:val="000000"/>
          <w:szCs w:val="32"/>
        </w:rPr>
        <w:t>本细则自20</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cs="仿宋_GB2312"/>
          <w:b w:val="0"/>
          <w:bCs w:val="0"/>
          <w:color w:val="000000"/>
          <w:szCs w:val="32"/>
        </w:rPr>
        <w:t>年</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cs="仿宋_GB2312"/>
          <w:b w:val="0"/>
          <w:bCs w:val="0"/>
          <w:color w:val="000000"/>
          <w:szCs w:val="32"/>
        </w:rPr>
        <w:t>月</w:t>
      </w:r>
      <w:r>
        <w:rPr>
          <w:rFonts w:hint="eastAsia" w:ascii="仿宋_GB2312" w:hAnsi="仿宋_GB2312" w:eastAsia="仿宋_GB2312" w:cs="仿宋_GB2312"/>
          <w:b w:val="0"/>
          <w:bCs w:val="0"/>
          <w:color w:val="000000"/>
          <w:sz w:val="32"/>
          <w:szCs w:val="32"/>
        </w:rPr>
        <w:t xml:space="preserve"> 日起施行。原《浙江省综合性评标专家库管理办法实施细则》（浙发改公管</w:t>
      </w:r>
      <w:r>
        <w:rPr>
          <w:rFonts w:hint="eastAsia" w:ascii="仿宋_GB2312" w:hAnsi="仿宋_GB2312" w:eastAsia="仿宋_GB2312" w:cs="仿宋_GB2312"/>
          <w:b w:val="0"/>
          <w:bCs w:val="0"/>
          <w:color w:val="000000"/>
          <w:kern w:val="0"/>
          <w:sz w:val="32"/>
          <w:szCs w:val="32"/>
        </w:rPr>
        <w:t>〔2021〕</w:t>
      </w:r>
      <w:r>
        <w:rPr>
          <w:rFonts w:hint="eastAsia" w:ascii="仿宋_GB2312" w:hAnsi="仿宋_GB2312" w:eastAsia="仿宋_GB2312" w:cs="仿宋_GB2312"/>
          <w:b w:val="0"/>
          <w:bCs w:val="0"/>
          <w:color w:val="000000"/>
          <w:sz w:val="32"/>
          <w:szCs w:val="32"/>
        </w:rPr>
        <w:t>240</w:t>
      </w:r>
      <w:r>
        <w:rPr>
          <w:rFonts w:hint="eastAsia" w:ascii="仿宋_GB2312" w:hAnsi="仿宋_GB2312" w:cs="仿宋_GB2312"/>
          <w:b w:val="0"/>
          <w:bCs w:val="0"/>
          <w:color w:val="000000"/>
          <w:szCs w:val="32"/>
        </w:rPr>
        <w:t>号）同时废</w:t>
      </w:r>
      <w:r>
        <w:rPr>
          <w:rFonts w:hint="eastAsia" w:ascii="仿宋_GB2312" w:hAnsi="仿宋_GB2312" w:eastAsia="仿宋_GB2312" w:cs="仿宋_GB2312"/>
          <w:b w:val="0"/>
          <w:bCs w:val="0"/>
          <w:color w:val="000000"/>
          <w:sz w:val="32"/>
          <w:szCs w:val="32"/>
        </w:rPr>
        <w:t>止。</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p>
    <w:p>
      <w:pPr>
        <w:spacing w:line="580" w:lineRule="exact"/>
        <w:rPr>
          <w:rFonts w:hint="eastAsia" w:ascii="仿宋_GB2312" w:hAnsi="仿宋_GB2312" w:eastAsia="仿宋_GB2312" w:cs="仿宋_GB2312"/>
          <w:b w:val="0"/>
          <w:bCs w:val="0"/>
          <w:color w:val="00000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附：1</w:t>
      </w:r>
      <w:r>
        <w:rPr>
          <w:rFonts w:hint="eastAsia" w:ascii="仿宋_GB2312" w:hAnsi="仿宋_GB2312" w:eastAsia="仿宋_GB2312" w:cs="仿宋_GB2312"/>
          <w:b w:val="0"/>
          <w:bCs w:val="0"/>
          <w:color w:val="000000"/>
          <w:sz w:val="32"/>
          <w:szCs w:val="32"/>
        </w:rPr>
        <w:t>．浙江省综合性评标专家库评标专家信用评价标准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z w:val="32"/>
          <w:szCs w:val="32"/>
        </w:rPr>
        <w:t>2023年</w:t>
      </w:r>
      <w:r>
        <w:rPr>
          <w:rFonts w:hint="eastAsia" w:ascii="仿宋_GB2312" w:hAnsi="仿宋_GB2312" w:eastAsia="仿宋_GB2312" w:cs="仿宋_GB2312"/>
          <w:b w:val="0"/>
          <w:bCs w:val="0"/>
          <w:spacing w:val="0"/>
          <w:sz w:val="32"/>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t>浙江省综合性评标专家库专家评标劳务报酬参考</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标准</w:t>
      </w:r>
    </w:p>
    <w:p>
      <w:pPr>
        <w:pStyle w:val="2"/>
        <w:spacing w:line="580" w:lineRule="exact"/>
        <w:ind w:firstLine="0" w:firstLineChars="0"/>
        <w:rPr>
          <w:szCs w:val="32"/>
        </w:rPr>
      </w:pPr>
    </w:p>
    <w:p>
      <w:pPr>
        <w:spacing w:line="580" w:lineRule="exact"/>
        <w:rPr>
          <w:rFonts w:ascii="Times New Roman" w:hAnsi="Times New Roman" w:eastAsia="仿宋_GB2312" w:cs="Times New Roman"/>
          <w:b/>
          <w:bCs/>
          <w:color w:val="000000"/>
          <w:sz w:val="32"/>
          <w:szCs w:val="32"/>
        </w:rPr>
        <w:sectPr>
          <w:footerReference r:id="rId3" w:type="default"/>
          <w:footerReference r:id="rId4" w:type="even"/>
          <w:pgSz w:w="11906" w:h="16838"/>
          <w:pgMar w:top="1871" w:right="1531" w:bottom="1701" w:left="1531" w:header="851" w:footer="1531" w:gutter="0"/>
          <w:cols w:space="720" w:num="1"/>
          <w:docGrid w:linePitch="312" w:charSpace="0"/>
        </w:sectPr>
      </w:pPr>
    </w:p>
    <w:p>
      <w:pPr>
        <w:spacing w:line="400" w:lineRule="exact"/>
        <w:rPr>
          <w:rFonts w:ascii="Times New Roman" w:hAnsi="Times New Roman" w:eastAsia="黑体"/>
          <w:color w:val="000000"/>
          <w:sz w:val="30"/>
          <w:szCs w:val="30"/>
        </w:rPr>
      </w:pPr>
      <w:r>
        <w:rPr>
          <w:rFonts w:hint="eastAsia" w:ascii="Times New Roman" w:hAnsi="Times New Roman" w:eastAsia="黑体"/>
          <w:color w:val="000000"/>
          <w:sz w:val="30"/>
          <w:szCs w:val="30"/>
        </w:rPr>
        <w:t>附</w:t>
      </w:r>
      <w:r>
        <w:rPr>
          <w:rFonts w:ascii="Times New Roman" w:hAnsi="Times New Roman" w:eastAsia="黑体"/>
          <w:color w:val="000000"/>
          <w:sz w:val="30"/>
          <w:szCs w:val="30"/>
        </w:rPr>
        <w:t>1</w:t>
      </w:r>
    </w:p>
    <w:p>
      <w:pPr>
        <w:spacing w:line="400" w:lineRule="exact"/>
        <w:ind w:firstLine="420" w:firstLineChars="200"/>
        <w:rPr>
          <w:rFonts w:ascii="Times New Roman" w:hAnsi="Times New Roman" w:eastAsia="黑体"/>
          <w:color w:val="000000"/>
          <w:szCs w:val="32"/>
        </w:rPr>
      </w:pPr>
    </w:p>
    <w:p>
      <w:pPr>
        <w:spacing w:line="460" w:lineRule="exact"/>
        <w:jc w:val="center"/>
        <w:rPr>
          <w:rFonts w:ascii="Times New Roman" w:hAnsi="Times New Roman"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浙江省综合性评标专家库评标专家信用评价标准（2023年）</w:t>
      </w:r>
    </w:p>
    <w:p>
      <w:pPr>
        <w:spacing w:line="400" w:lineRule="exact"/>
        <w:jc w:val="both"/>
        <w:rPr>
          <w:rFonts w:ascii="Times New Roman" w:hAnsi="Times New Roman" w:eastAsia="黑体"/>
          <w:color w:val="000000"/>
          <w:szCs w:val="32"/>
        </w:rPr>
      </w:pPr>
    </w:p>
    <w:tbl>
      <w:tblPr>
        <w:tblStyle w:val="7"/>
        <w:tblW w:w="13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080"/>
        <w:gridCol w:w="786"/>
        <w:gridCol w:w="809"/>
        <w:gridCol w:w="810"/>
        <w:gridCol w:w="3407"/>
        <w:gridCol w:w="3246"/>
        <w:gridCol w:w="2048"/>
        <w:gridCol w:w="1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1080"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一级指标</w:t>
            </w:r>
            <w:r>
              <w:rPr>
                <w:rFonts w:ascii="Times New Roman" w:hAnsi="Times New Roman" w:eastAsia="黑体"/>
                <w:bCs/>
                <w:color w:val="000000"/>
                <w:kern w:val="0"/>
                <w:sz w:val="24"/>
              </w:rPr>
              <w:br w:type="textWrapping"/>
            </w:r>
            <w:r>
              <w:rPr>
                <w:rFonts w:hint="eastAsia" w:ascii="Times New Roman" w:hAnsi="Times New Roman" w:eastAsia="黑体"/>
                <w:bCs/>
                <w:color w:val="000000"/>
                <w:kern w:val="0"/>
                <w:sz w:val="24"/>
              </w:rPr>
              <w:t>（权重）</w:t>
            </w:r>
          </w:p>
        </w:tc>
        <w:tc>
          <w:tcPr>
            <w:tcW w:w="786"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权重</w:t>
            </w:r>
            <w:r>
              <w:rPr>
                <w:rFonts w:ascii="Times New Roman" w:hAnsi="Times New Roman" w:eastAsia="黑体"/>
                <w:bCs/>
                <w:color w:val="000000"/>
                <w:kern w:val="0"/>
                <w:sz w:val="24"/>
              </w:rPr>
              <w:t>1</w:t>
            </w:r>
          </w:p>
        </w:tc>
        <w:tc>
          <w:tcPr>
            <w:tcW w:w="809" w:type="dxa"/>
            <w:noWrap w:val="0"/>
            <w:vAlign w:val="center"/>
          </w:tcPr>
          <w:p>
            <w:pPr>
              <w:widowControl/>
              <w:spacing w:line="400" w:lineRule="exact"/>
              <w:jc w:val="center"/>
              <w:textAlignment w:val="center"/>
              <w:rPr>
                <w:rFonts w:ascii="Times New Roman" w:hAnsi="Times New Roman" w:eastAsia="黑体"/>
                <w:bCs/>
                <w:color w:val="000000"/>
                <w:kern w:val="0"/>
                <w:sz w:val="24"/>
              </w:rPr>
            </w:pPr>
            <w:r>
              <w:rPr>
                <w:rFonts w:hint="eastAsia" w:ascii="Times New Roman" w:hAnsi="Times New Roman" w:eastAsia="黑体"/>
                <w:bCs/>
                <w:color w:val="000000"/>
                <w:kern w:val="0"/>
                <w:sz w:val="24"/>
              </w:rPr>
              <w:t>二级</w:t>
            </w:r>
          </w:p>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指标</w:t>
            </w:r>
          </w:p>
        </w:tc>
        <w:tc>
          <w:tcPr>
            <w:tcW w:w="810"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权重</w:t>
            </w:r>
            <w:r>
              <w:rPr>
                <w:rFonts w:ascii="Times New Roman" w:hAnsi="Times New Roman" w:eastAsia="黑体"/>
                <w:bCs/>
                <w:color w:val="000000"/>
                <w:kern w:val="0"/>
                <w:sz w:val="24"/>
              </w:rPr>
              <w:t>2</w:t>
            </w:r>
          </w:p>
        </w:tc>
        <w:tc>
          <w:tcPr>
            <w:tcW w:w="3407"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三级指标</w:t>
            </w:r>
          </w:p>
        </w:tc>
        <w:tc>
          <w:tcPr>
            <w:tcW w:w="3246"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扣</w:t>
            </w:r>
            <w:r>
              <w:rPr>
                <w:rFonts w:ascii="Times New Roman" w:hAnsi="Times New Roman" w:eastAsia="黑体"/>
                <w:bCs/>
                <w:color w:val="000000"/>
                <w:kern w:val="0"/>
                <w:sz w:val="24"/>
              </w:rPr>
              <w:t xml:space="preserve"> </w:t>
            </w:r>
            <w:r>
              <w:rPr>
                <w:rFonts w:hint="eastAsia" w:ascii="Times New Roman" w:hAnsi="Times New Roman" w:eastAsia="黑体"/>
                <w:bCs/>
                <w:color w:val="000000"/>
                <w:kern w:val="0"/>
                <w:sz w:val="24"/>
              </w:rPr>
              <w:t>分</w:t>
            </w:r>
            <w:r>
              <w:rPr>
                <w:rFonts w:ascii="Times New Roman" w:hAnsi="Times New Roman" w:eastAsia="黑体"/>
                <w:bCs/>
                <w:color w:val="000000"/>
                <w:kern w:val="0"/>
                <w:sz w:val="24"/>
              </w:rPr>
              <w:t xml:space="preserve"> </w:t>
            </w:r>
            <w:r>
              <w:rPr>
                <w:rFonts w:hint="eastAsia" w:ascii="Times New Roman" w:hAnsi="Times New Roman" w:eastAsia="黑体"/>
                <w:bCs/>
                <w:color w:val="000000"/>
                <w:kern w:val="0"/>
                <w:sz w:val="24"/>
              </w:rPr>
              <w:t>规</w:t>
            </w:r>
            <w:r>
              <w:rPr>
                <w:rFonts w:ascii="Times New Roman" w:hAnsi="Times New Roman" w:eastAsia="黑体"/>
                <w:bCs/>
                <w:color w:val="000000"/>
                <w:kern w:val="0"/>
                <w:sz w:val="24"/>
              </w:rPr>
              <w:t xml:space="preserve"> </w:t>
            </w:r>
            <w:r>
              <w:rPr>
                <w:rFonts w:hint="eastAsia" w:ascii="Times New Roman" w:hAnsi="Times New Roman" w:eastAsia="黑体"/>
                <w:bCs/>
                <w:color w:val="000000"/>
                <w:kern w:val="0"/>
                <w:sz w:val="24"/>
              </w:rPr>
              <w:t>则</w:t>
            </w:r>
          </w:p>
        </w:tc>
        <w:tc>
          <w:tcPr>
            <w:tcW w:w="2048"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计分方式</w:t>
            </w:r>
          </w:p>
        </w:tc>
        <w:tc>
          <w:tcPr>
            <w:tcW w:w="1733" w:type="dxa"/>
            <w:noWrap w:val="0"/>
            <w:vAlign w:val="center"/>
          </w:tcPr>
          <w:p>
            <w:pPr>
              <w:widowControl/>
              <w:spacing w:line="400" w:lineRule="exact"/>
              <w:ind w:firstLine="480" w:firstLineChars="200"/>
              <w:jc w:val="both"/>
              <w:textAlignment w:val="center"/>
              <w:rPr>
                <w:rFonts w:ascii="Times New Roman" w:hAnsi="Times New Roman" w:eastAsia="黑体"/>
                <w:b w:val="0"/>
                <w:bCs/>
                <w:color w:val="000000"/>
                <w:kern w:val="0"/>
                <w:sz w:val="24"/>
              </w:rPr>
            </w:pPr>
            <w:r>
              <w:rPr>
                <w:rFonts w:hint="eastAsia" w:ascii="Times New Roman" w:hAnsi="Times New Roman" w:eastAsia="黑体"/>
                <w:bCs/>
                <w:color w:val="000000"/>
                <w:kern w:val="0"/>
                <w:sz w:val="24"/>
                <w:szCs w:val="24"/>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37"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color w:val="000000"/>
                <w:kern w:val="0"/>
                <w:sz w:val="24"/>
              </w:rPr>
              <w:t>基础信息</w:t>
            </w:r>
          </w:p>
        </w:tc>
        <w:tc>
          <w:tcPr>
            <w:tcW w:w="786"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val="0"/>
                <w:bCs/>
                <w:kern w:val="0"/>
                <w:sz w:val="24"/>
                <w:szCs w:val="24"/>
              </w:rPr>
              <w:t>60</w:t>
            </w:r>
          </w:p>
        </w:tc>
        <w:tc>
          <w:tcPr>
            <w:tcW w:w="809"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信息</w:t>
            </w:r>
            <w:r>
              <w:rPr>
                <w:rFonts w:hint="eastAsia" w:ascii="仿宋" w:hAnsi="仿宋" w:eastAsia="仿宋"/>
                <w:color w:val="000000"/>
                <w:kern w:val="0"/>
                <w:sz w:val="24"/>
                <w:szCs w:val="24"/>
              </w:rPr>
              <w:t>准确</w:t>
            </w:r>
            <w:r>
              <w:rPr>
                <w:rFonts w:hint="eastAsia" w:ascii="仿宋" w:hAnsi="仿宋" w:eastAsia="仿宋"/>
                <w:color w:val="000000"/>
                <w:kern w:val="0"/>
                <w:sz w:val="24"/>
              </w:rPr>
              <w:t>性</w:t>
            </w:r>
          </w:p>
        </w:tc>
        <w:tc>
          <w:tcPr>
            <w:tcW w:w="810"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kern w:val="0"/>
                <w:sz w:val="24"/>
                <w:szCs w:val="24"/>
              </w:rPr>
              <w:t>20</w:t>
            </w:r>
          </w:p>
        </w:tc>
        <w:tc>
          <w:tcPr>
            <w:tcW w:w="3407" w:type="dxa"/>
            <w:noWrap w:val="0"/>
            <w:vAlign w:val="center"/>
          </w:tcPr>
          <w:p>
            <w:pPr>
              <w:widowControl/>
              <w:spacing w:line="400" w:lineRule="exact"/>
              <w:jc w:val="center"/>
              <w:textAlignment w:val="center"/>
              <w:rPr>
                <w:rFonts w:ascii="仿宋" w:hAnsi="仿宋" w:eastAsia="仿宋"/>
                <w:b w:val="0"/>
                <w:bCs/>
                <w:color w:val="000000"/>
                <w:spacing w:val="-6"/>
                <w:sz w:val="24"/>
              </w:rPr>
            </w:pPr>
            <w:r>
              <w:rPr>
                <w:rFonts w:hint="eastAsia" w:ascii="仿宋" w:hAnsi="仿宋" w:eastAsia="仿宋"/>
                <w:b w:val="0"/>
                <w:bCs/>
                <w:color w:val="000000"/>
                <w:spacing w:val="-6"/>
                <w:kern w:val="0"/>
                <w:sz w:val="24"/>
              </w:rPr>
              <w:t>专家登记信息</w:t>
            </w:r>
            <w:r>
              <w:rPr>
                <w:rFonts w:hint="eastAsia" w:ascii="仿宋" w:hAnsi="仿宋" w:eastAsia="仿宋"/>
                <w:b w:val="0"/>
                <w:bCs/>
                <w:spacing w:val="-6"/>
                <w:kern w:val="0"/>
                <w:sz w:val="24"/>
                <w:szCs w:val="24"/>
              </w:rPr>
              <w:t>与实际不符的</w:t>
            </w:r>
          </w:p>
        </w:tc>
        <w:tc>
          <w:tcPr>
            <w:tcW w:w="3246" w:type="dxa"/>
            <w:noWrap w:val="0"/>
            <w:vAlign w:val="center"/>
          </w:tcPr>
          <w:p>
            <w:pPr>
              <w:widowControl/>
              <w:spacing w:line="400" w:lineRule="exact"/>
              <w:textAlignment w:val="center"/>
              <w:rPr>
                <w:rFonts w:ascii="仿宋" w:hAnsi="仿宋" w:eastAsia="仿宋"/>
                <w:b w:val="0"/>
                <w:bCs/>
                <w:color w:val="000000"/>
                <w:sz w:val="24"/>
              </w:rPr>
            </w:pPr>
            <w:r>
              <w:rPr>
                <w:rFonts w:hint="eastAsia" w:ascii="仿宋" w:hAnsi="仿宋" w:eastAsia="仿宋"/>
                <w:b w:val="0"/>
                <w:bCs/>
                <w:color w:val="000000"/>
                <w:kern w:val="0"/>
                <w:sz w:val="24"/>
              </w:rPr>
              <w:t>在专家库系统中登记的工作单位、联系方式等基本信息不</w:t>
            </w:r>
            <w:r>
              <w:rPr>
                <w:rFonts w:hint="eastAsia" w:ascii="仿宋" w:hAnsi="仿宋" w:eastAsia="仿宋"/>
                <w:b w:val="0"/>
                <w:bCs/>
                <w:kern w:val="0"/>
                <w:sz w:val="24"/>
                <w:szCs w:val="24"/>
              </w:rPr>
              <w:t>准确</w:t>
            </w:r>
            <w:r>
              <w:rPr>
                <w:rFonts w:hint="eastAsia" w:ascii="仿宋" w:hAnsi="仿宋" w:eastAsia="仿宋"/>
                <w:b w:val="0"/>
                <w:bCs/>
                <w:color w:val="000000"/>
                <w:kern w:val="0"/>
                <w:sz w:val="24"/>
              </w:rPr>
              <w:t>，</w:t>
            </w:r>
            <w:r>
              <w:rPr>
                <w:rFonts w:hint="eastAsia" w:ascii="仿宋" w:hAnsi="仿宋" w:eastAsia="仿宋"/>
                <w:b w:val="0"/>
                <w:bCs/>
                <w:kern w:val="0"/>
                <w:sz w:val="24"/>
                <w:szCs w:val="24"/>
              </w:rPr>
              <w:t>与实际情况不符的，</w:t>
            </w: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r>
              <w:rPr>
                <w:rFonts w:hint="eastAsia" w:ascii="仿宋" w:hAnsi="仿宋" w:eastAsia="仿宋" w:cs="仿宋_GB2312"/>
                <w:b w:val="0"/>
                <w:bCs/>
                <w:color w:val="000000"/>
                <w:sz w:val="24"/>
                <w:szCs w:val="24"/>
              </w:rPr>
              <w:t xml:space="preserve">   </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vMerge w:val="restart"/>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行政监督部门、</w:t>
            </w:r>
            <w:r>
              <w:rPr>
                <w:rFonts w:hint="eastAsia" w:ascii="仿宋" w:hAnsi="仿宋" w:eastAsia="仿宋"/>
                <w:b w:val="0"/>
                <w:bCs/>
                <w:color w:val="000000"/>
                <w:kern w:val="0"/>
                <w:sz w:val="24"/>
                <w:szCs w:val="24"/>
              </w:rPr>
              <w:t>招标投标（</w:t>
            </w:r>
            <w:r>
              <w:rPr>
                <w:rFonts w:hint="eastAsia" w:ascii="仿宋" w:hAnsi="仿宋" w:eastAsia="仿宋"/>
                <w:b w:val="0"/>
                <w:bCs/>
                <w:color w:val="000000"/>
                <w:kern w:val="0"/>
                <w:sz w:val="24"/>
              </w:rPr>
              <w:t>公共资源</w:t>
            </w:r>
            <w:r>
              <w:rPr>
                <w:rFonts w:hint="eastAsia" w:ascii="仿宋" w:hAnsi="仿宋" w:eastAsia="仿宋"/>
                <w:b w:val="0"/>
                <w:bCs/>
                <w:color w:val="000000"/>
                <w:kern w:val="0"/>
                <w:sz w:val="24"/>
                <w:szCs w:val="24"/>
              </w:rPr>
              <w:t>）</w:t>
            </w:r>
            <w:r>
              <w:rPr>
                <w:rFonts w:hint="eastAsia" w:ascii="仿宋" w:hAnsi="仿宋" w:eastAsia="仿宋"/>
                <w:b w:val="0"/>
                <w:bCs/>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58"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sz w:val="24"/>
                <w:szCs w:val="24"/>
              </w:rPr>
              <w:t>信息完整性</w:t>
            </w:r>
          </w:p>
        </w:tc>
        <w:tc>
          <w:tcPr>
            <w:tcW w:w="810"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kern w:val="0"/>
                <w:sz w:val="24"/>
                <w:szCs w:val="24"/>
              </w:rPr>
              <w:t>40</w:t>
            </w:r>
          </w:p>
        </w:tc>
        <w:tc>
          <w:tcPr>
            <w:tcW w:w="3407"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kern w:val="0"/>
                <w:sz w:val="24"/>
                <w:szCs w:val="24"/>
              </w:rPr>
              <w:t>回避单位不完整的</w:t>
            </w:r>
          </w:p>
        </w:tc>
        <w:tc>
          <w:tcPr>
            <w:tcW w:w="3246" w:type="dxa"/>
            <w:noWrap w:val="0"/>
            <w:vAlign w:val="center"/>
          </w:tcPr>
          <w:p>
            <w:pPr>
              <w:widowControl/>
              <w:spacing w:line="400" w:lineRule="exact"/>
              <w:textAlignment w:val="center"/>
              <w:rPr>
                <w:rFonts w:ascii="仿宋" w:hAnsi="仿宋" w:eastAsia="仿宋" w:cs="仿宋_GB2312"/>
                <w:b w:val="0"/>
                <w:bCs/>
                <w:color w:val="000000"/>
                <w:sz w:val="24"/>
              </w:rPr>
            </w:pPr>
            <w:r>
              <w:rPr>
                <w:rFonts w:hint="eastAsia" w:ascii="仿宋" w:hAnsi="仿宋" w:eastAsia="仿宋" w:cs="仿宋_GB2312"/>
                <w:b w:val="0"/>
                <w:bCs/>
                <w:color w:val="000000"/>
                <w:sz w:val="24"/>
                <w:szCs w:val="24"/>
              </w:rPr>
              <w:t>未按要求完整准确填报回避单位，导致抽取专家时未实现有效回避的</w:t>
            </w:r>
            <w:r>
              <w:rPr>
                <w:rStyle w:val="8"/>
                <w:rFonts w:hint="eastAsia" w:ascii="仿宋" w:hAnsi="仿宋" w:eastAsia="仿宋" w:cs="仿宋_GB2312"/>
                <w:b w:val="0"/>
                <w:bCs/>
                <w:color w:val="000000"/>
                <w:sz w:val="24"/>
                <w:szCs w:val="24"/>
              </w:rPr>
              <w:t>，</w:t>
            </w:r>
            <w:r>
              <w:rPr>
                <w:rFonts w:hint="eastAsia" w:ascii="仿宋" w:hAnsi="仿宋" w:eastAsia="仿宋" w:cs="仿宋_GB2312"/>
                <w:b w:val="0"/>
                <w:bCs/>
                <w:color w:val="000000"/>
                <w:sz w:val="24"/>
                <w:szCs w:val="24"/>
              </w:rPr>
              <w:t>扣40</w:t>
            </w:r>
            <w:r>
              <w:rPr>
                <w:rStyle w:val="8"/>
                <w:rFonts w:hint="eastAsia" w:ascii="仿宋" w:hAnsi="仿宋" w:eastAsia="仿宋" w:cs="仿宋_GB2312"/>
                <w:b w:val="0"/>
                <w:bCs/>
                <w:color w:val="000000"/>
                <w:sz w:val="24"/>
                <w:szCs w:val="24"/>
              </w:rPr>
              <w:t>分</w:t>
            </w:r>
            <w:r>
              <w:rPr>
                <w:rFonts w:hint="eastAsia" w:ascii="仿宋" w:hAnsi="仿宋" w:eastAsia="仿宋" w:cs="仿宋_GB2312"/>
                <w:b w:val="0"/>
                <w:bCs/>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b w:val="0"/>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3"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kern w:val="0"/>
                <w:sz w:val="24"/>
                <w:szCs w:val="24"/>
              </w:rPr>
            </w:pPr>
            <w:r>
              <w:rPr>
                <w:rFonts w:hint="eastAsia" w:ascii="仿宋" w:hAnsi="仿宋" w:eastAsia="仿宋"/>
                <w:b/>
                <w:color w:val="000000"/>
                <w:kern w:val="0"/>
                <w:sz w:val="24"/>
              </w:rPr>
              <w:t>履职能力</w:t>
            </w:r>
          </w:p>
          <w:p>
            <w:pPr>
              <w:spacing w:line="400" w:lineRule="exact"/>
              <w:ind w:firstLine="420" w:firstLineChars="200"/>
              <w:rPr>
                <w:rFonts w:ascii="仿宋" w:hAnsi="仿宋" w:eastAsia="仿宋"/>
                <w:szCs w:val="24"/>
              </w:rPr>
            </w:pPr>
          </w:p>
          <w:p>
            <w:pPr>
              <w:spacing w:line="400" w:lineRule="exact"/>
              <w:rPr>
                <w:rFonts w:ascii="仿宋" w:hAnsi="仿宋" w:eastAsia="仿宋"/>
                <w:b w:val="0"/>
                <w:color w:val="auto"/>
                <w:sz w:val="21"/>
              </w:rPr>
            </w:pPr>
          </w:p>
        </w:tc>
        <w:tc>
          <w:tcPr>
            <w:tcW w:w="786"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val="0"/>
                <w:bCs/>
                <w:color w:val="000000"/>
                <w:kern w:val="0"/>
                <w:sz w:val="24"/>
                <w:szCs w:val="24"/>
              </w:rPr>
              <w:t>500</w:t>
            </w: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评标质量</w:t>
            </w:r>
          </w:p>
        </w:tc>
        <w:tc>
          <w:tcPr>
            <w:tcW w:w="810" w:type="dxa"/>
            <w:vMerge w:val="restart"/>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szCs w:val="24"/>
              </w:rPr>
              <w:t>150</w:t>
            </w:r>
          </w:p>
        </w:tc>
        <w:tc>
          <w:tcPr>
            <w:tcW w:w="3407"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color w:val="000000"/>
                <w:kern w:val="0"/>
                <w:sz w:val="24"/>
              </w:rPr>
              <w:t>招标人</w:t>
            </w:r>
            <w:r>
              <w:rPr>
                <w:rFonts w:hint="eastAsia" w:ascii="仿宋" w:hAnsi="仿宋" w:eastAsia="仿宋"/>
                <w:b w:val="0"/>
                <w:bCs/>
                <w:color w:val="000000"/>
                <w:kern w:val="0"/>
                <w:sz w:val="24"/>
                <w:szCs w:val="24"/>
              </w:rPr>
              <w:t>、行政监督部门</w:t>
            </w:r>
            <w:r>
              <w:rPr>
                <w:rFonts w:hint="eastAsia" w:ascii="仿宋" w:hAnsi="仿宋" w:eastAsia="仿宋"/>
                <w:b w:val="0"/>
                <w:bCs/>
                <w:color w:val="000000"/>
                <w:kern w:val="0"/>
                <w:sz w:val="24"/>
              </w:rPr>
              <w:t>对评标质量的评价</w:t>
            </w:r>
          </w:p>
        </w:tc>
        <w:tc>
          <w:tcPr>
            <w:tcW w:w="3246" w:type="dxa"/>
            <w:noWrap w:val="0"/>
            <w:vAlign w:val="center"/>
          </w:tcPr>
          <w:p>
            <w:pPr>
              <w:widowControl/>
              <w:spacing w:line="400" w:lineRule="exact"/>
              <w:jc w:val="both"/>
              <w:textAlignment w:val="center"/>
              <w:rPr>
                <w:rFonts w:ascii="仿宋" w:hAnsi="仿宋" w:eastAsia="仿宋"/>
                <w:b w:val="0"/>
                <w:bCs/>
                <w:color w:val="000000"/>
                <w:spacing w:val="-8"/>
                <w:sz w:val="24"/>
              </w:rPr>
            </w:pPr>
            <w:r>
              <w:rPr>
                <w:rFonts w:hint="eastAsia" w:ascii="仿宋" w:hAnsi="仿宋" w:eastAsia="仿宋"/>
                <w:b w:val="0"/>
                <w:bCs/>
                <w:color w:val="000000"/>
                <w:spacing w:val="-8"/>
                <w:kern w:val="0"/>
                <w:sz w:val="24"/>
              </w:rPr>
              <w:t>招标人</w:t>
            </w:r>
            <w:r>
              <w:rPr>
                <w:rFonts w:hint="eastAsia" w:ascii="仿宋" w:hAnsi="仿宋" w:eastAsia="仿宋"/>
                <w:b w:val="0"/>
                <w:bCs/>
                <w:color w:val="000000"/>
                <w:spacing w:val="-8"/>
                <w:kern w:val="0"/>
                <w:sz w:val="24"/>
                <w:szCs w:val="24"/>
              </w:rPr>
              <w:t>、</w:t>
            </w:r>
            <w:r>
              <w:rPr>
                <w:rFonts w:hint="eastAsia" w:ascii="仿宋" w:hAnsi="仿宋" w:eastAsia="仿宋"/>
                <w:b w:val="0"/>
                <w:bCs/>
                <w:color w:val="000000"/>
                <w:kern w:val="0"/>
                <w:sz w:val="24"/>
                <w:szCs w:val="24"/>
              </w:rPr>
              <w:t>行政监督部门</w:t>
            </w:r>
            <w:r>
              <w:rPr>
                <w:rFonts w:hint="eastAsia" w:ascii="仿宋" w:hAnsi="仿宋" w:eastAsia="仿宋"/>
                <w:b w:val="0"/>
                <w:bCs/>
                <w:color w:val="000000"/>
                <w:spacing w:val="-8"/>
                <w:kern w:val="0"/>
                <w:sz w:val="24"/>
              </w:rPr>
              <w:t>评价不满意的，扣</w:t>
            </w:r>
            <w:r>
              <w:rPr>
                <w:rFonts w:hint="eastAsia" w:ascii="仿宋" w:hAnsi="仿宋" w:eastAsia="仿宋"/>
                <w:b w:val="0"/>
                <w:bCs/>
                <w:color w:val="000000"/>
                <w:spacing w:val="-8"/>
                <w:kern w:val="0"/>
                <w:sz w:val="24"/>
                <w:szCs w:val="24"/>
              </w:rPr>
              <w:t>10</w:t>
            </w:r>
            <w:r>
              <w:rPr>
                <w:rFonts w:hint="eastAsia" w:ascii="仿宋" w:hAnsi="仿宋" w:eastAsia="仿宋"/>
                <w:b w:val="0"/>
                <w:bCs/>
                <w:color w:val="000000"/>
                <w:spacing w:val="-8"/>
                <w:kern w:val="0"/>
                <w:sz w:val="24"/>
              </w:rPr>
              <w:t>分</w:t>
            </w:r>
            <w:r>
              <w:rPr>
                <w:rFonts w:ascii="仿宋" w:hAnsi="仿宋" w:eastAsia="仿宋"/>
                <w:b w:val="0"/>
                <w:bCs/>
                <w:color w:val="000000"/>
                <w:spacing w:val="-8"/>
                <w:kern w:val="0"/>
                <w:sz w:val="24"/>
              </w:rPr>
              <w:t>/</w:t>
            </w:r>
            <w:r>
              <w:rPr>
                <w:rFonts w:hint="eastAsia" w:ascii="仿宋" w:hAnsi="仿宋" w:eastAsia="仿宋"/>
                <w:b w:val="0"/>
                <w:bCs/>
                <w:color w:val="000000"/>
                <w:spacing w:val="-8"/>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sz w:val="24"/>
                <w:szCs w:val="24"/>
              </w:rPr>
              <w:t>招标人、</w:t>
            </w: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8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b w:val="0"/>
                <w:bCs/>
                <w:color w:val="000000"/>
                <w:sz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kern w:val="0"/>
                <w:sz w:val="24"/>
                <w:szCs w:val="24"/>
              </w:rPr>
              <w:t>未按照招标文件规定的评标标准和</w:t>
            </w:r>
            <w:r>
              <w:rPr>
                <w:rFonts w:hint="eastAsia" w:ascii="仿宋" w:hAnsi="仿宋" w:eastAsia="仿宋"/>
                <w:b w:val="0"/>
                <w:bCs/>
                <w:color w:val="000000"/>
                <w:kern w:val="0"/>
                <w:sz w:val="24"/>
              </w:rPr>
              <w:t>方法评标的</w:t>
            </w:r>
          </w:p>
        </w:tc>
        <w:tc>
          <w:tcPr>
            <w:tcW w:w="3246" w:type="dxa"/>
            <w:noWrap w:val="0"/>
            <w:vAlign w:val="center"/>
          </w:tcPr>
          <w:p>
            <w:pPr>
              <w:widowControl/>
              <w:spacing w:line="400" w:lineRule="exact"/>
              <w:jc w:val="left"/>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经有关行政部门认定</w:t>
            </w:r>
            <w:r>
              <w:rPr>
                <w:rFonts w:hint="eastAsia" w:ascii="仿宋" w:hAnsi="仿宋" w:eastAsia="仿宋"/>
                <w:b w:val="0"/>
                <w:bCs/>
                <w:color w:val="000000"/>
                <w:kern w:val="0"/>
                <w:sz w:val="24"/>
                <w:szCs w:val="24"/>
              </w:rPr>
              <w:t>，不按照招标文件规定的评标标准、</w:t>
            </w:r>
            <w:r>
              <w:rPr>
                <w:rFonts w:hint="eastAsia" w:ascii="仿宋" w:hAnsi="仿宋" w:eastAsia="仿宋"/>
                <w:b w:val="0"/>
                <w:bCs/>
                <w:color w:val="000000"/>
                <w:kern w:val="0"/>
                <w:sz w:val="24"/>
              </w:rPr>
              <w:t>方法</w:t>
            </w:r>
            <w:r>
              <w:rPr>
                <w:rFonts w:hint="eastAsia" w:ascii="仿宋" w:hAnsi="仿宋" w:eastAsia="仿宋"/>
                <w:b w:val="0"/>
                <w:bCs/>
                <w:color w:val="000000"/>
                <w:kern w:val="0"/>
                <w:sz w:val="24"/>
                <w:szCs w:val="24"/>
              </w:rPr>
              <w:t>和程序</w:t>
            </w:r>
            <w:r>
              <w:rPr>
                <w:rFonts w:hint="eastAsia" w:ascii="仿宋" w:hAnsi="仿宋" w:eastAsia="仿宋"/>
                <w:b w:val="0"/>
                <w:bCs/>
                <w:color w:val="000000"/>
                <w:kern w:val="0"/>
                <w:sz w:val="24"/>
              </w:rPr>
              <w:t>评标的，扣</w:t>
            </w:r>
            <w:r>
              <w:rPr>
                <w:rFonts w:ascii="仿宋" w:hAnsi="仿宋" w:eastAsia="仿宋"/>
                <w:b w:val="0"/>
                <w:bCs/>
                <w:color w:val="000000"/>
                <w:kern w:val="0"/>
                <w:sz w:val="24"/>
              </w:rPr>
              <w:t>100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szCs w:val="24"/>
              </w:rPr>
              <w:t>次；未在招标文件规定的区间标准内打分的，扣120分</w:t>
            </w:r>
            <w:r>
              <w:rPr>
                <w:rFonts w:ascii="仿宋" w:hAnsi="仿宋" w:eastAsia="仿宋"/>
                <w:b w:val="0"/>
                <w:bCs/>
                <w:color w:val="000000"/>
                <w:kern w:val="0"/>
                <w:sz w:val="24"/>
              </w:rPr>
              <w:t>/</w:t>
            </w:r>
            <w:r>
              <w:rPr>
                <w:rFonts w:hint="eastAsia" w:ascii="仿宋" w:hAnsi="仿宋" w:eastAsia="仿宋"/>
                <w:b w:val="0"/>
                <w:bCs/>
                <w:color w:val="000000"/>
                <w:kern w:val="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color w:val="000000"/>
                <w:kern w:val="0"/>
                <w:sz w:val="24"/>
                <w:szCs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restart"/>
            <w:noWrap w:val="0"/>
            <w:vAlign w:val="center"/>
          </w:tcPr>
          <w:p>
            <w:pPr>
              <w:widowControl/>
              <w:spacing w:line="400" w:lineRule="exact"/>
              <w:jc w:val="center"/>
              <w:rPr>
                <w:rFonts w:ascii="仿宋" w:hAnsi="仿宋" w:eastAsia="仿宋"/>
                <w:b/>
                <w:color w:val="000000"/>
                <w:sz w:val="24"/>
              </w:rPr>
            </w:pPr>
            <w:r>
              <w:rPr>
                <w:rFonts w:hint="eastAsia" w:ascii="仿宋" w:hAnsi="仿宋" w:eastAsia="仿宋"/>
                <w:b/>
                <w:color w:val="000000"/>
                <w:kern w:val="0"/>
                <w:sz w:val="24"/>
              </w:rPr>
              <w:t>履职能力</w:t>
            </w:r>
          </w:p>
        </w:tc>
        <w:tc>
          <w:tcPr>
            <w:tcW w:w="786"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500</w:t>
            </w:r>
          </w:p>
        </w:tc>
        <w:tc>
          <w:tcPr>
            <w:tcW w:w="809"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评标质量</w:t>
            </w:r>
          </w:p>
        </w:tc>
        <w:tc>
          <w:tcPr>
            <w:tcW w:w="810"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sz w:val="24"/>
                <w:szCs w:val="24"/>
              </w:rPr>
              <w:t>150</w:t>
            </w: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spacing w:val="-6"/>
                <w:kern w:val="0"/>
                <w:sz w:val="24"/>
              </w:rPr>
              <w:t>不能熟练</w:t>
            </w:r>
            <w:r>
              <w:rPr>
                <w:rFonts w:hint="eastAsia" w:ascii="仿宋" w:hAnsi="仿宋" w:eastAsia="仿宋"/>
                <w:spacing w:val="-6"/>
                <w:kern w:val="0"/>
                <w:sz w:val="24"/>
                <w:szCs w:val="24"/>
              </w:rPr>
              <w:t>操作电脑或使用</w:t>
            </w:r>
            <w:r>
              <w:rPr>
                <w:rFonts w:hint="eastAsia" w:ascii="仿宋" w:hAnsi="仿宋" w:eastAsia="仿宋"/>
                <w:color w:val="000000"/>
                <w:spacing w:val="-6"/>
                <w:kern w:val="0"/>
                <w:sz w:val="24"/>
              </w:rPr>
              <w:t>电子</w:t>
            </w:r>
            <w:r>
              <w:rPr>
                <w:rFonts w:hint="eastAsia" w:ascii="仿宋" w:hAnsi="仿宋" w:eastAsia="仿宋"/>
                <w:spacing w:val="-6"/>
                <w:kern w:val="0"/>
                <w:sz w:val="24"/>
                <w:szCs w:val="24"/>
              </w:rPr>
              <w:t>化评标系统的</w:t>
            </w:r>
          </w:p>
        </w:tc>
        <w:tc>
          <w:tcPr>
            <w:tcW w:w="3246" w:type="dxa"/>
            <w:noWrap w:val="0"/>
            <w:vAlign w:val="center"/>
          </w:tcPr>
          <w:p>
            <w:pPr>
              <w:widowControl/>
              <w:spacing w:line="400" w:lineRule="exact"/>
              <w:textAlignment w:val="center"/>
              <w:rPr>
                <w:rFonts w:ascii="仿宋" w:hAnsi="仿宋" w:eastAsia="仿宋"/>
                <w:color w:val="000000"/>
                <w:sz w:val="24"/>
              </w:rPr>
            </w:pPr>
            <w:r>
              <w:rPr>
                <w:rFonts w:hint="eastAsia" w:ascii="仿宋" w:hAnsi="仿宋" w:eastAsia="仿宋"/>
                <w:color w:val="000000"/>
                <w:kern w:val="0"/>
                <w:sz w:val="24"/>
              </w:rPr>
              <w:t>扣</w:t>
            </w:r>
            <w:r>
              <w:rPr>
                <w:rFonts w:ascii="仿宋" w:hAnsi="仿宋" w:eastAsia="仿宋"/>
                <w:color w:val="000000"/>
                <w:kern w:val="0"/>
                <w:sz w:val="24"/>
              </w:rPr>
              <w:t>40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both"/>
              <w:rPr>
                <w:rFonts w:ascii="仿宋" w:hAnsi="仿宋" w:eastAsia="仿宋"/>
                <w:color w:val="000000"/>
                <w:sz w:val="24"/>
              </w:rPr>
            </w:pPr>
            <w:r>
              <w:rPr>
                <w:rFonts w:hint="eastAsia" w:ascii="仿宋" w:hAnsi="仿宋" w:eastAsia="仿宋"/>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continue"/>
            <w:noWrap w:val="0"/>
            <w:vAlign w:val="center"/>
          </w:tcPr>
          <w:p>
            <w:pPr>
              <w:widowControl/>
              <w:spacing w:line="400" w:lineRule="exact"/>
              <w:jc w:val="center"/>
              <w:rPr>
                <w:rFonts w:ascii="仿宋" w:hAnsi="仿宋" w:eastAsia="仿宋"/>
                <w:b/>
                <w:color w:val="000000"/>
                <w:kern w:val="0"/>
                <w:sz w:val="24"/>
                <w:szCs w:val="24"/>
              </w:rPr>
            </w:pPr>
          </w:p>
        </w:tc>
        <w:tc>
          <w:tcPr>
            <w:tcW w:w="786"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09"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sz w:val="24"/>
                <w:szCs w:val="24"/>
              </w:rPr>
              <w:t>不熟悉相关法律法规、评标程序，专业技能不能满足评标需求，履职能力不足的</w:t>
            </w:r>
          </w:p>
        </w:tc>
        <w:tc>
          <w:tcPr>
            <w:tcW w:w="3246"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sz w:val="24"/>
                <w:szCs w:val="24"/>
              </w:rPr>
              <w:t>扣80分</w:t>
            </w:r>
            <w:r>
              <w:rPr>
                <w:rFonts w:ascii="仿宋" w:hAnsi="仿宋" w:eastAsia="仿宋"/>
                <w:b w:val="0"/>
                <w:bCs/>
                <w:color w:val="000000"/>
                <w:sz w:val="24"/>
                <w:szCs w:val="24"/>
                <w:lang w:val="en"/>
              </w:rPr>
              <w:t>/</w:t>
            </w:r>
            <w:r>
              <w:rPr>
                <w:rFonts w:hint="eastAsia" w:ascii="仿宋" w:hAnsi="仿宋" w:eastAsia="仿宋"/>
                <w:b w:val="0"/>
                <w:bCs/>
                <w:color w:val="000000"/>
                <w:sz w:val="24"/>
                <w:szCs w:val="24"/>
                <w:lang w:val="en"/>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sz w:val="24"/>
                <w:szCs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continue"/>
            <w:noWrap w:val="0"/>
            <w:vAlign w:val="center"/>
          </w:tcPr>
          <w:p>
            <w:pPr>
              <w:widowControl/>
              <w:spacing w:line="400" w:lineRule="exact"/>
              <w:jc w:val="center"/>
              <w:rPr>
                <w:rFonts w:ascii="仿宋" w:hAnsi="仿宋" w:eastAsia="仿宋"/>
                <w:b/>
                <w:color w:val="000000"/>
                <w:kern w:val="0"/>
                <w:sz w:val="24"/>
                <w:szCs w:val="24"/>
              </w:rPr>
            </w:pPr>
          </w:p>
        </w:tc>
        <w:tc>
          <w:tcPr>
            <w:tcW w:w="786"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09"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kern w:val="0"/>
                <w:sz w:val="24"/>
                <w:szCs w:val="24"/>
              </w:rPr>
              <w:t>项目行政监督部门认为，</w:t>
            </w:r>
            <w:r>
              <w:rPr>
                <w:rFonts w:hint="eastAsia" w:ascii="仿宋" w:hAnsi="仿宋" w:eastAsia="仿宋"/>
                <w:b w:val="0"/>
                <w:bCs/>
                <w:color w:val="000000"/>
                <w:kern w:val="0"/>
                <w:sz w:val="24"/>
              </w:rPr>
              <w:t>评标效率异常低下，影响评标进程的</w:t>
            </w:r>
          </w:p>
        </w:tc>
        <w:tc>
          <w:tcPr>
            <w:tcW w:w="3246" w:type="dxa"/>
            <w:noWrap w:val="0"/>
            <w:vAlign w:val="center"/>
          </w:tcPr>
          <w:p>
            <w:pPr>
              <w:widowControl/>
              <w:spacing w:line="400" w:lineRule="exact"/>
              <w:textAlignment w:val="center"/>
              <w:rPr>
                <w:rFonts w:ascii="仿宋" w:hAnsi="仿宋" w:eastAsia="仿宋"/>
                <w:b w:val="0"/>
                <w:bCs/>
                <w:color w:val="000000"/>
                <w:sz w:val="24"/>
                <w:szCs w:val="24"/>
                <w:lang w:val="en"/>
              </w:rPr>
            </w:pPr>
            <w:r>
              <w:rPr>
                <w:rFonts w:hint="eastAsia" w:ascii="仿宋" w:hAnsi="仿宋" w:eastAsia="仿宋"/>
                <w:b w:val="0"/>
                <w:bCs/>
                <w:color w:val="000000"/>
                <w:kern w:val="0"/>
                <w:sz w:val="24"/>
              </w:rPr>
              <w:t>扣</w:t>
            </w:r>
            <w:r>
              <w:rPr>
                <w:rFonts w:ascii="仿宋" w:hAnsi="仿宋" w:eastAsia="仿宋"/>
                <w:b w:val="0"/>
                <w:bCs/>
                <w:color w:val="000000"/>
                <w:kern w:val="0"/>
                <w:sz w:val="24"/>
              </w:rPr>
              <w:t>40</w:t>
            </w:r>
            <w:r>
              <w:rPr>
                <w:rStyle w:val="8"/>
                <w:rFonts w:hint="eastAsia" w:ascii="仿宋" w:hAnsi="仿宋" w:eastAsia="仿宋" w:cs="仿宋_GB2312"/>
                <w:b w:val="0"/>
                <w:bCs/>
                <w:color w:val="000000"/>
                <w:sz w:val="24"/>
                <w:szCs w:val="24"/>
              </w:rPr>
              <w:t>分</w:t>
            </w:r>
            <w:r>
              <w:rPr>
                <w:rStyle w:val="8"/>
                <w:rFonts w:ascii="仿宋" w:hAnsi="仿宋" w:eastAsia="仿宋" w:cs="仿宋_GB2312"/>
                <w:b w:val="0"/>
                <w:bCs/>
                <w:color w:val="000000"/>
                <w:sz w:val="24"/>
                <w:szCs w:val="24"/>
              </w:rPr>
              <w:t>/</w:t>
            </w:r>
            <w:r>
              <w:rPr>
                <w:rStyle w:val="8"/>
                <w:rFonts w:hint="eastAsia" w:ascii="仿宋" w:hAnsi="仿宋" w:eastAsia="仿宋" w:cs="仿宋_GB2312"/>
                <w:b w:val="0"/>
                <w:bCs/>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sz w:val="24"/>
                <w:szCs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continue"/>
            <w:noWrap w:val="0"/>
            <w:vAlign w:val="center"/>
          </w:tcPr>
          <w:p>
            <w:pPr>
              <w:widowControl/>
              <w:spacing w:line="400" w:lineRule="exact"/>
              <w:jc w:val="center"/>
              <w:rPr>
                <w:rFonts w:ascii="仿宋" w:hAnsi="仿宋" w:eastAsia="仿宋"/>
                <w:b/>
                <w:color w:val="000000"/>
                <w:kern w:val="0"/>
                <w:sz w:val="24"/>
                <w:szCs w:val="24"/>
              </w:rPr>
            </w:pPr>
          </w:p>
        </w:tc>
        <w:tc>
          <w:tcPr>
            <w:tcW w:w="786"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09"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szCs w:val="24"/>
              </w:rPr>
              <w:t>拒绝在评标报告上签字，且不书面阐述不同意见和理由的；</w:t>
            </w:r>
          </w:p>
        </w:tc>
        <w:tc>
          <w:tcPr>
            <w:tcW w:w="3246"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扣</w:t>
            </w:r>
            <w:r>
              <w:rPr>
                <w:rFonts w:ascii="仿宋" w:hAnsi="仿宋" w:eastAsia="仿宋"/>
                <w:b w:val="0"/>
                <w:bCs/>
                <w:color w:val="000000"/>
                <w:kern w:val="0"/>
                <w:sz w:val="24"/>
              </w:rPr>
              <w:t>1</w:t>
            </w:r>
            <w:r>
              <w:rPr>
                <w:rFonts w:hint="eastAsia" w:ascii="仿宋" w:hAnsi="仿宋" w:eastAsia="仿宋"/>
                <w:b w:val="0"/>
                <w:bCs/>
                <w:color w:val="000000"/>
                <w:kern w:val="0"/>
                <w:sz w:val="24"/>
                <w:szCs w:val="24"/>
              </w:rPr>
              <w:t>2</w:t>
            </w:r>
            <w:r>
              <w:rPr>
                <w:rFonts w:ascii="仿宋" w:hAnsi="仿宋" w:eastAsia="仿宋"/>
                <w:b w:val="0"/>
                <w:bCs/>
                <w:color w:val="000000"/>
                <w:kern w:val="0"/>
                <w:sz w:val="24"/>
              </w:rPr>
              <w:t>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color w:val="000000"/>
                <w:sz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szCs w:val="24"/>
              </w:rPr>
              <w:t>行政监督部门、纪检监察部门认为其未公正客观评审的</w:t>
            </w:r>
          </w:p>
        </w:tc>
        <w:tc>
          <w:tcPr>
            <w:tcW w:w="3246"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color w:val="000000"/>
                <w:sz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szCs w:val="24"/>
              </w:rPr>
            </w:pPr>
          </w:p>
        </w:tc>
        <w:tc>
          <w:tcPr>
            <w:tcW w:w="786" w:type="dxa"/>
            <w:vMerge w:val="continue"/>
            <w:noWrap w:val="0"/>
            <w:vAlign w:val="center"/>
          </w:tcPr>
          <w:p>
            <w:pPr>
              <w:widowControl/>
              <w:spacing w:line="400" w:lineRule="exact"/>
              <w:jc w:val="center"/>
              <w:rPr>
                <w:rFonts w:ascii="仿宋" w:hAnsi="仿宋" w:eastAsia="仿宋"/>
                <w:color w:val="000000"/>
                <w:sz w:val="24"/>
                <w:szCs w:val="24"/>
              </w:rPr>
            </w:pPr>
          </w:p>
        </w:tc>
        <w:tc>
          <w:tcPr>
            <w:tcW w:w="809" w:type="dxa"/>
            <w:vMerge w:val="continue"/>
            <w:noWrap w:val="0"/>
            <w:vAlign w:val="center"/>
          </w:tcPr>
          <w:p>
            <w:pPr>
              <w:widowControl/>
              <w:spacing w:line="400" w:lineRule="exact"/>
              <w:jc w:val="center"/>
              <w:rPr>
                <w:rFonts w:ascii="仿宋" w:hAnsi="仿宋" w:eastAsia="仿宋"/>
                <w:color w:val="00000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jc w:val="both"/>
              <w:textAlignment w:val="center"/>
              <w:rPr>
                <w:rFonts w:ascii="仿宋" w:hAnsi="仿宋" w:eastAsia="仿宋"/>
                <w:b w:val="0"/>
                <w:bCs/>
                <w:color w:val="auto"/>
                <w:sz w:val="24"/>
              </w:rPr>
            </w:pPr>
            <w:r>
              <w:rPr>
                <w:rFonts w:hint="eastAsia" w:ascii="仿宋" w:hAnsi="仿宋" w:eastAsia="仿宋"/>
                <w:b w:val="0"/>
                <w:bCs/>
                <w:color w:val="auto"/>
                <w:kern w:val="0"/>
                <w:sz w:val="24"/>
              </w:rPr>
              <w:t>对其他评标委员会成员进行暗示、诱导或者施加压力影响其独立评审的</w:t>
            </w:r>
          </w:p>
        </w:tc>
        <w:tc>
          <w:tcPr>
            <w:tcW w:w="3246" w:type="dxa"/>
            <w:noWrap w:val="0"/>
            <w:vAlign w:val="center"/>
          </w:tcPr>
          <w:p>
            <w:pPr>
              <w:widowControl/>
              <w:spacing w:line="400" w:lineRule="exact"/>
              <w:jc w:val="both"/>
              <w:textAlignment w:val="center"/>
              <w:rPr>
                <w:rFonts w:ascii="仿宋" w:hAnsi="仿宋" w:eastAsia="仿宋"/>
                <w:b w:val="0"/>
                <w:bCs/>
                <w:color w:val="auto"/>
                <w:sz w:val="24"/>
              </w:rPr>
            </w:pPr>
            <w:r>
              <w:rPr>
                <w:rFonts w:hint="eastAsia" w:ascii="仿宋" w:hAnsi="仿宋" w:eastAsia="仿宋"/>
                <w:b w:val="0"/>
                <w:bCs/>
                <w:color w:val="auto"/>
                <w:kern w:val="0"/>
                <w:sz w:val="24"/>
              </w:rPr>
              <w:t>扣</w:t>
            </w:r>
            <w:r>
              <w:rPr>
                <w:rFonts w:hint="eastAsia" w:ascii="仿宋" w:hAnsi="仿宋" w:eastAsia="仿宋"/>
                <w:b w:val="0"/>
                <w:bCs/>
                <w:kern w:val="0"/>
                <w:sz w:val="24"/>
                <w:szCs w:val="24"/>
              </w:rPr>
              <w:t>120</w:t>
            </w:r>
            <w:r>
              <w:rPr>
                <w:rFonts w:hint="eastAsia" w:ascii="仿宋" w:hAnsi="仿宋" w:eastAsia="仿宋"/>
                <w:b w:val="0"/>
                <w:bCs/>
                <w:color w:val="auto"/>
                <w:kern w:val="0"/>
                <w:sz w:val="24"/>
              </w:rPr>
              <w:t>分</w:t>
            </w:r>
            <w:r>
              <w:rPr>
                <w:rFonts w:ascii="仿宋" w:hAnsi="仿宋" w:eastAsia="仿宋"/>
                <w:b w:val="0"/>
                <w:bCs/>
                <w:color w:val="auto"/>
                <w:kern w:val="0"/>
                <w:sz w:val="24"/>
              </w:rPr>
              <w:t>/</w:t>
            </w:r>
            <w:r>
              <w:rPr>
                <w:rFonts w:hint="eastAsia" w:ascii="仿宋" w:hAnsi="仿宋" w:eastAsia="仿宋"/>
                <w:b w:val="0"/>
                <w:bCs/>
                <w:color w:val="auto"/>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auto"/>
                <w:sz w:val="24"/>
              </w:rPr>
            </w:pPr>
            <w:r>
              <w:rPr>
                <w:rFonts w:hint="eastAsia" w:ascii="仿宋" w:hAnsi="仿宋" w:eastAsia="仿宋"/>
                <w:b w:val="0"/>
                <w:bCs/>
                <w:color w:val="auto"/>
                <w:kern w:val="0"/>
                <w:sz w:val="24"/>
              </w:rPr>
              <w:t>累计扣分</w:t>
            </w:r>
          </w:p>
        </w:tc>
        <w:tc>
          <w:tcPr>
            <w:tcW w:w="1733" w:type="dxa"/>
            <w:noWrap w:val="0"/>
            <w:vAlign w:val="center"/>
          </w:tcPr>
          <w:p>
            <w:pPr>
              <w:widowControl/>
              <w:spacing w:line="400" w:lineRule="exact"/>
              <w:jc w:val="center"/>
              <w:rPr>
                <w:rFonts w:ascii="仿宋" w:hAnsi="仿宋" w:eastAsia="仿宋"/>
                <w:b w:val="0"/>
                <w:bCs/>
                <w:color w:val="auto"/>
                <w:sz w:val="24"/>
              </w:rPr>
            </w:pPr>
            <w:r>
              <w:rPr>
                <w:rFonts w:hint="eastAsia" w:ascii="仿宋" w:hAnsi="仿宋" w:eastAsia="仿宋"/>
                <w:b w:val="0"/>
                <w:bCs/>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44"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szCs w:val="24"/>
              </w:rPr>
            </w:pPr>
          </w:p>
        </w:tc>
        <w:tc>
          <w:tcPr>
            <w:tcW w:w="786" w:type="dxa"/>
            <w:vMerge w:val="continue"/>
            <w:noWrap w:val="0"/>
            <w:vAlign w:val="center"/>
          </w:tcPr>
          <w:p>
            <w:pPr>
              <w:widowControl/>
              <w:spacing w:line="400" w:lineRule="exact"/>
              <w:jc w:val="center"/>
              <w:rPr>
                <w:rFonts w:ascii="仿宋" w:hAnsi="仿宋" w:eastAsia="仿宋"/>
                <w:color w:val="000000"/>
                <w:sz w:val="24"/>
                <w:szCs w:val="24"/>
              </w:rPr>
            </w:pPr>
          </w:p>
        </w:tc>
        <w:tc>
          <w:tcPr>
            <w:tcW w:w="809" w:type="dxa"/>
            <w:vMerge w:val="continue"/>
            <w:noWrap w:val="0"/>
            <w:vAlign w:val="center"/>
          </w:tcPr>
          <w:p>
            <w:pPr>
              <w:widowControl/>
              <w:spacing w:line="400" w:lineRule="exact"/>
              <w:jc w:val="center"/>
              <w:rPr>
                <w:rFonts w:ascii="仿宋" w:hAnsi="仿宋" w:eastAsia="仿宋"/>
                <w:color w:val="00000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jc w:val="both"/>
              <w:textAlignment w:val="center"/>
              <w:rPr>
                <w:rFonts w:ascii="仿宋" w:hAnsi="仿宋" w:eastAsia="仿宋"/>
                <w:b w:val="0"/>
                <w:bCs/>
                <w:color w:val="auto"/>
                <w:kern w:val="0"/>
                <w:sz w:val="24"/>
              </w:rPr>
            </w:pPr>
            <w:r>
              <w:rPr>
                <w:rFonts w:hint="eastAsia" w:ascii="仿宋" w:hAnsi="仿宋" w:eastAsia="仿宋"/>
                <w:b w:val="0"/>
                <w:bCs/>
                <w:color w:val="auto"/>
                <w:kern w:val="0"/>
                <w:sz w:val="24"/>
              </w:rPr>
              <w:t>暗示或者诱导投标人作出澄清、说明或者接受投标人主动提出的澄清、说明的</w:t>
            </w:r>
          </w:p>
        </w:tc>
        <w:tc>
          <w:tcPr>
            <w:tcW w:w="3246" w:type="dxa"/>
            <w:noWrap w:val="0"/>
            <w:vAlign w:val="center"/>
          </w:tcPr>
          <w:p>
            <w:pPr>
              <w:widowControl/>
              <w:spacing w:line="400" w:lineRule="exact"/>
              <w:jc w:val="both"/>
              <w:textAlignment w:val="center"/>
              <w:rPr>
                <w:rFonts w:ascii="仿宋" w:hAnsi="仿宋" w:eastAsia="仿宋"/>
                <w:b w:val="0"/>
                <w:bCs/>
                <w:color w:val="auto"/>
                <w:kern w:val="0"/>
                <w:sz w:val="24"/>
              </w:rPr>
            </w:pPr>
            <w:r>
              <w:rPr>
                <w:rFonts w:hint="eastAsia" w:ascii="仿宋" w:hAnsi="仿宋" w:eastAsia="仿宋"/>
                <w:b w:val="0"/>
                <w:bCs/>
                <w:color w:val="auto"/>
                <w:kern w:val="0"/>
                <w:sz w:val="24"/>
              </w:rPr>
              <w:t>扣</w:t>
            </w:r>
            <w:r>
              <w:rPr>
                <w:rFonts w:hint="eastAsia" w:ascii="仿宋" w:hAnsi="仿宋" w:eastAsia="仿宋"/>
                <w:b w:val="0"/>
                <w:bCs/>
                <w:kern w:val="0"/>
                <w:sz w:val="24"/>
                <w:szCs w:val="24"/>
              </w:rPr>
              <w:t>120</w:t>
            </w:r>
            <w:r>
              <w:rPr>
                <w:rFonts w:hint="eastAsia" w:ascii="仿宋" w:hAnsi="仿宋" w:eastAsia="仿宋"/>
                <w:b w:val="0"/>
                <w:bCs/>
                <w:color w:val="auto"/>
                <w:kern w:val="0"/>
                <w:sz w:val="24"/>
              </w:rPr>
              <w:t>分</w:t>
            </w:r>
            <w:r>
              <w:rPr>
                <w:rFonts w:ascii="仿宋" w:hAnsi="仿宋" w:eastAsia="仿宋"/>
                <w:b w:val="0"/>
                <w:bCs/>
                <w:color w:val="auto"/>
                <w:kern w:val="0"/>
                <w:sz w:val="24"/>
              </w:rPr>
              <w:t>/</w:t>
            </w:r>
            <w:r>
              <w:rPr>
                <w:rFonts w:hint="eastAsia" w:ascii="仿宋" w:hAnsi="仿宋" w:eastAsia="仿宋"/>
                <w:b w:val="0"/>
                <w:bCs/>
                <w:color w:val="auto"/>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auto"/>
                <w:kern w:val="0"/>
                <w:sz w:val="24"/>
              </w:rPr>
            </w:pPr>
            <w:r>
              <w:rPr>
                <w:rFonts w:hint="eastAsia" w:ascii="仿宋" w:hAnsi="仿宋" w:eastAsia="仿宋"/>
                <w:b w:val="0"/>
                <w:bCs/>
                <w:color w:val="auto"/>
                <w:kern w:val="0"/>
                <w:sz w:val="24"/>
              </w:rPr>
              <w:t>累计扣分</w:t>
            </w:r>
          </w:p>
        </w:tc>
        <w:tc>
          <w:tcPr>
            <w:tcW w:w="1733" w:type="dxa"/>
            <w:noWrap w:val="0"/>
            <w:vAlign w:val="center"/>
          </w:tcPr>
          <w:p>
            <w:pPr>
              <w:widowControl/>
              <w:spacing w:line="400" w:lineRule="exact"/>
              <w:jc w:val="center"/>
              <w:rPr>
                <w:rFonts w:ascii="仿宋" w:hAnsi="仿宋" w:eastAsia="仿宋"/>
                <w:b w:val="0"/>
                <w:bCs/>
                <w:color w:val="auto"/>
                <w:kern w:val="0"/>
                <w:sz w:val="24"/>
              </w:rPr>
            </w:pPr>
            <w:r>
              <w:rPr>
                <w:rFonts w:hint="eastAsia" w:ascii="仿宋" w:hAnsi="仿宋" w:eastAsia="仿宋"/>
                <w:b w:val="0"/>
                <w:bCs/>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2"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kern w:val="0"/>
                <w:sz w:val="24"/>
                <w:szCs w:val="24"/>
              </w:rPr>
              <w:t>评标纪律</w:t>
            </w:r>
          </w:p>
        </w:tc>
        <w:tc>
          <w:tcPr>
            <w:tcW w:w="810" w:type="dxa"/>
            <w:vMerge w:val="restart"/>
            <w:noWrap w:val="0"/>
            <w:vAlign w:val="center"/>
          </w:tcPr>
          <w:p>
            <w:pPr>
              <w:widowControl/>
              <w:spacing w:line="400" w:lineRule="exact"/>
              <w:jc w:val="center"/>
              <w:textAlignment w:val="center"/>
              <w:rPr>
                <w:rFonts w:ascii="仿宋" w:hAnsi="仿宋" w:eastAsia="仿宋"/>
                <w:sz w:val="24"/>
              </w:rPr>
            </w:pPr>
            <w:r>
              <w:rPr>
                <w:rFonts w:ascii="仿宋" w:hAnsi="仿宋" w:eastAsia="仿宋"/>
                <w:kern w:val="0"/>
                <w:sz w:val="24"/>
              </w:rPr>
              <w:t>150</w:t>
            </w:r>
          </w:p>
        </w:tc>
        <w:tc>
          <w:tcPr>
            <w:tcW w:w="3407" w:type="dxa"/>
            <w:noWrap w:val="0"/>
            <w:vAlign w:val="center"/>
          </w:tcPr>
          <w:p>
            <w:pPr>
              <w:widowControl/>
              <w:spacing w:line="400" w:lineRule="exact"/>
              <w:jc w:val="both"/>
              <w:textAlignment w:val="center"/>
              <w:rPr>
                <w:rFonts w:ascii="仿宋" w:hAnsi="仿宋" w:eastAsia="仿宋"/>
                <w:sz w:val="24"/>
              </w:rPr>
            </w:pPr>
            <w:r>
              <w:rPr>
                <w:rFonts w:hint="eastAsia" w:ascii="仿宋" w:hAnsi="仿宋" w:eastAsia="仿宋"/>
                <w:kern w:val="0"/>
                <w:sz w:val="24"/>
              </w:rPr>
              <w:t>接到评标通知并确认参加后，</w:t>
            </w:r>
            <w:r>
              <w:rPr>
                <w:rFonts w:hint="eastAsia" w:ascii="仿宋" w:hAnsi="仿宋" w:eastAsia="仿宋"/>
                <w:kern w:val="0"/>
                <w:sz w:val="24"/>
                <w:szCs w:val="24"/>
              </w:rPr>
              <w:t xml:space="preserve">又请假的   </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kern w:val="0"/>
                <w:sz w:val="24"/>
              </w:rPr>
              <w:t>距评标时间不足</w:t>
            </w:r>
            <w:r>
              <w:rPr>
                <w:rFonts w:ascii="仿宋" w:hAnsi="仿宋" w:eastAsia="仿宋"/>
                <w:kern w:val="0"/>
                <w:sz w:val="24"/>
              </w:rPr>
              <w:t>2</w:t>
            </w:r>
            <w:r>
              <w:rPr>
                <w:rFonts w:hint="eastAsia" w:ascii="仿宋" w:hAnsi="仿宋" w:eastAsia="仿宋"/>
                <w:kern w:val="0"/>
                <w:sz w:val="24"/>
              </w:rPr>
              <w:t>小时</w:t>
            </w:r>
            <w:r>
              <w:rPr>
                <w:rFonts w:hint="eastAsia" w:ascii="仿宋" w:hAnsi="仿宋" w:eastAsia="仿宋"/>
                <w:kern w:val="0"/>
                <w:sz w:val="24"/>
                <w:szCs w:val="24"/>
              </w:rPr>
              <w:t>请假影响评标进度的，</w:t>
            </w:r>
            <w:r>
              <w:rPr>
                <w:rFonts w:hint="eastAsia" w:ascii="仿宋" w:hAnsi="仿宋" w:eastAsia="仿宋"/>
                <w:kern w:val="0"/>
                <w:sz w:val="24"/>
              </w:rPr>
              <w:t>扣</w:t>
            </w:r>
            <w:r>
              <w:rPr>
                <w:rFonts w:ascii="仿宋" w:hAnsi="仿宋" w:eastAsia="仿宋"/>
                <w:kern w:val="0"/>
                <w:sz w:val="24"/>
              </w:rPr>
              <w:t>35</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810"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3407" w:type="dxa"/>
            <w:noWrap w:val="0"/>
            <w:vAlign w:val="center"/>
          </w:tcPr>
          <w:p>
            <w:pPr>
              <w:widowControl/>
              <w:spacing w:line="400" w:lineRule="exact"/>
              <w:textAlignment w:val="center"/>
              <w:rPr>
                <w:rFonts w:ascii="仿宋" w:hAnsi="仿宋" w:eastAsia="仿宋"/>
                <w:kern w:val="0"/>
                <w:sz w:val="24"/>
                <w:szCs w:val="24"/>
              </w:rPr>
            </w:pPr>
            <w:r>
              <w:rPr>
                <w:rFonts w:hint="eastAsia" w:ascii="仿宋" w:hAnsi="仿宋" w:eastAsia="仿宋"/>
                <w:kern w:val="0"/>
                <w:sz w:val="24"/>
              </w:rPr>
              <w:t>缺席评标活动的</w:t>
            </w:r>
          </w:p>
        </w:tc>
        <w:tc>
          <w:tcPr>
            <w:tcW w:w="3246" w:type="dxa"/>
            <w:noWrap w:val="0"/>
            <w:vAlign w:val="center"/>
          </w:tcPr>
          <w:p>
            <w:pPr>
              <w:widowControl/>
              <w:spacing w:line="400" w:lineRule="exact"/>
              <w:textAlignment w:val="center"/>
              <w:rPr>
                <w:rFonts w:ascii="仿宋" w:hAnsi="仿宋" w:eastAsia="仿宋"/>
                <w:color w:val="000000"/>
                <w:kern w:val="0"/>
                <w:sz w:val="24"/>
                <w:szCs w:val="24"/>
              </w:rPr>
            </w:pPr>
            <w:r>
              <w:rPr>
                <w:rFonts w:hint="eastAsia" w:ascii="仿宋" w:hAnsi="仿宋" w:eastAsia="仿宋"/>
                <w:kern w:val="0"/>
                <w:sz w:val="24"/>
              </w:rPr>
              <w:t>语音确认参加后</w:t>
            </w:r>
            <w:r>
              <w:rPr>
                <w:rFonts w:hint="eastAsia" w:ascii="仿宋" w:hAnsi="仿宋" w:eastAsia="仿宋"/>
                <w:kern w:val="0"/>
                <w:sz w:val="24"/>
                <w:szCs w:val="24"/>
              </w:rPr>
              <w:t>，不按要求</w:t>
            </w:r>
            <w:r>
              <w:rPr>
                <w:rFonts w:hint="eastAsia" w:ascii="仿宋" w:hAnsi="仿宋" w:eastAsia="仿宋"/>
                <w:kern w:val="0"/>
                <w:sz w:val="24"/>
              </w:rPr>
              <w:t>请假，缺席评标活动</w:t>
            </w:r>
            <w:r>
              <w:rPr>
                <w:rFonts w:hint="eastAsia" w:ascii="仿宋" w:hAnsi="仿宋" w:eastAsia="仿宋"/>
                <w:kern w:val="0"/>
                <w:sz w:val="24"/>
                <w:szCs w:val="24"/>
              </w:rPr>
              <w:t>的，</w:t>
            </w:r>
            <w:r>
              <w:rPr>
                <w:rFonts w:hint="eastAsia" w:ascii="仿宋" w:hAnsi="仿宋" w:eastAsia="仿宋"/>
                <w:kern w:val="0"/>
                <w:sz w:val="24"/>
              </w:rPr>
              <w:t>扣</w:t>
            </w:r>
            <w:r>
              <w:rPr>
                <w:rFonts w:ascii="仿宋" w:hAnsi="仿宋" w:eastAsia="仿宋"/>
                <w:kern w:val="0"/>
                <w:sz w:val="24"/>
              </w:rPr>
              <w:t>50</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w:t>
            </w:r>
          </w:p>
        </w:tc>
        <w:tc>
          <w:tcPr>
            <w:tcW w:w="2048" w:type="dxa"/>
            <w:noWrap w:val="0"/>
            <w:vAlign w:val="center"/>
          </w:tcPr>
          <w:p>
            <w:pPr>
              <w:widowControl/>
              <w:spacing w:line="400" w:lineRule="exact"/>
              <w:jc w:val="center"/>
              <w:textAlignment w:val="center"/>
              <w:rPr>
                <w:rFonts w:ascii="仿宋" w:hAnsi="仿宋" w:eastAsia="仿宋"/>
                <w:kern w:val="0"/>
                <w:sz w:val="24"/>
                <w:szCs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810"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3407" w:type="dxa"/>
            <w:noWrap w:val="0"/>
            <w:vAlign w:val="center"/>
          </w:tcPr>
          <w:p>
            <w:pPr>
              <w:widowControl/>
              <w:spacing w:line="400" w:lineRule="exact"/>
              <w:textAlignment w:val="center"/>
              <w:rPr>
                <w:rFonts w:ascii="仿宋" w:hAnsi="仿宋" w:eastAsia="仿宋"/>
                <w:sz w:val="24"/>
                <w:szCs w:val="24"/>
              </w:rPr>
            </w:pPr>
            <w:r>
              <w:rPr>
                <w:rFonts w:hint="eastAsia" w:ascii="仿宋" w:hAnsi="仿宋" w:eastAsia="仿宋"/>
                <w:kern w:val="0"/>
                <w:sz w:val="24"/>
              </w:rPr>
              <w:t>参加评标活动迟到的</w:t>
            </w:r>
          </w:p>
        </w:tc>
        <w:tc>
          <w:tcPr>
            <w:tcW w:w="3246" w:type="dxa"/>
            <w:noWrap w:val="0"/>
            <w:vAlign w:val="center"/>
          </w:tcPr>
          <w:p>
            <w:pPr>
              <w:widowControl/>
              <w:spacing w:line="400" w:lineRule="exact"/>
              <w:textAlignment w:val="center"/>
              <w:rPr>
                <w:rFonts w:ascii="仿宋" w:hAnsi="仿宋" w:eastAsia="仿宋"/>
                <w:kern w:val="0"/>
                <w:sz w:val="24"/>
                <w:szCs w:val="24"/>
              </w:rPr>
            </w:pPr>
            <w:r>
              <w:rPr>
                <w:rFonts w:hint="eastAsia" w:ascii="仿宋" w:hAnsi="仿宋" w:eastAsia="仿宋"/>
                <w:kern w:val="0"/>
                <w:sz w:val="24"/>
              </w:rPr>
              <w:t>迟到超过</w:t>
            </w:r>
            <w:r>
              <w:rPr>
                <w:rFonts w:ascii="仿宋" w:hAnsi="仿宋" w:eastAsia="仿宋"/>
                <w:kern w:val="0"/>
                <w:sz w:val="24"/>
              </w:rPr>
              <w:t>10</w:t>
            </w:r>
            <w:r>
              <w:rPr>
                <w:rFonts w:hint="eastAsia" w:ascii="仿宋" w:hAnsi="仿宋" w:eastAsia="仿宋"/>
                <w:kern w:val="0"/>
                <w:sz w:val="24"/>
              </w:rPr>
              <w:t>分钟的，扣</w:t>
            </w:r>
            <w:r>
              <w:rPr>
                <w:rFonts w:ascii="仿宋" w:hAnsi="仿宋" w:eastAsia="仿宋"/>
                <w:kern w:val="0"/>
                <w:sz w:val="24"/>
              </w:rPr>
              <w:t>15</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次；迟到超过</w:t>
            </w:r>
            <w:r>
              <w:rPr>
                <w:rFonts w:ascii="仿宋" w:hAnsi="仿宋" w:eastAsia="仿宋"/>
                <w:kern w:val="0"/>
                <w:sz w:val="24"/>
              </w:rPr>
              <w:t>30</w:t>
            </w:r>
            <w:r>
              <w:rPr>
                <w:rFonts w:hint="eastAsia" w:ascii="仿宋" w:hAnsi="仿宋" w:eastAsia="仿宋"/>
                <w:kern w:val="0"/>
                <w:sz w:val="24"/>
              </w:rPr>
              <w:t>分钟以上</w:t>
            </w:r>
            <w:r>
              <w:rPr>
                <w:rFonts w:hint="eastAsia" w:ascii="仿宋" w:hAnsi="仿宋" w:eastAsia="仿宋"/>
                <w:kern w:val="0"/>
                <w:sz w:val="24"/>
                <w:szCs w:val="24"/>
              </w:rPr>
              <w:t>仍参加评标</w:t>
            </w:r>
            <w:r>
              <w:rPr>
                <w:rFonts w:hint="eastAsia" w:ascii="仿宋" w:hAnsi="仿宋" w:eastAsia="仿宋"/>
                <w:kern w:val="0"/>
                <w:sz w:val="24"/>
              </w:rPr>
              <w:t>的，扣</w:t>
            </w:r>
            <w:r>
              <w:rPr>
                <w:rFonts w:ascii="仿宋" w:hAnsi="仿宋" w:eastAsia="仿宋"/>
                <w:kern w:val="0"/>
                <w:sz w:val="24"/>
              </w:rPr>
              <w:t>30</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不按交易场所规定登记录检的</w:t>
            </w:r>
          </w:p>
        </w:tc>
        <w:tc>
          <w:tcPr>
            <w:tcW w:w="3246" w:type="dxa"/>
            <w:noWrap w:val="0"/>
            <w:vAlign w:val="center"/>
          </w:tcPr>
          <w:p>
            <w:pPr>
              <w:widowControl/>
              <w:spacing w:line="400" w:lineRule="exact"/>
              <w:jc w:val="both"/>
              <w:textAlignment w:val="center"/>
              <w:rPr>
                <w:rFonts w:ascii="仿宋" w:hAnsi="仿宋" w:eastAsia="仿宋"/>
                <w:color w:val="000000"/>
                <w:kern w:val="2"/>
                <w:sz w:val="24"/>
              </w:rPr>
            </w:pPr>
            <w:r>
              <w:rPr>
                <w:rFonts w:hint="eastAsia" w:ascii="仿宋" w:hAnsi="仿宋" w:eastAsia="仿宋"/>
                <w:color w:val="000000"/>
                <w:kern w:val="0"/>
                <w:sz w:val="24"/>
              </w:rPr>
              <w:t>扣</w:t>
            </w:r>
            <w:r>
              <w:rPr>
                <w:rFonts w:ascii="仿宋" w:hAnsi="仿宋" w:eastAsia="仿宋"/>
                <w:color w:val="000000"/>
                <w:kern w:val="0"/>
                <w:sz w:val="24"/>
              </w:rPr>
              <w:t>4</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不按规定存放或者私自携带、使用通讯工具、电脑、移动存储设备的</w:t>
            </w:r>
          </w:p>
        </w:tc>
        <w:tc>
          <w:tcPr>
            <w:tcW w:w="3246" w:type="dxa"/>
            <w:noWrap w:val="0"/>
            <w:vAlign w:val="center"/>
          </w:tcPr>
          <w:p>
            <w:pPr>
              <w:widowControl/>
              <w:spacing w:line="400" w:lineRule="exact"/>
              <w:jc w:val="both"/>
              <w:textAlignment w:val="center"/>
              <w:rPr>
                <w:rFonts w:ascii="仿宋" w:hAnsi="仿宋" w:eastAsia="仿宋"/>
                <w:b w:val="0"/>
                <w:bCs w:val="0"/>
                <w:color w:val="000000"/>
                <w:kern w:val="2"/>
                <w:sz w:val="24"/>
              </w:rPr>
            </w:pPr>
            <w:r>
              <w:rPr>
                <w:rFonts w:hint="eastAsia" w:ascii="仿宋" w:hAnsi="仿宋" w:eastAsia="仿宋"/>
                <w:b w:val="0"/>
                <w:bCs w:val="0"/>
                <w:color w:val="000000"/>
                <w:kern w:val="0"/>
                <w:sz w:val="24"/>
              </w:rPr>
              <w:t>不按规定存放或私自携带的扣</w:t>
            </w:r>
            <w:r>
              <w:rPr>
                <w:rFonts w:ascii="仿宋" w:hAnsi="仿宋" w:eastAsia="仿宋"/>
                <w:b w:val="0"/>
                <w:bCs w:val="0"/>
                <w:color w:val="000000"/>
                <w:kern w:val="0"/>
                <w:sz w:val="24"/>
              </w:rPr>
              <w:t>40</w:t>
            </w:r>
            <w:r>
              <w:rPr>
                <w:rStyle w:val="8"/>
                <w:rFonts w:hint="eastAsia" w:ascii="仿宋" w:hAnsi="仿宋" w:eastAsia="仿宋"/>
                <w:b w:val="0"/>
                <w:bCs w:val="0"/>
                <w:kern w:val="0"/>
                <w:sz w:val="24"/>
                <w:szCs w:val="24"/>
              </w:rPr>
              <w:t>分</w:t>
            </w:r>
            <w:r>
              <w:rPr>
                <w:rStyle w:val="8"/>
                <w:rFonts w:ascii="仿宋" w:hAnsi="仿宋" w:eastAsia="仿宋"/>
                <w:b w:val="0"/>
                <w:bCs w:val="0"/>
                <w:kern w:val="0"/>
                <w:sz w:val="24"/>
                <w:szCs w:val="24"/>
              </w:rPr>
              <w:t>/</w:t>
            </w:r>
            <w:r>
              <w:rPr>
                <w:rStyle w:val="8"/>
                <w:rFonts w:hint="eastAsia" w:ascii="仿宋" w:hAnsi="仿宋" w:eastAsia="仿宋"/>
                <w:b w:val="0"/>
                <w:bCs w:val="0"/>
                <w:kern w:val="0"/>
                <w:sz w:val="24"/>
                <w:szCs w:val="24"/>
              </w:rPr>
              <w:t>次，违规使用的扣</w:t>
            </w:r>
            <w:r>
              <w:rPr>
                <w:rFonts w:hint="eastAsia" w:ascii="仿宋" w:hAnsi="仿宋" w:eastAsia="仿宋"/>
                <w:b w:val="0"/>
                <w:bCs w:val="0"/>
                <w:color w:val="000000"/>
                <w:kern w:val="0"/>
                <w:sz w:val="24"/>
                <w:szCs w:val="24"/>
              </w:rPr>
              <w:t>120</w:t>
            </w:r>
            <w:r>
              <w:rPr>
                <w:rStyle w:val="8"/>
                <w:rFonts w:hint="eastAsia" w:ascii="仿宋" w:hAnsi="仿宋" w:eastAsia="仿宋"/>
                <w:b w:val="0"/>
                <w:bCs w:val="0"/>
                <w:kern w:val="0"/>
                <w:sz w:val="24"/>
                <w:szCs w:val="24"/>
              </w:rPr>
              <w:t>分</w:t>
            </w:r>
            <w:r>
              <w:rPr>
                <w:rStyle w:val="8"/>
                <w:rFonts w:ascii="仿宋" w:hAnsi="仿宋" w:eastAsia="仿宋"/>
                <w:b w:val="0"/>
                <w:bCs w:val="0"/>
                <w:kern w:val="0"/>
                <w:sz w:val="24"/>
                <w:szCs w:val="24"/>
              </w:rPr>
              <w:t>/</w:t>
            </w:r>
            <w:r>
              <w:rPr>
                <w:rStyle w:val="8"/>
                <w:rFonts w:hint="eastAsia" w:ascii="仿宋" w:hAnsi="仿宋" w:eastAsia="仿宋"/>
                <w:b w:val="0"/>
                <w:bCs w:val="0"/>
                <w:kern w:val="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49"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未经允许随意进出评标区或其他评标室的</w:t>
            </w:r>
          </w:p>
        </w:tc>
        <w:tc>
          <w:tcPr>
            <w:tcW w:w="3246" w:type="dxa"/>
            <w:noWrap w:val="0"/>
            <w:vAlign w:val="center"/>
          </w:tcPr>
          <w:p>
            <w:pPr>
              <w:widowControl/>
              <w:spacing w:line="400" w:lineRule="exact"/>
              <w:jc w:val="both"/>
              <w:textAlignment w:val="center"/>
              <w:rPr>
                <w:rFonts w:ascii="仿宋" w:hAnsi="仿宋" w:eastAsia="仿宋"/>
                <w:b w:val="0"/>
                <w:bCs w:val="0"/>
                <w:color w:val="000000"/>
                <w:kern w:val="2"/>
                <w:sz w:val="24"/>
              </w:rPr>
            </w:pPr>
            <w:r>
              <w:rPr>
                <w:rFonts w:hint="eastAsia" w:ascii="仿宋" w:hAnsi="仿宋" w:eastAsia="仿宋"/>
                <w:b w:val="0"/>
                <w:bCs w:val="0"/>
                <w:color w:val="000000"/>
                <w:kern w:val="0"/>
                <w:sz w:val="24"/>
              </w:rPr>
              <w:t>扣</w:t>
            </w:r>
            <w:r>
              <w:rPr>
                <w:rFonts w:hint="eastAsia" w:ascii="仿宋" w:hAnsi="仿宋" w:eastAsia="仿宋"/>
                <w:b w:val="0"/>
                <w:bCs w:val="0"/>
                <w:color w:val="000000"/>
                <w:kern w:val="0"/>
                <w:sz w:val="24"/>
                <w:szCs w:val="24"/>
              </w:rPr>
              <w:t>100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81"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sz w:val="24"/>
                <w:szCs w:val="24"/>
              </w:rPr>
            </w:pPr>
            <w:r>
              <w:rPr>
                <w:rFonts w:hint="eastAsia" w:ascii="仿宋" w:hAnsi="仿宋" w:eastAsia="仿宋"/>
                <w:b w:val="0"/>
                <w:bCs w:val="0"/>
                <w:spacing w:val="-6"/>
                <w:kern w:val="0"/>
                <w:sz w:val="24"/>
              </w:rPr>
              <w:t>在评标室做与评标工作无关的事情</w:t>
            </w:r>
          </w:p>
        </w:tc>
        <w:tc>
          <w:tcPr>
            <w:tcW w:w="3246" w:type="dxa"/>
            <w:noWrap w:val="0"/>
            <w:vAlign w:val="center"/>
          </w:tcPr>
          <w:p>
            <w:pPr>
              <w:widowControl/>
              <w:spacing w:line="400" w:lineRule="exact"/>
              <w:textAlignment w:val="center"/>
              <w:rPr>
                <w:rFonts w:ascii="仿宋" w:hAnsi="仿宋" w:eastAsia="仿宋"/>
                <w:b w:val="0"/>
                <w:bCs w:val="0"/>
                <w:kern w:val="0"/>
                <w:sz w:val="24"/>
                <w:szCs w:val="24"/>
              </w:rPr>
            </w:pPr>
            <w:r>
              <w:rPr>
                <w:rFonts w:hint="eastAsia" w:ascii="仿宋" w:hAnsi="仿宋" w:eastAsia="仿宋"/>
                <w:b w:val="0"/>
                <w:bCs w:val="0"/>
                <w:kern w:val="0"/>
                <w:sz w:val="24"/>
              </w:rPr>
              <w:t>扣</w:t>
            </w:r>
            <w:r>
              <w:rPr>
                <w:rFonts w:ascii="仿宋" w:hAnsi="仿宋" w:eastAsia="仿宋"/>
                <w:b w:val="0"/>
                <w:bCs w:val="0"/>
                <w:kern w:val="0"/>
                <w:sz w:val="24"/>
              </w:rPr>
              <w:t>40</w:t>
            </w:r>
            <w:r>
              <w:rPr>
                <w:rFonts w:hint="eastAsia" w:ascii="仿宋" w:hAnsi="仿宋" w:eastAsia="仿宋"/>
                <w:b w:val="0"/>
                <w:bCs w:val="0"/>
                <w:kern w:val="0"/>
                <w:sz w:val="24"/>
              </w:rPr>
              <w:t>分</w:t>
            </w:r>
            <w:r>
              <w:rPr>
                <w:rFonts w:ascii="仿宋" w:hAnsi="仿宋" w:eastAsia="仿宋"/>
                <w:b w:val="0"/>
                <w:bCs w:val="0"/>
                <w:kern w:val="0"/>
                <w:sz w:val="24"/>
              </w:rPr>
              <w:t>/</w:t>
            </w:r>
            <w:r>
              <w:rPr>
                <w:rFonts w:hint="eastAsia" w:ascii="仿宋" w:hAnsi="仿宋" w:eastAsia="仿宋"/>
                <w:b w:val="0"/>
                <w:bCs w:val="0"/>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left"/>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在评标区大声喧哗吵闹，经劝阻拒不改正的</w:t>
            </w:r>
          </w:p>
        </w:tc>
        <w:tc>
          <w:tcPr>
            <w:tcW w:w="3246"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扣</w:t>
            </w:r>
            <w:r>
              <w:rPr>
                <w:rFonts w:ascii="仿宋" w:hAnsi="仿宋" w:eastAsia="仿宋"/>
                <w:b w:val="0"/>
                <w:bCs w:val="0"/>
                <w:color w:val="000000"/>
                <w:kern w:val="0"/>
                <w:sz w:val="24"/>
              </w:rPr>
              <w:t>50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left"/>
              <w:rPr>
                <w:rFonts w:ascii="仿宋" w:hAnsi="仿宋" w:eastAsia="仿宋"/>
                <w:b w:val="0"/>
                <w:bCs w:val="0"/>
                <w:sz w:val="24"/>
                <w:szCs w:val="24"/>
              </w:rPr>
            </w:pPr>
            <w:r>
              <w:rPr>
                <w:rFonts w:hint="eastAsia" w:ascii="仿宋" w:hAnsi="仿宋" w:eastAsia="仿宋"/>
                <w:b w:val="0"/>
                <w:bCs w:val="0"/>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以暴力、胁迫、辱骂或其他手段扰乱正常评标工作秩序的</w:t>
            </w:r>
          </w:p>
        </w:tc>
        <w:tc>
          <w:tcPr>
            <w:tcW w:w="3246"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扣</w:t>
            </w:r>
            <w:r>
              <w:rPr>
                <w:rFonts w:hint="eastAsia" w:ascii="仿宋" w:hAnsi="仿宋" w:eastAsia="仿宋"/>
                <w:b w:val="0"/>
                <w:bCs w:val="0"/>
                <w:color w:val="000000"/>
                <w:kern w:val="0"/>
                <w:sz w:val="24"/>
                <w:szCs w:val="24"/>
              </w:rPr>
              <w:t>120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sz w:val="24"/>
                <w:szCs w:val="24"/>
              </w:rPr>
            </w:pPr>
            <w:r>
              <w:rPr>
                <w:rFonts w:hint="eastAsia" w:ascii="仿宋" w:hAnsi="仿宋" w:eastAsia="仿宋"/>
                <w:b w:val="0"/>
                <w:bCs w:val="0"/>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spacing w:val="-6"/>
                <w:kern w:val="0"/>
                <w:sz w:val="24"/>
                <w:szCs w:val="24"/>
              </w:rPr>
            </w:pPr>
            <w:r>
              <w:rPr>
                <w:rFonts w:hint="eastAsia" w:ascii="仿宋" w:hAnsi="仿宋" w:eastAsia="仿宋"/>
                <w:b w:val="0"/>
                <w:bCs w:val="0"/>
                <w:color w:val="000000"/>
                <w:spacing w:val="-6"/>
                <w:kern w:val="0"/>
                <w:sz w:val="24"/>
                <w:szCs w:val="24"/>
              </w:rPr>
              <w:t>将评标过程中涉及的资料、数据等信息带离评标区域的</w:t>
            </w:r>
          </w:p>
        </w:tc>
        <w:tc>
          <w:tcPr>
            <w:tcW w:w="3246" w:type="dxa"/>
            <w:noWrap w:val="0"/>
            <w:vAlign w:val="center"/>
          </w:tcPr>
          <w:p>
            <w:pPr>
              <w:widowControl/>
              <w:spacing w:line="400" w:lineRule="exact"/>
              <w:textAlignment w:val="center"/>
              <w:rPr>
                <w:rFonts w:ascii="仿宋" w:hAnsi="仿宋" w:eastAsia="仿宋"/>
                <w:b w:val="0"/>
                <w:bCs w:val="0"/>
                <w:color w:val="000000"/>
                <w:kern w:val="0"/>
                <w:sz w:val="24"/>
                <w:szCs w:val="24"/>
              </w:rPr>
            </w:pPr>
            <w:r>
              <w:rPr>
                <w:rFonts w:hint="eastAsia" w:ascii="仿宋" w:hAnsi="仿宋" w:eastAsia="仿宋"/>
                <w:b w:val="0"/>
                <w:bCs w:val="0"/>
                <w:color w:val="000000"/>
                <w:kern w:val="0"/>
                <w:sz w:val="24"/>
              </w:rPr>
              <w:t>扣</w:t>
            </w:r>
            <w:r>
              <w:rPr>
                <w:rFonts w:ascii="仿宋" w:hAnsi="仿宋" w:eastAsia="仿宋"/>
                <w:b w:val="0"/>
                <w:bCs w:val="0"/>
                <w:color w:val="000000"/>
                <w:kern w:val="0"/>
                <w:sz w:val="24"/>
              </w:rPr>
              <w:t>1</w:t>
            </w:r>
            <w:r>
              <w:rPr>
                <w:rFonts w:hint="eastAsia" w:ascii="仿宋" w:hAnsi="仿宋" w:eastAsia="仿宋"/>
                <w:b w:val="0"/>
                <w:bCs w:val="0"/>
                <w:color w:val="000000"/>
                <w:kern w:val="0"/>
                <w:sz w:val="24"/>
                <w:szCs w:val="24"/>
              </w:rPr>
              <w:t>2</w:t>
            </w:r>
            <w:r>
              <w:rPr>
                <w:rFonts w:ascii="仿宋" w:hAnsi="仿宋" w:eastAsia="仿宋"/>
                <w:b w:val="0"/>
                <w:bCs w:val="0"/>
                <w:color w:val="000000"/>
                <w:kern w:val="0"/>
                <w:sz w:val="24"/>
              </w:rPr>
              <w:t>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sz w:val="24"/>
                <w:szCs w:val="24"/>
              </w:rPr>
            </w:pPr>
            <w:r>
              <w:rPr>
                <w:rFonts w:hint="eastAsia" w:ascii="仿宋" w:hAnsi="仿宋" w:eastAsia="仿宋"/>
                <w:b w:val="0"/>
                <w:bCs w:val="0"/>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kern w:val="0"/>
                <w:sz w:val="24"/>
                <w:szCs w:val="24"/>
              </w:rPr>
            </w:pPr>
            <w:r>
              <w:rPr>
                <w:rFonts w:hint="eastAsia" w:ascii="仿宋" w:hAnsi="仿宋" w:eastAsia="仿宋"/>
                <w:b w:val="0"/>
                <w:bCs w:val="0"/>
                <w:color w:val="000000"/>
                <w:kern w:val="0"/>
                <w:sz w:val="24"/>
                <w:szCs w:val="24"/>
              </w:rPr>
              <w:t>评标结束后，互相留存联系方式的</w:t>
            </w:r>
          </w:p>
        </w:tc>
        <w:tc>
          <w:tcPr>
            <w:tcW w:w="3246"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扣</w:t>
            </w:r>
            <w:r>
              <w:rPr>
                <w:rFonts w:hint="eastAsia" w:ascii="仿宋" w:hAnsi="仿宋" w:eastAsia="仿宋"/>
                <w:b w:val="0"/>
                <w:bCs w:val="0"/>
                <w:color w:val="000000"/>
                <w:kern w:val="0"/>
                <w:sz w:val="24"/>
                <w:szCs w:val="24"/>
              </w:rPr>
              <w:t>5</w:t>
            </w:r>
            <w:r>
              <w:rPr>
                <w:rFonts w:ascii="仿宋" w:hAnsi="仿宋" w:eastAsia="仿宋"/>
                <w:b w:val="0"/>
                <w:bCs w:val="0"/>
                <w:color w:val="000000"/>
                <w:kern w:val="0"/>
                <w:sz w:val="24"/>
              </w:rPr>
              <w:t>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sz w:val="24"/>
                <w:szCs w:val="24"/>
              </w:rPr>
            </w:pPr>
            <w:r>
              <w:rPr>
                <w:rFonts w:hint="eastAsia" w:ascii="仿宋" w:hAnsi="仿宋" w:eastAsia="仿宋"/>
                <w:b w:val="0"/>
                <w:bCs w:val="0"/>
                <w:color w:val="000000"/>
                <w:kern w:val="0"/>
                <w:sz w:val="24"/>
              </w:rPr>
              <w:t>行政监督部门</w:t>
            </w:r>
            <w:r>
              <w:rPr>
                <w:rFonts w:hint="eastAsia" w:ascii="仿宋" w:hAnsi="仿宋" w:eastAsia="仿宋"/>
                <w:b w:val="0"/>
                <w:bCs w:val="0"/>
                <w:color w:val="000000"/>
                <w:kern w:val="0"/>
                <w:sz w:val="24"/>
                <w:szCs w:val="24"/>
              </w:rPr>
              <w:t>、招标投标（</w:t>
            </w:r>
            <w:r>
              <w:rPr>
                <w:rFonts w:hint="eastAsia" w:ascii="仿宋" w:hAnsi="仿宋" w:eastAsia="仿宋"/>
                <w:b w:val="0"/>
                <w:bCs w:val="0"/>
                <w:color w:val="000000"/>
                <w:kern w:val="0"/>
                <w:sz w:val="24"/>
              </w:rPr>
              <w:t>公共资源</w:t>
            </w:r>
            <w:r>
              <w:rPr>
                <w:rFonts w:hint="eastAsia" w:ascii="仿宋" w:hAnsi="仿宋" w:eastAsia="仿宋"/>
                <w:b w:val="0"/>
                <w:bCs w:val="0"/>
                <w:color w:val="000000"/>
                <w:kern w:val="0"/>
                <w:sz w:val="24"/>
                <w:szCs w:val="24"/>
              </w:rPr>
              <w:t>）</w:t>
            </w:r>
            <w:r>
              <w:rPr>
                <w:rFonts w:hint="eastAsia" w:ascii="仿宋" w:hAnsi="仿宋" w:eastAsia="仿宋"/>
                <w:b w:val="0"/>
                <w:bCs w:val="0"/>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52"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spacing w:val="-6"/>
                <w:kern w:val="0"/>
                <w:sz w:val="24"/>
              </w:rPr>
              <w:t>其他不遵守当地交易场所评标区管理制度或者不服从当地行政部门和交易场所管理人员管理的行为</w:t>
            </w:r>
          </w:p>
        </w:tc>
        <w:tc>
          <w:tcPr>
            <w:tcW w:w="3246" w:type="dxa"/>
            <w:noWrap w:val="0"/>
            <w:vAlign w:val="center"/>
          </w:tcPr>
          <w:p>
            <w:pPr>
              <w:widowControl/>
              <w:spacing w:line="400" w:lineRule="exact"/>
              <w:jc w:val="both"/>
              <w:textAlignment w:val="center"/>
              <w:rPr>
                <w:rFonts w:ascii="仿宋" w:hAnsi="仿宋" w:eastAsia="仿宋"/>
                <w:b w:val="0"/>
                <w:bCs w:val="0"/>
                <w:color w:val="000000"/>
                <w:kern w:val="2"/>
                <w:sz w:val="24"/>
              </w:rPr>
            </w:pPr>
            <w:r>
              <w:rPr>
                <w:rFonts w:hint="eastAsia" w:ascii="仿宋" w:hAnsi="仿宋" w:eastAsia="仿宋"/>
                <w:b w:val="0"/>
                <w:bCs w:val="0"/>
                <w:color w:val="000000"/>
                <w:kern w:val="0"/>
                <w:sz w:val="24"/>
              </w:rPr>
              <w:t>扣</w:t>
            </w:r>
            <w:r>
              <w:rPr>
                <w:rFonts w:hint="eastAsia" w:ascii="仿宋" w:hAnsi="仿宋" w:eastAsia="仿宋"/>
                <w:b w:val="0"/>
                <w:bCs w:val="0"/>
                <w:kern w:val="0"/>
                <w:sz w:val="24"/>
                <w:szCs w:val="24"/>
              </w:rPr>
              <w:t>30</w:t>
            </w:r>
            <w:r>
              <w:rPr>
                <w:rStyle w:val="8"/>
                <w:rFonts w:hint="eastAsia" w:ascii="仿宋" w:hAnsi="仿宋" w:eastAsia="仿宋" w:cs="仿宋_GB2312"/>
                <w:b w:val="0"/>
                <w:bCs w:val="0"/>
                <w:color w:val="000000"/>
                <w:sz w:val="24"/>
                <w:szCs w:val="24"/>
              </w:rPr>
              <w:t>分</w:t>
            </w:r>
            <w:r>
              <w:rPr>
                <w:rFonts w:ascii="仿宋" w:hAnsi="仿宋" w:eastAsia="仿宋" w:cs="仿宋_GB2312"/>
                <w:b w:val="0"/>
                <w:bCs w:val="0"/>
                <w:color w:val="000000"/>
                <w:sz w:val="24"/>
                <w:szCs w:val="24"/>
                <w:lang w:val="en"/>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color w:val="000000"/>
                <w:sz w:val="24"/>
              </w:rPr>
            </w:pPr>
            <w:r>
              <w:rPr>
                <w:rFonts w:hint="eastAsia" w:ascii="仿宋" w:hAnsi="仿宋" w:eastAsia="仿宋"/>
                <w:b w:val="0"/>
                <w:bCs w:val="0"/>
                <w:color w:val="000000"/>
                <w:kern w:val="0"/>
                <w:sz w:val="24"/>
              </w:rPr>
              <w:t>行政监督部门</w:t>
            </w:r>
            <w:r>
              <w:rPr>
                <w:rFonts w:hint="eastAsia" w:ascii="仿宋" w:hAnsi="仿宋" w:eastAsia="仿宋"/>
                <w:b w:val="0"/>
                <w:bCs w:val="0"/>
                <w:color w:val="000000"/>
                <w:kern w:val="0"/>
                <w:sz w:val="24"/>
                <w:szCs w:val="24"/>
              </w:rPr>
              <w:t>、招标投标（</w:t>
            </w:r>
            <w:r>
              <w:rPr>
                <w:rFonts w:hint="eastAsia" w:ascii="仿宋" w:hAnsi="仿宋" w:eastAsia="仿宋"/>
                <w:b w:val="0"/>
                <w:bCs w:val="0"/>
                <w:color w:val="000000"/>
                <w:kern w:val="0"/>
                <w:sz w:val="24"/>
              </w:rPr>
              <w:t>公共资源</w:t>
            </w:r>
            <w:r>
              <w:rPr>
                <w:rFonts w:hint="eastAsia" w:ascii="仿宋" w:hAnsi="仿宋" w:eastAsia="仿宋"/>
                <w:b w:val="0"/>
                <w:bCs w:val="0"/>
                <w:color w:val="000000"/>
                <w:kern w:val="0"/>
                <w:sz w:val="24"/>
                <w:szCs w:val="24"/>
              </w:rPr>
              <w:t>）</w:t>
            </w:r>
            <w:r>
              <w:rPr>
                <w:rFonts w:hint="eastAsia" w:ascii="仿宋" w:hAnsi="仿宋" w:eastAsia="仿宋"/>
                <w:b w:val="0"/>
                <w:bCs w:val="0"/>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restart"/>
            <w:noWrap w:val="0"/>
            <w:vAlign w:val="center"/>
          </w:tcPr>
          <w:p>
            <w:pPr>
              <w:widowControl/>
              <w:spacing w:line="400" w:lineRule="exact"/>
              <w:jc w:val="center"/>
              <w:rPr>
                <w:rFonts w:ascii="仿宋" w:hAnsi="仿宋" w:eastAsia="仿宋"/>
                <w:b/>
                <w:color w:val="000000"/>
                <w:sz w:val="24"/>
              </w:rPr>
            </w:pPr>
            <w:r>
              <w:rPr>
                <w:rFonts w:hint="eastAsia" w:ascii="仿宋" w:hAnsi="仿宋" w:eastAsia="仿宋"/>
                <w:b/>
                <w:color w:val="000000"/>
                <w:kern w:val="0"/>
                <w:sz w:val="24"/>
              </w:rPr>
              <w:t>履职能力</w:t>
            </w:r>
          </w:p>
        </w:tc>
        <w:tc>
          <w:tcPr>
            <w:tcW w:w="786"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500</w:t>
            </w:r>
          </w:p>
        </w:tc>
        <w:tc>
          <w:tcPr>
            <w:tcW w:w="809"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职业道德</w:t>
            </w:r>
          </w:p>
        </w:tc>
        <w:tc>
          <w:tcPr>
            <w:tcW w:w="810" w:type="dxa"/>
            <w:vMerge w:val="restart"/>
            <w:noWrap w:val="0"/>
            <w:vAlign w:val="center"/>
          </w:tcPr>
          <w:p>
            <w:pPr>
              <w:widowControl/>
              <w:spacing w:line="400" w:lineRule="exact"/>
              <w:jc w:val="center"/>
              <w:rPr>
                <w:rFonts w:ascii="仿宋" w:hAnsi="仿宋" w:eastAsia="仿宋"/>
                <w:color w:val="000000"/>
                <w:sz w:val="24"/>
              </w:rPr>
            </w:pPr>
            <w:r>
              <w:rPr>
                <w:rFonts w:ascii="仿宋" w:hAnsi="仿宋" w:eastAsia="仿宋"/>
                <w:kern w:val="0"/>
                <w:sz w:val="24"/>
              </w:rPr>
              <w:t>150</w:t>
            </w: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kern w:val="0"/>
                <w:sz w:val="24"/>
                <w:szCs w:val="24"/>
              </w:rPr>
              <w:t>对按标准发放的评标劳务报酬不满，</w:t>
            </w:r>
            <w:r>
              <w:rPr>
                <w:rFonts w:hint="eastAsia" w:ascii="仿宋" w:hAnsi="仿宋" w:eastAsia="仿宋"/>
                <w:color w:val="000000"/>
                <w:kern w:val="0"/>
                <w:sz w:val="24"/>
              </w:rPr>
              <w:t>索要超过标准的劳务报酬或者索要合法劳务报酬外好处财物</w:t>
            </w:r>
            <w:r>
              <w:rPr>
                <w:rFonts w:hint="eastAsia" w:ascii="仿宋" w:hAnsi="仿宋" w:eastAsia="仿宋"/>
                <w:color w:val="000000"/>
                <w:kern w:val="0"/>
                <w:sz w:val="24"/>
                <w:szCs w:val="24"/>
              </w:rPr>
              <w:t>的</w:t>
            </w:r>
          </w:p>
        </w:tc>
        <w:tc>
          <w:tcPr>
            <w:tcW w:w="3246" w:type="dxa"/>
            <w:noWrap w:val="0"/>
            <w:vAlign w:val="center"/>
          </w:tcPr>
          <w:p>
            <w:pPr>
              <w:widowControl/>
              <w:spacing w:line="400" w:lineRule="exact"/>
              <w:jc w:val="both"/>
              <w:textAlignment w:val="center"/>
              <w:rPr>
                <w:rFonts w:ascii="仿宋" w:hAnsi="仿宋" w:eastAsia="仿宋"/>
                <w:color w:val="000000"/>
                <w:kern w:val="2"/>
                <w:sz w:val="24"/>
              </w:rPr>
            </w:pPr>
            <w:r>
              <w:rPr>
                <w:rFonts w:hint="eastAsia" w:ascii="仿宋" w:hAnsi="仿宋" w:eastAsia="仿宋"/>
                <w:color w:val="000000"/>
                <w:kern w:val="0"/>
                <w:sz w:val="24"/>
              </w:rPr>
              <w:t>扣</w:t>
            </w:r>
            <w:r>
              <w:rPr>
                <w:rFonts w:ascii="仿宋" w:hAnsi="仿宋" w:eastAsia="仿宋"/>
                <w:color w:val="000000"/>
                <w:kern w:val="0"/>
                <w:sz w:val="24"/>
              </w:rPr>
              <w:t>8</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kern w:val="0"/>
                <w:sz w:val="24"/>
                <w:szCs w:val="24"/>
              </w:rPr>
              <w:t>评标结束前，提出评标劳务报酬诉求，或者</w:t>
            </w:r>
            <w:r>
              <w:rPr>
                <w:rFonts w:hint="eastAsia" w:ascii="仿宋" w:hAnsi="仿宋" w:eastAsia="仿宋"/>
                <w:b w:val="0"/>
                <w:bCs/>
                <w:color w:val="000000"/>
                <w:kern w:val="0"/>
                <w:sz w:val="24"/>
              </w:rPr>
              <w:t>因劳务报酬怠于履行评标义务的</w:t>
            </w:r>
          </w:p>
        </w:tc>
        <w:tc>
          <w:tcPr>
            <w:tcW w:w="3246"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100</w:t>
            </w:r>
            <w:r>
              <w:rPr>
                <w:rStyle w:val="8"/>
                <w:rFonts w:hint="eastAsia" w:ascii="仿宋" w:hAnsi="仿宋" w:eastAsia="仿宋" w:cs="仿宋_GB2312"/>
                <w:bCs/>
                <w:color w:val="000000"/>
                <w:sz w:val="24"/>
                <w:szCs w:val="24"/>
              </w:rPr>
              <w:t>分</w:t>
            </w:r>
            <w:r>
              <w:rPr>
                <w:rStyle w:val="8"/>
                <w:rFonts w:ascii="仿宋" w:hAnsi="仿宋" w:eastAsia="仿宋" w:cs="仿宋_GB2312"/>
                <w:bCs/>
                <w:color w:val="000000"/>
                <w:sz w:val="24"/>
                <w:szCs w:val="24"/>
              </w:rPr>
              <w:t>/</w:t>
            </w:r>
            <w:r>
              <w:rPr>
                <w:rStyle w:val="8"/>
                <w:rFonts w:hint="eastAsia" w:ascii="仿宋" w:hAnsi="仿宋" w:eastAsia="仿宋" w:cs="仿宋_GB2312"/>
                <w:bCs/>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kern w:val="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szCs w:val="24"/>
              </w:rPr>
            </w:pPr>
          </w:p>
        </w:tc>
        <w:tc>
          <w:tcPr>
            <w:tcW w:w="786" w:type="dxa"/>
            <w:vMerge w:val="continue"/>
            <w:noWrap w:val="0"/>
            <w:vAlign w:val="center"/>
          </w:tcPr>
          <w:p>
            <w:pPr>
              <w:widowControl/>
              <w:spacing w:line="400" w:lineRule="exact"/>
              <w:jc w:val="center"/>
              <w:rPr>
                <w:rFonts w:ascii="仿宋" w:hAnsi="仿宋" w:eastAsia="仿宋"/>
                <w:color w:val="000000"/>
                <w:sz w:val="24"/>
                <w:szCs w:val="24"/>
              </w:rPr>
            </w:pPr>
          </w:p>
        </w:tc>
        <w:tc>
          <w:tcPr>
            <w:tcW w:w="809" w:type="dxa"/>
            <w:vMerge w:val="continue"/>
            <w:noWrap w:val="0"/>
            <w:vAlign w:val="center"/>
          </w:tcPr>
          <w:p>
            <w:pPr>
              <w:widowControl/>
              <w:spacing w:line="400" w:lineRule="exact"/>
              <w:jc w:val="center"/>
              <w:rPr>
                <w:rFonts w:ascii="仿宋" w:hAnsi="仿宋" w:eastAsia="仿宋"/>
                <w:color w:val="00000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textAlignment w:val="center"/>
              <w:rPr>
                <w:rFonts w:ascii="仿宋" w:hAnsi="仿宋" w:eastAsia="仿宋"/>
                <w:b w:val="0"/>
                <w:bCs/>
                <w:kern w:val="0"/>
                <w:sz w:val="24"/>
                <w:szCs w:val="24"/>
              </w:rPr>
            </w:pPr>
            <w:r>
              <w:rPr>
                <w:rFonts w:hint="eastAsia" w:ascii="仿宋" w:hAnsi="仿宋" w:eastAsia="仿宋"/>
                <w:b w:val="0"/>
                <w:bCs/>
                <w:color w:val="000000"/>
                <w:kern w:val="0"/>
                <w:sz w:val="24"/>
              </w:rPr>
              <w:t>不</w:t>
            </w:r>
            <w:r>
              <w:rPr>
                <w:rFonts w:hint="eastAsia" w:ascii="仿宋" w:hAnsi="仿宋" w:eastAsia="仿宋"/>
                <w:b w:val="0"/>
                <w:bCs/>
                <w:color w:val="000000"/>
                <w:kern w:val="0"/>
                <w:sz w:val="24"/>
                <w:szCs w:val="24"/>
              </w:rPr>
              <w:t>配合招标人处理评标结果的异议</w:t>
            </w:r>
          </w:p>
        </w:tc>
        <w:tc>
          <w:tcPr>
            <w:tcW w:w="3246" w:type="dxa"/>
            <w:noWrap w:val="0"/>
            <w:vAlign w:val="center"/>
          </w:tcPr>
          <w:p>
            <w:pPr>
              <w:widowControl/>
              <w:spacing w:line="400" w:lineRule="exact"/>
              <w:textAlignment w:val="center"/>
              <w:rPr>
                <w:rFonts w:ascii="仿宋" w:hAnsi="仿宋" w:eastAsia="仿宋"/>
                <w:b w:val="0"/>
                <w:bCs/>
                <w:color w:val="000000"/>
                <w:kern w:val="0"/>
                <w:sz w:val="24"/>
                <w:szCs w:val="24"/>
              </w:rPr>
            </w:pPr>
          </w:p>
          <w:p>
            <w:pPr>
              <w:widowControl/>
              <w:spacing w:line="400" w:lineRule="exact"/>
              <w:textAlignment w:val="center"/>
              <w:rPr>
                <w:rFonts w:ascii="仿宋" w:hAnsi="仿宋" w:eastAsia="仿宋"/>
                <w:b w:val="0"/>
                <w:bCs/>
                <w:color w:val="000000"/>
                <w:kern w:val="0"/>
                <w:sz w:val="24"/>
                <w:szCs w:val="24"/>
              </w:rPr>
            </w:pPr>
          </w:p>
          <w:p>
            <w:pPr>
              <w:widowControl/>
              <w:spacing w:line="400" w:lineRule="exact"/>
              <w:textAlignment w:val="center"/>
              <w:rPr>
                <w:rFonts w:ascii="仿宋" w:hAnsi="仿宋" w:eastAsia="仿宋" w:cs="仿宋_GB2312"/>
                <w:b w:val="0"/>
                <w:bCs/>
                <w:color w:val="000000"/>
                <w:sz w:val="24"/>
                <w:szCs w:val="24"/>
              </w:rPr>
            </w:pP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40</w:t>
            </w:r>
            <w:r>
              <w:rPr>
                <w:rStyle w:val="8"/>
                <w:rFonts w:hint="eastAsia" w:ascii="仿宋" w:hAnsi="仿宋" w:eastAsia="仿宋" w:cs="仿宋_GB2312"/>
                <w:bCs/>
                <w:color w:val="000000"/>
                <w:sz w:val="24"/>
                <w:szCs w:val="24"/>
              </w:rPr>
              <w:t>分</w:t>
            </w:r>
            <w:r>
              <w:rPr>
                <w:rStyle w:val="8"/>
                <w:rFonts w:ascii="仿宋" w:hAnsi="仿宋" w:eastAsia="仿宋" w:cs="仿宋_GB2312"/>
                <w:bCs/>
                <w:color w:val="000000"/>
                <w:sz w:val="24"/>
                <w:szCs w:val="24"/>
              </w:rPr>
              <w:t>/</w:t>
            </w:r>
            <w:r>
              <w:rPr>
                <w:rStyle w:val="8"/>
                <w:rFonts w:hint="eastAsia" w:ascii="仿宋" w:hAnsi="仿宋" w:eastAsia="仿宋" w:cs="仿宋_GB2312"/>
                <w:bCs/>
                <w:color w:val="000000"/>
                <w:sz w:val="24"/>
                <w:szCs w:val="24"/>
              </w:rPr>
              <w:t>次</w:t>
            </w:r>
          </w:p>
          <w:p>
            <w:pPr>
              <w:spacing w:line="400" w:lineRule="exact"/>
              <w:rPr>
                <w:rFonts w:ascii="仿宋" w:hAnsi="仿宋" w:eastAsia="仿宋"/>
                <w:bCs/>
                <w:color w:val="auto"/>
                <w:sz w:val="21"/>
              </w:rPr>
            </w:pPr>
          </w:p>
        </w:tc>
        <w:tc>
          <w:tcPr>
            <w:tcW w:w="2048" w:type="dxa"/>
            <w:noWrap w:val="0"/>
            <w:vAlign w:val="center"/>
          </w:tcPr>
          <w:p>
            <w:pPr>
              <w:widowControl/>
              <w:spacing w:line="400" w:lineRule="exact"/>
              <w:jc w:val="center"/>
              <w:textAlignment w:val="center"/>
              <w:rPr>
                <w:rFonts w:ascii="仿宋" w:hAnsi="仿宋" w:eastAsia="仿宋"/>
                <w:color w:val="000000"/>
                <w:kern w:val="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szCs w:val="24"/>
              </w:rPr>
            </w:pPr>
            <w:r>
              <w:rPr>
                <w:rFonts w:ascii="仿宋" w:hAnsi="仿宋" w:eastAsia="仿宋"/>
                <w:color w:val="000000"/>
                <w:sz w:val="24"/>
                <w:szCs w:val="24"/>
              </w:rPr>
              <w:t>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1"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Cs/>
                <w:color w:val="000000"/>
                <w:kern w:val="0"/>
                <w:sz w:val="24"/>
              </w:rPr>
              <w:t>拒绝接受或者阻挠招标投</w:t>
            </w:r>
            <w:r>
              <w:rPr>
                <w:rFonts w:hint="eastAsia" w:ascii="仿宋" w:hAnsi="仿宋" w:eastAsia="仿宋"/>
                <w:b w:val="0"/>
                <w:bCs/>
                <w:color w:val="000000"/>
                <w:kern w:val="0"/>
                <w:sz w:val="24"/>
                <w:szCs w:val="24"/>
              </w:rPr>
              <w:t>主管部门</w:t>
            </w:r>
            <w:r>
              <w:rPr>
                <w:rFonts w:hint="eastAsia" w:ascii="仿宋" w:hAnsi="仿宋" w:eastAsia="仿宋"/>
                <w:bCs/>
                <w:color w:val="000000"/>
                <w:kern w:val="0"/>
                <w:sz w:val="24"/>
              </w:rPr>
              <w:t>及相关行政执法部门监督和执法调查的</w:t>
            </w:r>
            <w:r>
              <w:rPr>
                <w:rFonts w:hint="eastAsia" w:ascii="仿宋" w:hAnsi="仿宋" w:eastAsia="仿宋"/>
                <w:b w:val="0"/>
                <w:bCs/>
                <w:color w:val="000000"/>
                <w:kern w:val="0"/>
                <w:sz w:val="24"/>
                <w:szCs w:val="24"/>
              </w:rPr>
              <w:t>，</w:t>
            </w:r>
            <w:r>
              <w:rPr>
                <w:rFonts w:hint="eastAsia" w:ascii="仿宋" w:hAnsi="仿宋" w:eastAsia="仿宋"/>
                <w:bCs/>
                <w:color w:val="000000"/>
                <w:kern w:val="0"/>
                <w:sz w:val="24"/>
              </w:rPr>
              <w:t>或者在接受调查过程中不如实陈述、提供虚假材料的</w:t>
            </w:r>
          </w:p>
        </w:tc>
        <w:tc>
          <w:tcPr>
            <w:tcW w:w="3246" w:type="dxa"/>
            <w:noWrap w:val="0"/>
            <w:vAlign w:val="center"/>
          </w:tcPr>
          <w:p>
            <w:pPr>
              <w:widowControl/>
              <w:spacing w:line="400" w:lineRule="exact"/>
              <w:textAlignment w:val="center"/>
              <w:rPr>
                <w:rFonts w:ascii="仿宋" w:hAnsi="仿宋" w:eastAsia="仿宋"/>
                <w:b w:val="0"/>
                <w:bCs/>
                <w:color w:val="000000"/>
                <w:kern w:val="0"/>
                <w:sz w:val="24"/>
                <w:szCs w:val="24"/>
              </w:rPr>
            </w:pPr>
            <w:r>
              <w:rPr>
                <w:rFonts w:hint="eastAsia" w:ascii="仿宋" w:hAnsi="仿宋" w:eastAsia="仿宋"/>
                <w:b w:val="0"/>
                <w:bCs/>
                <w:color w:val="000000"/>
                <w:kern w:val="0"/>
                <w:sz w:val="24"/>
                <w:szCs w:val="24"/>
              </w:rPr>
              <w:t>扣120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vMerge w:val="restart"/>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spacing w:val="-6"/>
                <w:kern w:val="0"/>
                <w:sz w:val="24"/>
                <w:szCs w:val="24"/>
              </w:rPr>
              <w:t>透露对投标文件的评审和比较、中标候选人的推荐情况，以及与评标有关其他情况</w:t>
            </w:r>
          </w:p>
        </w:tc>
        <w:tc>
          <w:tcPr>
            <w:tcW w:w="3246"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kern w:val="0"/>
                <w:sz w:val="24"/>
                <w:szCs w:val="24"/>
              </w:rPr>
              <w:t>扣120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pacing w:val="-6"/>
                <w:kern w:val="0"/>
                <w:sz w:val="24"/>
                <w:szCs w:val="24"/>
              </w:rPr>
            </w:pPr>
            <w:r>
              <w:rPr>
                <w:rFonts w:hint="eastAsia" w:ascii="仿宋" w:hAnsi="仿宋" w:eastAsia="仿宋"/>
                <w:b w:val="0"/>
                <w:bCs/>
                <w:color w:val="000000"/>
                <w:spacing w:val="-6"/>
                <w:kern w:val="0"/>
                <w:sz w:val="24"/>
                <w:szCs w:val="24"/>
              </w:rPr>
              <w:t>在评标活动中擅离职守或因故未完成履职，影响评标活动的</w:t>
            </w:r>
            <w:r>
              <w:rPr>
                <w:rFonts w:hint="eastAsia" w:ascii="仿宋" w:hAnsi="仿宋" w:eastAsia="仿宋"/>
                <w:b w:val="0"/>
                <w:bCs/>
                <w:color w:val="000000"/>
                <w:spacing w:val="-6"/>
                <w:kern w:val="0"/>
                <w:sz w:val="24"/>
                <w:szCs w:val="24"/>
              </w:rPr>
              <w:tab/>
            </w:r>
          </w:p>
        </w:tc>
        <w:tc>
          <w:tcPr>
            <w:tcW w:w="3246" w:type="dxa"/>
            <w:noWrap w:val="0"/>
            <w:vAlign w:val="center"/>
          </w:tcPr>
          <w:p>
            <w:pPr>
              <w:widowControl/>
              <w:spacing w:line="400" w:lineRule="exact"/>
              <w:textAlignment w:val="center"/>
              <w:rPr>
                <w:rFonts w:ascii="仿宋" w:hAnsi="仿宋" w:eastAsia="仿宋"/>
                <w:b w:val="0"/>
                <w:bCs/>
                <w:color w:val="000000"/>
                <w:kern w:val="0"/>
                <w:sz w:val="24"/>
                <w:szCs w:val="24"/>
              </w:rPr>
            </w:pPr>
            <w:r>
              <w:rPr>
                <w:rFonts w:hint="eastAsia" w:ascii="仿宋" w:hAnsi="仿宋" w:eastAsia="仿宋"/>
                <w:b w:val="0"/>
                <w:bCs/>
                <w:color w:val="000000"/>
                <w:spacing w:val="-6"/>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color w:val="000000"/>
                <w:kern w:val="0"/>
                <w:sz w:val="24"/>
                <w:szCs w:val="24"/>
              </w:rPr>
            </w:pPr>
            <w:r>
              <w:rPr>
                <w:rFonts w:hint="eastAsia" w:ascii="仿宋" w:hAnsi="仿宋" w:eastAsia="仿宋"/>
                <w:color w:val="000000"/>
                <w:spacing w:val="-6"/>
                <w:kern w:val="0"/>
                <w:sz w:val="24"/>
                <w:szCs w:val="24"/>
              </w:rPr>
              <w:t>累计扣分</w:t>
            </w:r>
          </w:p>
        </w:tc>
        <w:tc>
          <w:tcPr>
            <w:tcW w:w="1733" w:type="dxa"/>
            <w:vMerge w:val="restart"/>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应当回避而不主动回避的</w:t>
            </w:r>
          </w:p>
        </w:tc>
        <w:tc>
          <w:tcPr>
            <w:tcW w:w="3246"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color w:val="000000"/>
                <w:kern w:val="0"/>
                <w:sz w:val="24"/>
                <w:szCs w:val="24"/>
              </w:rPr>
              <w:t>扣120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21"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sz w:val="24"/>
                <w:szCs w:val="24"/>
              </w:rPr>
            </w:pPr>
            <w:r>
              <w:rPr>
                <w:rFonts w:hint="eastAsia" w:ascii="仿宋" w:hAnsi="仿宋" w:eastAsia="仿宋"/>
                <w:b w:val="0"/>
                <w:bCs w:val="0"/>
                <w:kern w:val="0"/>
                <w:sz w:val="24"/>
              </w:rPr>
              <w:t>委托他人代为参加评标或者以他人名义参加评标的</w:t>
            </w:r>
          </w:p>
        </w:tc>
        <w:tc>
          <w:tcPr>
            <w:tcW w:w="3246" w:type="dxa"/>
            <w:noWrap w:val="0"/>
            <w:vAlign w:val="center"/>
          </w:tcPr>
          <w:p>
            <w:pPr>
              <w:widowControl/>
              <w:spacing w:line="400" w:lineRule="exact"/>
              <w:textAlignment w:val="center"/>
              <w:rPr>
                <w:rFonts w:ascii="仿宋" w:hAnsi="仿宋" w:eastAsia="仿宋"/>
                <w:b w:val="0"/>
                <w:bCs w:val="0"/>
                <w:color w:val="000000"/>
                <w:kern w:val="0"/>
                <w:sz w:val="24"/>
                <w:szCs w:val="24"/>
              </w:rPr>
            </w:pPr>
            <w:r>
              <w:rPr>
                <w:rFonts w:hint="eastAsia" w:ascii="仿宋" w:hAnsi="仿宋" w:eastAsia="仿宋"/>
                <w:b w:val="0"/>
                <w:bCs w:val="0"/>
                <w:color w:val="000000"/>
                <w:kern w:val="0"/>
                <w:sz w:val="24"/>
                <w:szCs w:val="24"/>
              </w:rPr>
              <w:t>扣120</w:t>
            </w:r>
            <w:r>
              <w:rPr>
                <w:rFonts w:hint="eastAsia" w:ascii="仿宋" w:hAnsi="仿宋" w:eastAsia="仿宋"/>
                <w:b w:val="0"/>
                <w:bCs w:val="0"/>
                <w:color w:val="000000"/>
                <w:kern w:val="0"/>
                <w:sz w:val="24"/>
              </w:rPr>
              <w:t>分</w:t>
            </w:r>
            <w:r>
              <w:rPr>
                <w:rFonts w:ascii="仿宋" w:hAnsi="仿宋" w:eastAsia="仿宋"/>
                <w:b w:val="0"/>
                <w:bCs w:val="0"/>
                <w:color w:val="000000"/>
                <w:kern w:val="0"/>
                <w:sz w:val="24"/>
              </w:rPr>
              <w:t>/</w:t>
            </w:r>
            <w:r>
              <w:rPr>
                <w:rFonts w:hint="eastAsia" w:ascii="仿宋" w:hAnsi="仿宋" w:eastAsia="仿宋"/>
                <w:b w:val="0"/>
                <w:bCs w:val="0"/>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vMerge w:val="restart"/>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24"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spacing w:val="-6"/>
                <w:kern w:val="0"/>
                <w:sz w:val="24"/>
                <w:szCs w:val="24"/>
              </w:rPr>
              <w:t>不服从当地行政监督部门管理，经提醒后拒不改正的</w:t>
            </w:r>
          </w:p>
        </w:tc>
        <w:tc>
          <w:tcPr>
            <w:tcW w:w="3246"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szCs w:val="24"/>
              </w:rPr>
              <w:t>扣120</w:t>
            </w:r>
            <w:r>
              <w:rPr>
                <w:rFonts w:hint="eastAsia" w:ascii="仿宋" w:hAnsi="仿宋" w:eastAsia="仿宋"/>
                <w:b w:val="0"/>
                <w:bCs w:val="0"/>
                <w:color w:val="000000"/>
                <w:kern w:val="0"/>
                <w:sz w:val="24"/>
              </w:rPr>
              <w:t>分</w:t>
            </w:r>
            <w:r>
              <w:rPr>
                <w:rFonts w:ascii="仿宋" w:hAnsi="仿宋" w:eastAsia="仿宋"/>
                <w:b w:val="0"/>
                <w:bCs w:val="0"/>
                <w:color w:val="000000"/>
                <w:kern w:val="0"/>
                <w:sz w:val="24"/>
              </w:rPr>
              <w:t>/</w:t>
            </w:r>
            <w:r>
              <w:rPr>
                <w:rFonts w:hint="eastAsia" w:ascii="仿宋" w:hAnsi="仿宋" w:eastAsia="仿宋"/>
                <w:b w:val="0"/>
                <w:bCs w:val="0"/>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61" w:hRule="atLeast"/>
          <w:jc w:val="center"/>
        </w:trPr>
        <w:tc>
          <w:tcPr>
            <w:tcW w:w="1080" w:type="dxa"/>
            <w:vMerge w:val="restart"/>
            <w:noWrap w:val="0"/>
            <w:vAlign w:val="center"/>
          </w:tcPr>
          <w:p>
            <w:pPr>
              <w:widowControl/>
              <w:spacing w:line="400" w:lineRule="exact"/>
              <w:jc w:val="center"/>
              <w:rPr>
                <w:rFonts w:ascii="仿宋" w:hAnsi="仿宋" w:eastAsia="仿宋"/>
                <w:b/>
                <w:color w:val="000000"/>
                <w:sz w:val="24"/>
              </w:rPr>
            </w:pPr>
            <w:r>
              <w:rPr>
                <w:rFonts w:hint="eastAsia" w:ascii="仿宋" w:hAnsi="仿宋" w:eastAsia="仿宋"/>
                <w:b/>
                <w:color w:val="000000"/>
                <w:kern w:val="0"/>
                <w:sz w:val="24"/>
              </w:rPr>
              <w:t>履职能力</w:t>
            </w:r>
          </w:p>
        </w:tc>
        <w:tc>
          <w:tcPr>
            <w:tcW w:w="786"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500</w:t>
            </w:r>
          </w:p>
        </w:tc>
        <w:tc>
          <w:tcPr>
            <w:tcW w:w="809"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日常管理</w:t>
            </w:r>
          </w:p>
        </w:tc>
        <w:tc>
          <w:tcPr>
            <w:tcW w:w="810"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w:t>
            </w: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语音电话接听率</w:t>
            </w:r>
          </w:p>
        </w:tc>
        <w:tc>
          <w:tcPr>
            <w:tcW w:w="3246" w:type="dxa"/>
            <w:noWrap w:val="0"/>
            <w:vAlign w:val="center"/>
          </w:tcPr>
          <w:p>
            <w:pPr>
              <w:widowControl/>
              <w:spacing w:line="400" w:lineRule="exact"/>
              <w:jc w:val="both"/>
              <w:textAlignment w:val="center"/>
              <w:rPr>
                <w:rFonts w:ascii="仿宋" w:hAnsi="仿宋" w:eastAsia="仿宋"/>
                <w:b w:val="0"/>
                <w:bCs w:val="0"/>
                <w:color w:val="000000"/>
                <w:sz w:val="24"/>
              </w:rPr>
            </w:pPr>
            <w:r>
              <w:rPr>
                <w:rFonts w:ascii="仿宋" w:hAnsi="仿宋" w:eastAsia="仿宋"/>
                <w:b w:val="0"/>
                <w:bCs w:val="0"/>
                <w:color w:val="000000"/>
                <w:spacing w:val="-8"/>
                <w:kern w:val="0"/>
                <w:sz w:val="24"/>
              </w:rPr>
              <w:t>15%</w:t>
            </w:r>
            <w:r>
              <w:rPr>
                <w:rFonts w:hint="eastAsia" w:ascii="仿宋" w:hAnsi="仿宋" w:eastAsia="仿宋"/>
                <w:b w:val="0"/>
                <w:bCs w:val="0"/>
                <w:color w:val="000000"/>
                <w:spacing w:val="-8"/>
                <w:kern w:val="0"/>
                <w:sz w:val="24"/>
              </w:rPr>
              <w:t>≤未接听率</w:t>
            </w:r>
            <w:r>
              <w:rPr>
                <w:rFonts w:ascii="仿宋" w:hAnsi="仿宋" w:eastAsia="仿宋"/>
                <w:b w:val="0"/>
                <w:bCs w:val="0"/>
                <w:color w:val="000000"/>
                <w:spacing w:val="-8"/>
                <w:kern w:val="0"/>
                <w:sz w:val="24"/>
              </w:rPr>
              <w:t>&lt;35%</w:t>
            </w:r>
            <w:r>
              <w:rPr>
                <w:rFonts w:hint="eastAsia" w:ascii="仿宋" w:hAnsi="仿宋" w:eastAsia="仿宋"/>
                <w:b w:val="0"/>
                <w:bCs w:val="0"/>
                <w:color w:val="000000"/>
                <w:spacing w:val="-8"/>
                <w:kern w:val="0"/>
                <w:sz w:val="24"/>
              </w:rPr>
              <w:t>扣</w:t>
            </w:r>
            <w:r>
              <w:rPr>
                <w:rFonts w:ascii="仿宋" w:hAnsi="仿宋" w:eastAsia="仿宋"/>
                <w:b w:val="0"/>
                <w:bCs w:val="0"/>
                <w:color w:val="000000"/>
                <w:spacing w:val="-8"/>
                <w:kern w:val="0"/>
                <w:sz w:val="24"/>
              </w:rPr>
              <w:t>10</w:t>
            </w:r>
            <w:r>
              <w:rPr>
                <w:rFonts w:hint="eastAsia" w:ascii="仿宋" w:hAnsi="仿宋" w:eastAsia="仿宋"/>
                <w:b w:val="0"/>
                <w:bCs w:val="0"/>
                <w:color w:val="000000"/>
                <w:spacing w:val="-8"/>
                <w:kern w:val="0"/>
                <w:sz w:val="24"/>
              </w:rPr>
              <w:t>分</w:t>
            </w:r>
            <w:r>
              <w:rPr>
                <w:rFonts w:ascii="仿宋" w:hAnsi="仿宋" w:eastAsia="仿宋"/>
                <w:b w:val="0"/>
                <w:bCs w:val="0"/>
                <w:color w:val="000000"/>
                <w:spacing w:val="-8"/>
                <w:kern w:val="0"/>
                <w:sz w:val="24"/>
              </w:rPr>
              <w:t xml:space="preserve"> </w:t>
            </w:r>
            <w:r>
              <w:rPr>
                <w:rFonts w:ascii="仿宋" w:hAnsi="仿宋" w:eastAsia="仿宋"/>
                <w:b w:val="0"/>
                <w:bCs w:val="0"/>
                <w:color w:val="000000"/>
                <w:kern w:val="0"/>
                <w:sz w:val="24"/>
                <w:szCs w:val="24"/>
              </w:rPr>
              <w:br w:type="textWrapping"/>
            </w:r>
            <w:r>
              <w:rPr>
                <w:rFonts w:ascii="仿宋" w:hAnsi="仿宋" w:eastAsia="仿宋"/>
                <w:b w:val="0"/>
                <w:bCs w:val="0"/>
                <w:color w:val="000000"/>
                <w:spacing w:val="-8"/>
                <w:kern w:val="0"/>
                <w:sz w:val="24"/>
              </w:rPr>
              <w:t>35%</w:t>
            </w:r>
            <w:r>
              <w:rPr>
                <w:rFonts w:hint="eastAsia" w:ascii="仿宋" w:hAnsi="仿宋" w:eastAsia="仿宋"/>
                <w:b w:val="0"/>
                <w:bCs w:val="0"/>
                <w:color w:val="000000"/>
                <w:spacing w:val="-8"/>
                <w:kern w:val="0"/>
                <w:sz w:val="24"/>
              </w:rPr>
              <w:t>≤未接听率</w:t>
            </w:r>
            <w:r>
              <w:rPr>
                <w:rFonts w:ascii="仿宋" w:hAnsi="仿宋" w:eastAsia="仿宋"/>
                <w:b w:val="0"/>
                <w:bCs w:val="0"/>
                <w:color w:val="000000"/>
                <w:spacing w:val="-8"/>
                <w:kern w:val="0"/>
                <w:sz w:val="24"/>
              </w:rPr>
              <w:t>&lt;85%</w:t>
            </w:r>
            <w:r>
              <w:rPr>
                <w:rFonts w:hint="eastAsia" w:ascii="仿宋" w:hAnsi="仿宋" w:eastAsia="仿宋"/>
                <w:b w:val="0"/>
                <w:bCs w:val="0"/>
                <w:color w:val="000000"/>
                <w:spacing w:val="-8"/>
                <w:kern w:val="0"/>
                <w:sz w:val="24"/>
              </w:rPr>
              <w:t>扣</w:t>
            </w:r>
            <w:r>
              <w:rPr>
                <w:rFonts w:ascii="仿宋" w:hAnsi="仿宋" w:eastAsia="仿宋"/>
                <w:b w:val="0"/>
                <w:bCs w:val="0"/>
                <w:color w:val="000000"/>
                <w:spacing w:val="-8"/>
                <w:kern w:val="0"/>
                <w:sz w:val="24"/>
              </w:rPr>
              <w:t>20</w:t>
            </w:r>
            <w:r>
              <w:rPr>
                <w:rFonts w:hint="eastAsia" w:ascii="仿宋" w:hAnsi="仿宋" w:eastAsia="仿宋"/>
                <w:b w:val="0"/>
                <w:bCs w:val="0"/>
                <w:color w:val="000000"/>
                <w:spacing w:val="-8"/>
                <w:kern w:val="0"/>
                <w:sz w:val="24"/>
              </w:rPr>
              <w:t>分</w:t>
            </w:r>
            <w:r>
              <w:rPr>
                <w:rFonts w:ascii="仿宋" w:hAnsi="仿宋" w:eastAsia="仿宋"/>
                <w:b w:val="0"/>
                <w:bCs w:val="0"/>
                <w:color w:val="000000"/>
                <w:spacing w:val="-8"/>
                <w:kern w:val="0"/>
                <w:sz w:val="24"/>
              </w:rPr>
              <w:t xml:space="preserve"> </w:t>
            </w:r>
            <w:r>
              <w:rPr>
                <w:rFonts w:ascii="仿宋" w:hAnsi="仿宋" w:eastAsia="仿宋"/>
                <w:b w:val="0"/>
                <w:bCs w:val="0"/>
                <w:color w:val="000000"/>
                <w:kern w:val="0"/>
                <w:sz w:val="24"/>
                <w:szCs w:val="24"/>
              </w:rPr>
              <w:br w:type="textWrapping"/>
            </w:r>
            <w:r>
              <w:rPr>
                <w:rFonts w:ascii="仿宋" w:hAnsi="仿宋" w:eastAsia="仿宋"/>
                <w:b w:val="0"/>
                <w:bCs w:val="0"/>
                <w:color w:val="000000"/>
                <w:kern w:val="0"/>
                <w:sz w:val="24"/>
              </w:rPr>
              <w:t>85%</w:t>
            </w:r>
            <w:r>
              <w:rPr>
                <w:rFonts w:hint="eastAsia" w:ascii="仿宋" w:hAnsi="仿宋" w:eastAsia="仿宋"/>
                <w:b w:val="0"/>
                <w:bCs w:val="0"/>
                <w:color w:val="000000"/>
                <w:kern w:val="0"/>
                <w:sz w:val="24"/>
              </w:rPr>
              <w:t>≤未接听率</w:t>
            </w:r>
            <w:r>
              <w:rPr>
                <w:rFonts w:ascii="仿宋" w:hAnsi="仿宋" w:eastAsia="仿宋"/>
                <w:b w:val="0"/>
                <w:bCs w:val="0"/>
                <w:color w:val="000000"/>
                <w:kern w:val="0"/>
                <w:sz w:val="24"/>
              </w:rPr>
              <w:t>&lt;100%</w:t>
            </w:r>
            <w:r>
              <w:rPr>
                <w:rFonts w:hint="eastAsia" w:ascii="仿宋" w:hAnsi="仿宋" w:eastAsia="仿宋"/>
                <w:b w:val="0"/>
                <w:bCs w:val="0"/>
                <w:color w:val="000000"/>
                <w:kern w:val="0"/>
                <w:sz w:val="24"/>
              </w:rPr>
              <w:t>扣</w:t>
            </w:r>
            <w:r>
              <w:rPr>
                <w:rFonts w:ascii="仿宋" w:hAnsi="仿宋" w:eastAsia="仿宋"/>
                <w:b w:val="0"/>
                <w:bCs w:val="0"/>
                <w:color w:val="000000"/>
                <w:kern w:val="0"/>
                <w:sz w:val="24"/>
              </w:rPr>
              <w:t>30</w:t>
            </w:r>
            <w:r>
              <w:rPr>
                <w:rFonts w:hint="eastAsia" w:ascii="仿宋" w:hAnsi="仿宋" w:eastAsia="仿宋"/>
                <w:b w:val="0"/>
                <w:bCs w:val="0"/>
                <w:color w:val="000000"/>
                <w:kern w:val="0"/>
                <w:sz w:val="24"/>
              </w:rPr>
              <w:t>分</w:t>
            </w:r>
            <w:r>
              <w:rPr>
                <w:rFonts w:ascii="仿宋" w:hAnsi="仿宋" w:eastAsia="仿宋"/>
                <w:b w:val="0"/>
                <w:bCs w:val="0"/>
                <w:color w:val="000000"/>
                <w:kern w:val="0"/>
                <w:sz w:val="24"/>
                <w:szCs w:val="24"/>
              </w:rPr>
              <w:t xml:space="preserve"> </w:t>
            </w:r>
            <w:r>
              <w:rPr>
                <w:rFonts w:ascii="仿宋" w:hAnsi="仿宋" w:eastAsia="仿宋"/>
                <w:b w:val="0"/>
                <w:bCs w:val="0"/>
                <w:color w:val="000000"/>
                <w:kern w:val="0"/>
                <w:sz w:val="24"/>
                <w:szCs w:val="24"/>
              </w:rPr>
              <w:br w:type="textWrapping"/>
            </w:r>
            <w:r>
              <w:rPr>
                <w:rFonts w:hint="eastAsia" w:ascii="仿宋" w:hAnsi="仿宋" w:eastAsia="仿宋"/>
                <w:b w:val="0"/>
                <w:bCs w:val="0"/>
                <w:color w:val="000000"/>
                <w:kern w:val="0"/>
                <w:sz w:val="24"/>
              </w:rPr>
              <w:t>未接听率</w:t>
            </w:r>
            <w:r>
              <w:rPr>
                <w:rFonts w:ascii="仿宋" w:hAnsi="仿宋" w:eastAsia="仿宋"/>
                <w:b w:val="0"/>
                <w:bCs w:val="0"/>
                <w:color w:val="000000"/>
                <w:kern w:val="0"/>
                <w:sz w:val="24"/>
              </w:rPr>
              <w:t xml:space="preserve">=100% </w:t>
            </w:r>
            <w:r>
              <w:rPr>
                <w:rFonts w:hint="eastAsia" w:ascii="仿宋" w:hAnsi="仿宋" w:eastAsia="仿宋"/>
                <w:b w:val="0"/>
                <w:bCs w:val="0"/>
                <w:color w:val="000000"/>
                <w:kern w:val="0"/>
                <w:sz w:val="24"/>
              </w:rPr>
              <w:t>扣</w:t>
            </w:r>
            <w:r>
              <w:rPr>
                <w:rFonts w:ascii="仿宋" w:hAnsi="仿宋" w:eastAsia="仿宋"/>
                <w:b w:val="0"/>
                <w:bCs w:val="0"/>
                <w:color w:val="000000"/>
                <w:kern w:val="0"/>
                <w:sz w:val="24"/>
              </w:rPr>
              <w:t>50</w:t>
            </w:r>
            <w:r>
              <w:rPr>
                <w:rFonts w:hint="eastAsia" w:ascii="仿宋" w:hAnsi="仿宋" w:eastAsia="仿宋"/>
                <w:b w:val="0"/>
                <w:bCs w:val="0"/>
                <w:color w:val="000000"/>
                <w:kern w:val="0"/>
                <w:sz w:val="24"/>
              </w:rPr>
              <w:t>分</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一个年度周期内语音电话未接听率（电话未接听次数</w:t>
            </w:r>
            <w:r>
              <w:rPr>
                <w:rFonts w:ascii="仿宋" w:hAnsi="仿宋" w:eastAsia="仿宋"/>
                <w:color w:val="000000"/>
                <w:kern w:val="0"/>
                <w:sz w:val="24"/>
              </w:rPr>
              <w:t>/</w:t>
            </w:r>
            <w:r>
              <w:rPr>
                <w:rFonts w:hint="eastAsia" w:ascii="仿宋" w:hAnsi="仿宋" w:eastAsia="仿宋"/>
                <w:color w:val="000000"/>
                <w:kern w:val="0"/>
                <w:sz w:val="24"/>
              </w:rPr>
              <w:t>后台拨打次数</w:t>
            </w:r>
            <w:r>
              <w:rPr>
                <w:rFonts w:ascii="仿宋" w:hAnsi="仿宋" w:eastAsia="仿宋"/>
                <w:color w:val="000000"/>
                <w:kern w:val="0"/>
                <w:sz w:val="24"/>
              </w:rPr>
              <w:t>×100%</w:t>
            </w:r>
            <w:r>
              <w:rPr>
                <w:rFonts w:hint="eastAsia" w:ascii="仿宋" w:hAnsi="仿宋" w:eastAsia="仿宋"/>
                <w:color w:val="000000"/>
                <w:kern w:val="0"/>
                <w:sz w:val="24"/>
              </w:rPr>
              <w:t>），如在年度周期内被抽取</w:t>
            </w:r>
            <w:r>
              <w:rPr>
                <w:rFonts w:hint="eastAsia" w:ascii="仿宋" w:hAnsi="仿宋" w:eastAsia="仿宋"/>
                <w:color w:val="000000"/>
                <w:kern w:val="0"/>
                <w:sz w:val="24"/>
                <w:szCs w:val="24"/>
              </w:rPr>
              <w:t>次数低于3次</w:t>
            </w:r>
            <w:r>
              <w:rPr>
                <w:rFonts w:hint="eastAsia" w:ascii="仿宋" w:hAnsi="仿宋" w:eastAsia="仿宋"/>
                <w:color w:val="000000"/>
                <w:kern w:val="0"/>
                <w:sz w:val="24"/>
              </w:rPr>
              <w:t>，不予扣分</w:t>
            </w:r>
          </w:p>
        </w:tc>
        <w:tc>
          <w:tcPr>
            <w:tcW w:w="1733" w:type="dxa"/>
            <w:noWrap w:val="0"/>
            <w:vAlign w:val="center"/>
          </w:tcPr>
          <w:p>
            <w:pPr>
              <w:widowControl/>
              <w:spacing w:line="400" w:lineRule="exact"/>
              <w:jc w:val="both"/>
              <w:rPr>
                <w:rFonts w:ascii="仿宋" w:hAnsi="仿宋" w:eastAsia="仿宋"/>
                <w:color w:val="000000"/>
                <w:sz w:val="24"/>
              </w:rPr>
            </w:pPr>
            <w:r>
              <w:rPr>
                <w:rFonts w:hint="eastAsia" w:ascii="仿宋" w:hAnsi="仿宋" w:eastAsia="仿宋"/>
                <w:sz w:val="24"/>
                <w:szCs w:val="24"/>
              </w:rPr>
              <w:t>专家库系统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申请暂停参加评标活动时间</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申请暂停参加评标活动时间累计小于</w:t>
            </w:r>
            <w:r>
              <w:rPr>
                <w:rFonts w:ascii="仿宋" w:hAnsi="仿宋" w:eastAsia="仿宋"/>
                <w:color w:val="000000"/>
                <w:kern w:val="0"/>
                <w:sz w:val="24"/>
              </w:rPr>
              <w:t>100</w:t>
            </w:r>
            <w:r>
              <w:rPr>
                <w:rFonts w:hint="eastAsia" w:ascii="仿宋" w:hAnsi="仿宋" w:eastAsia="仿宋"/>
                <w:color w:val="000000"/>
                <w:kern w:val="0"/>
                <w:sz w:val="24"/>
              </w:rPr>
              <w:t>天（含本数）不扣分</w:t>
            </w:r>
            <w:r>
              <w:rPr>
                <w:rFonts w:ascii="仿宋" w:hAnsi="仿宋" w:eastAsia="仿宋"/>
                <w:color w:val="000000"/>
                <w:kern w:val="0"/>
                <w:sz w:val="24"/>
              </w:rPr>
              <w:t xml:space="preserve"> </w:t>
            </w:r>
            <w:r>
              <w:rPr>
                <w:rFonts w:ascii="仿宋" w:hAnsi="仿宋" w:eastAsia="仿宋"/>
                <w:color w:val="000000"/>
                <w:kern w:val="0"/>
                <w:sz w:val="24"/>
              </w:rPr>
              <w:br w:type="textWrapping"/>
            </w:r>
            <w:r>
              <w:rPr>
                <w:rFonts w:hint="eastAsia" w:ascii="仿宋" w:hAnsi="仿宋" w:eastAsia="仿宋"/>
                <w:color w:val="000000"/>
                <w:kern w:val="0"/>
                <w:sz w:val="24"/>
              </w:rPr>
              <w:t>申请暂停参加评标活动时间累计超过</w:t>
            </w:r>
            <w:r>
              <w:rPr>
                <w:rFonts w:ascii="仿宋" w:hAnsi="仿宋" w:eastAsia="仿宋"/>
                <w:color w:val="000000"/>
                <w:kern w:val="0"/>
                <w:sz w:val="24"/>
              </w:rPr>
              <w:t>100</w:t>
            </w:r>
            <w:r>
              <w:rPr>
                <w:rFonts w:hint="eastAsia" w:ascii="仿宋" w:hAnsi="仿宋" w:eastAsia="仿宋"/>
                <w:color w:val="000000"/>
                <w:kern w:val="0"/>
                <w:sz w:val="24"/>
              </w:rPr>
              <w:t>天但未超过</w:t>
            </w:r>
            <w:r>
              <w:rPr>
                <w:rFonts w:ascii="仿宋" w:hAnsi="仿宋" w:eastAsia="仿宋"/>
                <w:color w:val="000000"/>
                <w:kern w:val="0"/>
                <w:sz w:val="24"/>
              </w:rPr>
              <w:t>200</w:t>
            </w:r>
            <w:r>
              <w:rPr>
                <w:rFonts w:hint="eastAsia" w:ascii="仿宋" w:hAnsi="仿宋" w:eastAsia="仿宋"/>
                <w:color w:val="000000"/>
                <w:kern w:val="0"/>
                <w:sz w:val="24"/>
              </w:rPr>
              <w:t>天的扣</w:t>
            </w:r>
            <w:r>
              <w:rPr>
                <w:rFonts w:ascii="仿宋" w:hAnsi="仿宋" w:eastAsia="仿宋"/>
                <w:color w:val="000000"/>
                <w:kern w:val="0"/>
                <w:sz w:val="24"/>
              </w:rPr>
              <w:t>10</w:t>
            </w:r>
            <w:r>
              <w:rPr>
                <w:rFonts w:hint="eastAsia" w:ascii="仿宋" w:hAnsi="仿宋" w:eastAsia="仿宋"/>
                <w:color w:val="000000"/>
                <w:kern w:val="0"/>
                <w:sz w:val="24"/>
              </w:rPr>
              <w:t>分</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一个年度周期内一次扣分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sz w:val="24"/>
                <w:szCs w:val="24"/>
              </w:rPr>
              <w:t>专家库系统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7"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color w:val="000000"/>
                <w:kern w:val="0"/>
                <w:sz w:val="24"/>
              </w:rPr>
              <w:t>遵纪守法</w:t>
            </w:r>
          </w:p>
        </w:tc>
        <w:tc>
          <w:tcPr>
            <w:tcW w:w="786"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szCs w:val="24"/>
              </w:rPr>
              <w:t>240</w:t>
            </w: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行政管理信息</w:t>
            </w:r>
          </w:p>
        </w:tc>
        <w:tc>
          <w:tcPr>
            <w:tcW w:w="810"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szCs w:val="24"/>
              </w:rPr>
              <w:t>120</w:t>
            </w:r>
          </w:p>
        </w:tc>
        <w:tc>
          <w:tcPr>
            <w:tcW w:w="3407"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color w:val="000000"/>
                <w:kern w:val="0"/>
                <w:sz w:val="24"/>
                <w:szCs w:val="24"/>
              </w:rPr>
              <w:t>不按行政监督部门或招标人出具的有效文书参加复评，纠正错误的；</w:t>
            </w:r>
          </w:p>
        </w:tc>
        <w:tc>
          <w:tcPr>
            <w:tcW w:w="3246"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val="0"/>
              <w:spacing w:line="400" w:lineRule="exact"/>
              <w:ind w:firstLine="240" w:firstLineChars="100"/>
              <w:jc w:val="both"/>
              <w:textAlignment w:val="auto"/>
              <w:rPr>
                <w:rFonts w:ascii="仿宋" w:hAnsi="仿宋" w:eastAsia="仿宋"/>
                <w:bCs/>
                <w:color w:val="auto"/>
                <w:sz w:val="32"/>
              </w:rPr>
            </w:pPr>
            <w:r>
              <w:rPr>
                <w:rFonts w:hint="eastAsia" w:ascii="仿宋" w:hAnsi="仿宋" w:eastAsia="仿宋"/>
                <w:b w:val="0"/>
                <w:bCs/>
                <w:color w:val="000000"/>
                <w:kern w:val="0"/>
                <w:sz w:val="24"/>
                <w:szCs w:val="24"/>
              </w:rPr>
              <w:t>累计扣分</w:t>
            </w:r>
          </w:p>
        </w:tc>
        <w:tc>
          <w:tcPr>
            <w:tcW w:w="1733" w:type="dxa"/>
            <w:vMerge w:val="restart"/>
            <w:noWrap w:val="0"/>
            <w:vAlign w:val="center"/>
          </w:tcPr>
          <w:p>
            <w:pPr>
              <w:widowControl w:val="0"/>
              <w:spacing w:line="400" w:lineRule="exact"/>
              <w:jc w:val="center"/>
              <w:textAlignment w:val="center"/>
              <w:rPr>
                <w:rFonts w:ascii="仿宋" w:hAnsi="仿宋" w:eastAsia="仿宋"/>
                <w:color w:val="000000"/>
                <w:sz w:val="24"/>
              </w:rPr>
            </w:pPr>
            <w:r>
              <w:rPr>
                <w:rFonts w:ascii="仿宋" w:hAnsi="仿宋" w:eastAsia="仿宋"/>
                <w:color w:val="00000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3"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被行政机关撤销、吊销专业资质资格的</w:t>
            </w:r>
          </w:p>
        </w:tc>
        <w:tc>
          <w:tcPr>
            <w:tcW w:w="3246"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bCs/>
                <w:color w:val="000000"/>
                <w:sz w:val="24"/>
              </w:rPr>
            </w:pPr>
            <w:r>
              <w:rPr>
                <w:rFonts w:hint="eastAsia" w:ascii="仿宋" w:hAnsi="仿宋" w:eastAsia="仿宋"/>
                <w:bCs/>
                <w:color w:val="000000"/>
                <w:kern w:val="0"/>
                <w:sz w:val="24"/>
              </w:rPr>
              <w:t>累计扣分</w:t>
            </w:r>
          </w:p>
        </w:tc>
        <w:tc>
          <w:tcPr>
            <w:tcW w:w="1733" w:type="dxa"/>
            <w:vMerge w:val="continue"/>
            <w:noWrap w:val="0"/>
            <w:vAlign w:val="center"/>
          </w:tcPr>
          <w:p>
            <w:pPr>
              <w:widowControl/>
              <w:spacing w:line="400" w:lineRule="exact"/>
              <w:jc w:val="center"/>
              <w:textAlignment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9"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不履行行政决定而被依法行政强制执行的</w:t>
            </w:r>
          </w:p>
        </w:tc>
        <w:tc>
          <w:tcPr>
            <w:tcW w:w="3246"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bCs/>
                <w:color w:val="000000"/>
                <w:sz w:val="24"/>
              </w:rPr>
            </w:pPr>
            <w:r>
              <w:rPr>
                <w:rFonts w:hint="eastAsia" w:ascii="仿宋" w:hAnsi="仿宋" w:eastAsia="仿宋"/>
                <w:bCs/>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经有关行政部门认定以欺骗、贿赂等不正当手段取得行政许可、行政确认、行政给付、行政奖励的信息</w:t>
            </w:r>
          </w:p>
        </w:tc>
        <w:tc>
          <w:tcPr>
            <w:tcW w:w="3246"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bCs/>
                <w:color w:val="000000"/>
                <w:sz w:val="24"/>
              </w:rPr>
            </w:pPr>
            <w:r>
              <w:rPr>
                <w:rFonts w:hint="eastAsia" w:ascii="仿宋" w:hAnsi="仿宋" w:eastAsia="仿宋"/>
                <w:bCs/>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40"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司法处理信息</w:t>
            </w:r>
          </w:p>
        </w:tc>
        <w:tc>
          <w:tcPr>
            <w:tcW w:w="810"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szCs w:val="24"/>
              </w:rPr>
              <w:t>120</w:t>
            </w:r>
          </w:p>
        </w:tc>
        <w:tc>
          <w:tcPr>
            <w:tcW w:w="3407" w:type="dxa"/>
            <w:noWrap w:val="0"/>
            <w:vAlign w:val="center"/>
          </w:tcPr>
          <w:p>
            <w:pPr>
              <w:widowControl/>
              <w:spacing w:line="400" w:lineRule="exact"/>
              <w:textAlignment w:val="center"/>
              <w:rPr>
                <w:rFonts w:ascii="仿宋" w:hAnsi="仿宋" w:eastAsia="仿宋"/>
                <w:color w:val="000000"/>
                <w:kern w:val="0"/>
                <w:sz w:val="24"/>
              </w:rPr>
            </w:pPr>
            <w:r>
              <w:rPr>
                <w:rFonts w:hint="eastAsia" w:ascii="仿宋" w:hAnsi="仿宋" w:eastAsia="仿宋"/>
                <w:color w:val="000000"/>
                <w:kern w:val="0"/>
                <w:sz w:val="24"/>
              </w:rPr>
              <w:t>拒不履行判决、裁定等生效法律文书的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拒不履行判决、裁定等生效法律文书的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color w:val="000000"/>
                <w:kern w:val="0"/>
                <w:sz w:val="24"/>
              </w:rPr>
              <w:t>社会公德</w:t>
            </w:r>
          </w:p>
        </w:tc>
        <w:tc>
          <w:tcPr>
            <w:tcW w:w="786" w:type="dxa"/>
            <w:vMerge w:val="restart"/>
            <w:noWrap w:val="0"/>
            <w:vAlign w:val="center"/>
          </w:tcPr>
          <w:p>
            <w:pPr>
              <w:widowControl/>
              <w:spacing w:line="400" w:lineRule="exact"/>
              <w:jc w:val="center"/>
              <w:textAlignment w:val="center"/>
              <w:rPr>
                <w:rFonts w:ascii="仿宋" w:hAnsi="仿宋" w:eastAsia="仿宋"/>
                <w:color w:val="000000"/>
                <w:sz w:val="24"/>
              </w:rPr>
            </w:pPr>
            <w:r>
              <w:rPr>
                <w:rFonts w:ascii="仿宋" w:hAnsi="仿宋" w:eastAsia="仿宋"/>
                <w:color w:val="000000"/>
                <w:kern w:val="0"/>
                <w:sz w:val="24"/>
              </w:rPr>
              <w:t>200</w:t>
            </w: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社会责任</w:t>
            </w:r>
          </w:p>
        </w:tc>
        <w:tc>
          <w:tcPr>
            <w:tcW w:w="810" w:type="dxa"/>
            <w:vMerge w:val="restart"/>
            <w:noWrap w:val="0"/>
            <w:vAlign w:val="center"/>
          </w:tcPr>
          <w:p>
            <w:pPr>
              <w:widowControl/>
              <w:spacing w:line="400" w:lineRule="exact"/>
              <w:jc w:val="center"/>
              <w:textAlignment w:val="center"/>
              <w:rPr>
                <w:rFonts w:ascii="仿宋" w:hAnsi="仿宋" w:eastAsia="仿宋"/>
                <w:color w:val="000000"/>
                <w:sz w:val="24"/>
              </w:rPr>
            </w:pPr>
            <w:r>
              <w:rPr>
                <w:rFonts w:ascii="仿宋" w:hAnsi="仿宋" w:eastAsia="仿宋"/>
                <w:color w:val="000000"/>
                <w:kern w:val="0"/>
                <w:sz w:val="24"/>
              </w:rPr>
              <w:t>100</w:t>
            </w: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检举招投标活动中违法、违规、违纪行为，经查证属实的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60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restart"/>
            <w:noWrap w:val="0"/>
            <w:vAlign w:val="center"/>
          </w:tcPr>
          <w:p>
            <w:pPr>
              <w:widowControl/>
              <w:spacing w:line="400" w:lineRule="exact"/>
              <w:ind w:firstLine="240" w:firstLineChars="100"/>
              <w:jc w:val="both"/>
              <w:textAlignment w:val="center"/>
              <w:rPr>
                <w:rFonts w:ascii="仿宋" w:hAnsi="仿宋" w:eastAsia="仿宋"/>
                <w:color w:val="000000"/>
                <w:sz w:val="24"/>
              </w:rPr>
            </w:pPr>
            <w:r>
              <w:rPr>
                <w:rFonts w:hint="eastAsia" w:ascii="仿宋" w:hAnsi="仿宋" w:eastAsia="仿宋"/>
                <w:color w:val="000000"/>
                <w:sz w:val="24"/>
                <w:szCs w:val="24"/>
              </w:rPr>
              <w:t>自主申报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05"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向</w:t>
            </w:r>
            <w:r>
              <w:rPr>
                <w:rFonts w:hint="eastAsia" w:ascii="仿宋" w:hAnsi="仿宋" w:eastAsia="仿宋"/>
                <w:color w:val="000000"/>
                <w:kern w:val="0"/>
                <w:sz w:val="24"/>
                <w:szCs w:val="24"/>
              </w:rPr>
              <w:t>招标投标主管</w:t>
            </w:r>
            <w:r>
              <w:rPr>
                <w:rFonts w:hint="eastAsia" w:ascii="仿宋" w:hAnsi="仿宋" w:eastAsia="仿宋"/>
                <w:color w:val="000000"/>
                <w:kern w:val="0"/>
                <w:sz w:val="24"/>
              </w:rPr>
              <w:t>部门或有关行政监督管理部门书面提出建议意见并采纳的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3</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参与省部级以上行业技术标准或技术规范编制或修订的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4</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参与省级以上招投标规范性文件制定或修订的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省级层面</w:t>
            </w:r>
            <w:r>
              <w:rPr>
                <w:rFonts w:ascii="仿宋" w:hAnsi="仿宋" w:eastAsia="仿宋"/>
                <w:color w:val="000000"/>
                <w:kern w:val="0"/>
                <w:sz w:val="24"/>
              </w:rPr>
              <w:t>40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次；国家层面</w:t>
            </w:r>
            <w:r>
              <w:rPr>
                <w:rFonts w:ascii="仿宋" w:hAnsi="仿宋" w:eastAsia="仿宋"/>
                <w:color w:val="000000"/>
                <w:kern w:val="0"/>
                <w:sz w:val="24"/>
              </w:rPr>
              <w:t>50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奖励信息</w:t>
            </w:r>
          </w:p>
        </w:tc>
        <w:tc>
          <w:tcPr>
            <w:tcW w:w="810" w:type="dxa"/>
            <w:vMerge w:val="restart"/>
            <w:noWrap w:val="0"/>
            <w:vAlign w:val="center"/>
          </w:tcPr>
          <w:p>
            <w:pPr>
              <w:widowControl/>
              <w:spacing w:line="400" w:lineRule="exact"/>
              <w:jc w:val="center"/>
              <w:textAlignment w:val="center"/>
              <w:rPr>
                <w:rFonts w:ascii="仿宋" w:hAnsi="仿宋" w:eastAsia="仿宋"/>
                <w:color w:val="000000"/>
                <w:sz w:val="24"/>
              </w:rPr>
            </w:pPr>
            <w:r>
              <w:rPr>
                <w:rFonts w:ascii="仿宋" w:hAnsi="仿宋" w:eastAsia="仿宋"/>
                <w:color w:val="000000"/>
                <w:kern w:val="0"/>
                <w:sz w:val="24"/>
              </w:rPr>
              <w:t>100</w:t>
            </w: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被党政部门、各级人民政府及其部门授予表彰或奖励的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市级层面</w:t>
            </w:r>
            <w:r>
              <w:rPr>
                <w:rFonts w:ascii="仿宋" w:hAnsi="仿宋" w:eastAsia="仿宋"/>
                <w:color w:val="000000"/>
                <w:kern w:val="0"/>
                <w:sz w:val="24"/>
              </w:rPr>
              <w:t>40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次；省级层面</w:t>
            </w:r>
            <w:r>
              <w:rPr>
                <w:rFonts w:ascii="仿宋" w:hAnsi="仿宋" w:eastAsia="仿宋"/>
                <w:color w:val="000000"/>
                <w:kern w:val="0"/>
                <w:sz w:val="24"/>
              </w:rPr>
              <w:t>45</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次；国家层面</w:t>
            </w:r>
            <w:r>
              <w:rPr>
                <w:rFonts w:ascii="仿宋" w:hAnsi="仿宋" w:eastAsia="仿宋"/>
                <w:color w:val="000000"/>
                <w:kern w:val="0"/>
                <w:sz w:val="24"/>
              </w:rPr>
              <w:t>50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6"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被行政部门纳入红名单信息的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3</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ind w:left="-36" w:leftChars="-17" w:right="-38" w:rightChars="-18"/>
              <w:jc w:val="center"/>
              <w:textAlignment w:val="center"/>
              <w:rPr>
                <w:rFonts w:ascii="Times New Roman" w:hAnsi="Times New Roman"/>
                <w:color w:val="000000"/>
                <w:sz w:val="24"/>
              </w:rPr>
            </w:pPr>
          </w:p>
        </w:tc>
      </w:tr>
    </w:tbl>
    <w:p>
      <w:pPr>
        <w:spacing w:line="400" w:lineRule="exact"/>
        <w:rPr>
          <w:rFonts w:ascii="Times New Roman" w:hAnsi="Times New Roman"/>
          <w:bCs/>
          <w:sz w:val="30"/>
          <w:szCs w:val="30"/>
        </w:rPr>
        <w:sectPr>
          <w:pgSz w:w="16838" w:h="11906" w:orient="landscape"/>
          <w:pgMar w:top="1531" w:right="1871" w:bottom="1560" w:left="1701" w:header="851" w:footer="113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C7D06C-78C0-489D-A9A3-87A88FF00D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559997-AC12-4F28-A219-49E214006E1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3507985-54B7-4BF5-A94F-409E8FB44252}"/>
  </w:font>
  <w:font w:name="方正黑体_GBK">
    <w:panose1 w:val="02010600010101010101"/>
    <w:charset w:val="86"/>
    <w:family w:val="auto"/>
    <w:pitch w:val="default"/>
    <w:sig w:usb0="00000001" w:usb1="080E0000" w:usb2="00000000" w:usb3="00000000" w:csb0="00040000" w:csb1="00000000"/>
    <w:embedRegular r:id="rId4" w:fontKey="{7EE4F7CC-706F-43D2-9A29-52779368F73D}"/>
  </w:font>
  <w:font w:name="方正小标宋简体">
    <w:panose1 w:val="02010601030101010101"/>
    <w:charset w:val="86"/>
    <w:family w:val="script"/>
    <w:pitch w:val="default"/>
    <w:sig w:usb0="00000001" w:usb1="080E0000" w:usb2="00000000" w:usb3="00000000" w:csb0="00040000" w:csb1="00000000"/>
    <w:embedRegular r:id="rId5" w:fontKey="{88BCCF9C-5A0C-4552-9023-291E8642009E}"/>
  </w:font>
  <w:font w:name="楷体_GB2312">
    <w:panose1 w:val="02010609030101010101"/>
    <w:charset w:val="86"/>
    <w:family w:val="modern"/>
    <w:pitch w:val="default"/>
    <w:sig w:usb0="00000001" w:usb1="080E0000" w:usb2="00000000" w:usb3="00000000" w:csb0="00040000" w:csb1="00000000"/>
    <w:embedRegular r:id="rId6" w:fontKey="{36B0B859-5E6F-43E7-9E10-C0560F481B38}"/>
  </w:font>
  <w:font w:name="方正楷体_GBK">
    <w:altName w:val="微软雅黑"/>
    <w:panose1 w:val="02000000000000000000"/>
    <w:charset w:val="86"/>
    <w:family w:val="auto"/>
    <w:pitch w:val="default"/>
    <w:sig w:usb0="00000000" w:usb1="00000000" w:usb2="00000000" w:usb3="00000000" w:csb0="00040000" w:csb1="00000000"/>
    <w:embedRegular r:id="rId7" w:fontKey="{5FE29321-B89F-45A5-8BBB-5ECBD9FADB20}"/>
  </w:font>
  <w:font w:name="仿宋">
    <w:panose1 w:val="02010609060101010101"/>
    <w:charset w:val="86"/>
    <w:family w:val="modern"/>
    <w:pitch w:val="default"/>
    <w:sig w:usb0="800002BF" w:usb1="38CF7CFA" w:usb2="00000016" w:usb3="00000000" w:csb0="00040001" w:csb1="00000000"/>
    <w:embedRegular r:id="rId8" w:fontKey="{1C64B486-69F8-45BA-BB93-50744E8A145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25</w:t>
    </w:r>
    <w:r>
      <w:rPr>
        <w:sz w:val="28"/>
        <w:szCs w:val="28"/>
      </w:rPr>
      <w:fldChar w:fldCharType="end"/>
    </w:r>
    <w:r>
      <w:rPr>
        <w:rStyle w:val="9"/>
        <w:rFonts w:hint="eastAsia"/>
        <w:sz w:val="28"/>
        <w:szCs w:val="28"/>
      </w:rPr>
      <w:t xml:space="preserve"> —</w:t>
    </w:r>
  </w:p>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column">
                <wp:posOffset>2863850</wp:posOffset>
              </wp:positionH>
              <wp:positionV relativeFrom="paragraph">
                <wp:posOffset>-128270</wp:posOffset>
              </wp:positionV>
              <wp:extent cx="3971925" cy="1911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971925" cy="191135"/>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5pt;margin-top:-10.1pt;height:15.05pt;width:312.75pt;z-index:251659264;mso-width-relative:page;mso-height-relative:page;" filled="f" stroked="f" coordsize="21600,21600" o:gfxdata="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tuq1wAAAAoB&#10;AAAPAAAAAAAAAAEAIAAAACIAAABkcnMvZG93bnJldi54bWxQSwECFAAUAAAACACHTuJA7FqQrxwC&#10;AAAjBAAADgAAAAAAAAABACAAAAAmAQAAZHJzL2Uyb0RvYy54bWxQSwUGAAAAAAYABgBZAQAAtAUA&#10;AAAA&#10;">
              <v:fill on="f" focussize="0,0"/>
              <v:stroke on="f"/>
              <v:imagedata o:title=""/>
              <o:lock v:ext="edit" aspectratio="f"/>
              <v:textbox>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76B0322E"/>
    <w:rsid w:val="4EC05493"/>
    <w:rsid w:val="52B23CBC"/>
    <w:rsid w:val="76B0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link w:val="10"/>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eastAsia="仿宋_GB2312"/>
      <w:sz w:val="32"/>
      <w:szCs w:val="24"/>
    </w:rPr>
  </w:style>
  <w:style w:type="paragraph" w:styleId="4">
    <w:name w:val="annotation text"/>
    <w:basedOn w:val="1"/>
    <w:unhideWhenUsed/>
    <w:qFormat/>
    <w:uiPriority w:val="99"/>
    <w:pPr>
      <w:jc w:val="left"/>
    </w:pPr>
    <w:rPr>
      <w:rFonts w:ascii="Times New Roman" w:hAnsi="Times New Roman" w:eastAsia="仿宋_GB2312" w:cs="Times New Roman"/>
      <w:sz w:val="32"/>
      <w:szCs w:val="24"/>
    </w:r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basedOn w:val="8"/>
    <w:qFormat/>
    <w:uiPriority w:val="99"/>
  </w:style>
  <w:style w:type="character" w:customStyle="1" w:styleId="10">
    <w:name w:val="标题 4 Char"/>
    <w:basedOn w:val="8"/>
    <w:link w:val="3"/>
    <w:qFormat/>
    <w:uiPriority w:val="9"/>
    <w:rPr>
      <w:rFonts w:ascii="Cambria" w:hAnsi="Cambria" w:eastAsia="宋体" w:cs="Times New Roman"/>
      <w:b/>
      <w:bCs/>
      <w:sz w:val="28"/>
      <w:szCs w:val="28"/>
    </w:rPr>
  </w:style>
  <w:style w:type="character" w:customStyle="1" w:styleId="11">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2023-10-23T12:25:00Z</dcterms:created>
  <dc:creator>*</dc:creator>
  <cp:lastModifiedBy>来莹芳（信息服务专班）</cp:lastModifiedBy>
  <dcterms:modified xsi:type="dcterms:W3CDTF">2025-04-28T06:53:40Z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5111662BE3EC4F038E4F058CA9B40C67_13</vt:lpwstr>
  </property>
</Properties>
</file>