
<file path=[Content_Types].xml><?xml version="1.0" encoding="utf-8"?>
<Types xmlns="http://schemas.openxmlformats.org/package/2006/content-types">
  <Default Extension="xml" ContentType="application/xml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e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6"/>
        <w:bidi w:val="0"/>
        <w:rPr>
          <w:rFonts w:hint="eastAsia"/>
          <w:lang w:val="en-US" w:eastAsia="zh-CN"/>
        </w:rPr>
      </w:pPr>
    </w:p>
    <w:p>
      <w:pPr>
        <w:pStyle w:val="16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关于《宁波市培育壮大总部经济实施方案</w:t>
      </w:r>
      <w:bookmarkStart w:id="0" w:name="_GoBack"/>
      <w:bookmarkEnd w:id="0"/>
      <w:r>
        <w:rPr>
          <w:rFonts w:hint="eastAsia"/>
          <w:lang w:val="en-US" w:eastAsia="zh-CN"/>
        </w:rPr>
        <w:t>（2024—2027年）（征求意见稿）》的起草说明</w:t>
      </w:r>
    </w:p>
    <w:p>
      <w:pPr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kern w:val="2"/>
          <w:sz w:val="32"/>
          <w:szCs w:val="40"/>
          <w:highlight w:val="none"/>
          <w:lang w:val="en-US" w:eastAsia="zh-CN" w:bidi="ar-SA"/>
        </w:rPr>
      </w:pPr>
      <w:r>
        <w:rPr>
          <w:rFonts w:hint="default"/>
          <w:lang w:val="en-US" w:eastAsia="zh-CN"/>
        </w:rPr>
        <w:t>贯彻落实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kern w:val="2"/>
          <w:sz w:val="32"/>
          <w:szCs w:val="40"/>
          <w:highlight w:val="none"/>
          <w:lang w:val="en-US" w:eastAsia="zh-CN" w:bidi="ar-SA"/>
        </w:rPr>
        <w:t>市委</w:t>
      </w:r>
      <w:r>
        <w:rPr>
          <w:rFonts w:hint="eastAsia" w:ascii="Times New Roman" w:hAnsi="Times New Roman" w:cs="Times New Roman"/>
          <w:b w:val="0"/>
          <w:bCs w:val="0"/>
          <w:color w:val="auto"/>
          <w:kern w:val="2"/>
          <w:sz w:val="32"/>
          <w:szCs w:val="40"/>
          <w:highlight w:val="none"/>
          <w:lang w:val="en-US" w:eastAsia="zh-CN" w:bidi="ar-SA"/>
        </w:rPr>
        <w:t>市政府关于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kern w:val="2"/>
          <w:sz w:val="32"/>
          <w:szCs w:val="40"/>
          <w:highlight w:val="none"/>
          <w:lang w:val="en-US" w:eastAsia="zh-CN" w:bidi="ar-SA"/>
        </w:rPr>
        <w:t>总部经济报告的批示</w:t>
      </w:r>
      <w:r>
        <w:rPr>
          <w:rFonts w:hint="eastAsia" w:ascii="Times New Roman" w:hAnsi="Times New Roman" w:cs="Times New Roman"/>
          <w:b w:val="0"/>
          <w:bCs w:val="0"/>
          <w:color w:val="auto"/>
          <w:kern w:val="2"/>
          <w:sz w:val="32"/>
          <w:szCs w:val="40"/>
          <w:highlight w:val="none"/>
          <w:lang w:val="en-US" w:eastAsia="zh-CN" w:bidi="ar-SA"/>
        </w:rPr>
        <w:t>精神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kern w:val="2"/>
          <w:sz w:val="32"/>
          <w:szCs w:val="40"/>
          <w:highlight w:val="none"/>
          <w:lang w:val="en-US" w:eastAsia="zh-CN" w:bidi="ar-SA"/>
        </w:rPr>
        <w:t>，</w:t>
      </w:r>
      <w:r>
        <w:rPr>
          <w:rFonts w:hint="eastAsia" w:ascii="Times New Roman" w:hAnsi="Times New Roman" w:cs="Times New Roman"/>
          <w:b w:val="0"/>
          <w:bCs w:val="0"/>
          <w:color w:val="auto"/>
          <w:kern w:val="2"/>
          <w:sz w:val="32"/>
          <w:szCs w:val="40"/>
          <w:highlight w:val="none"/>
          <w:lang w:val="en-US" w:eastAsia="zh-CN" w:bidi="ar-SA"/>
        </w:rPr>
        <w:t>市发改委研究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kern w:val="2"/>
          <w:sz w:val="32"/>
          <w:szCs w:val="40"/>
          <w:highlight w:val="none"/>
          <w:lang w:val="en-US" w:eastAsia="zh-CN" w:bidi="ar-SA"/>
        </w:rPr>
        <w:t>形成《宁波市培育壮大总部经济实施方案（2024—2027年）（征求意见稿）》（以下简称《实施方案》）。现就有关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kern w:val="2"/>
          <w:sz w:val="32"/>
          <w:szCs w:val="40"/>
          <w:highlight w:val="none"/>
          <w:lang w:val="en-US" w:eastAsia="zh-CN" w:bidi="ar-SA"/>
        </w:rPr>
        <w:t>起草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kern w:val="2"/>
          <w:sz w:val="32"/>
          <w:szCs w:val="40"/>
          <w:highlight w:val="none"/>
          <w:lang w:val="en-US" w:eastAsia="zh-CN" w:bidi="ar-SA"/>
        </w:rPr>
        <w:t>情况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kern w:val="2"/>
          <w:sz w:val="32"/>
          <w:szCs w:val="40"/>
          <w:highlight w:val="none"/>
          <w:lang w:val="en-US" w:eastAsia="zh-CN" w:bidi="ar-SA"/>
        </w:rPr>
        <w:t>说明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kern w:val="2"/>
          <w:sz w:val="32"/>
          <w:szCs w:val="40"/>
          <w:highlight w:val="none"/>
          <w:lang w:val="en-US" w:eastAsia="zh-CN" w:bidi="ar-SA"/>
        </w:rPr>
        <w:t>如下：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80" w:lineRule="exact"/>
        <w:ind w:left="0" w:firstLine="640" w:firstLineChars="200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kern w:val="2"/>
          <w:sz w:val="32"/>
          <w:szCs w:val="40"/>
          <w:highlight w:val="none"/>
          <w:lang w:val="en-US" w:eastAsia="zh-CN" w:bidi="ar-SA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auto"/>
          <w:kern w:val="2"/>
          <w:sz w:val="32"/>
          <w:szCs w:val="40"/>
          <w:highlight w:val="none"/>
          <w:lang w:val="en-US" w:eastAsia="zh-CN" w:bidi="ar-SA"/>
        </w:rPr>
        <w:t>一、研究过程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80" w:lineRule="exact"/>
        <w:ind w:left="0" w:firstLine="640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40"/>
          <w:highlight w:val="yellow"/>
          <w:lang w:val="en-US" w:eastAsia="zh-CN"/>
        </w:rPr>
      </w:pPr>
      <w:r>
        <w:rPr>
          <w:rFonts w:hint="default" w:ascii="Times New Roman" w:hAnsi="Times New Roman" w:eastAsia="方正楷体简体" w:cs="Times New Roman"/>
          <w:b w:val="0"/>
          <w:bCs w:val="0"/>
          <w:color w:val="auto"/>
          <w:sz w:val="32"/>
          <w:szCs w:val="32"/>
          <w:lang w:val="en-US" w:eastAsia="zh-CN"/>
        </w:rPr>
        <w:t>（一）排摸家底。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40"/>
          <w:highlight w:val="none"/>
          <w:lang w:val="en-US" w:eastAsia="zh-CN"/>
        </w:rPr>
        <w:t>全面摸排分析我市2021年首次开展认定以来总部企业发展的情况：从体量看，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kern w:val="2"/>
          <w:sz w:val="32"/>
          <w:szCs w:val="40"/>
          <w:lang w:val="en-US" w:eastAsia="zh-CN" w:bidi="ar-SA"/>
        </w:rPr>
        <w:t>首批共认定总部企业418家，截至2023年底，全市经认定和排摸的总部企业累计数量达到735家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40"/>
          <w:highlight w:val="none"/>
          <w:lang w:val="en-US" w:eastAsia="zh-CN"/>
        </w:rPr>
        <w:t>（按2021年我市认定标准）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kern w:val="2"/>
          <w:sz w:val="32"/>
          <w:szCs w:val="40"/>
          <w:lang w:val="en-US" w:eastAsia="zh-CN" w:bidi="ar-SA"/>
        </w:rPr>
        <w:t>；从结构看，制造业总部是行业主体，占全市三成以上，批发零售业次之，占比近1/5；租赁和商务服务业、科学研究和技术服务业、金融业、交通运输仓储和邮政业占比分别为11%、8%、7%和6%；总部经济贡献突出，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735家总部企业营业收入突破2万亿元，占全市比重接近1/3，贡献税收收入超400亿元。短板问题也很明显：综合实力整体较弱，新兴总部培育滞后，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集聚辐射特征不强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lang w:val="en-US" w:eastAsia="zh-CN"/>
        </w:rPr>
        <w:t>，精准支持力度不够。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80" w:lineRule="exact"/>
        <w:ind w:left="0"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方正楷体简体" w:cs="Times New Roman"/>
          <w:b w:val="0"/>
          <w:bCs w:val="0"/>
          <w:color w:val="auto"/>
          <w:sz w:val="32"/>
          <w:szCs w:val="32"/>
          <w:lang w:val="en-US" w:eastAsia="zh-CN"/>
        </w:rPr>
        <w:t>（二）对标对表。深入贯彻落实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《浙江省鼓励和引导发展总部经济的若干意见（修订版）》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（浙发改投资〔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2023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〕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266号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）精神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，吃透最新文件要求、政策导向和工作推进机制。同时，以上海、深圳、广州、苏州、杭州、合肥等国内主要城市为对象，归纳总结这些城市出台的总部经济认定办法和扶持政策，比较分析宁波特色优势和主要短板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，结合宁波实际，提出对策措施。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80" w:lineRule="exact"/>
        <w:ind w:left="0" w:firstLine="640" w:firstLineChars="200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7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楷体_GB2312" w:cs="Times New Roman"/>
          <w:b w:val="0"/>
          <w:bCs w:val="0"/>
          <w:color w:val="auto"/>
          <w:sz w:val="32"/>
          <w:szCs w:val="32"/>
          <w:lang w:val="en-US" w:eastAsia="zh-CN"/>
        </w:rPr>
        <w:t>（三）多方调研。</w:t>
      </w:r>
      <w:r>
        <w:rPr>
          <w:rFonts w:hint="default" w:ascii="Times New Roman" w:hAnsi="Times New Roman" w:eastAsia="仿宋_GB2312" w:cs="Times New Roman"/>
          <w:color w:val="auto"/>
          <w:spacing w:val="7"/>
          <w:sz w:val="32"/>
          <w:szCs w:val="32"/>
          <w:highlight w:val="none"/>
          <w:lang w:val="en-US" w:eastAsia="zh-CN" w:bidi="ar"/>
        </w:rPr>
        <w:t>召开宁波制造类、贸易类、跨国类、研发类等总部企业系列专题座谈会，了解总部企业发展痛点难点和诉求。积极配合市政协“阿拉甬商有话讲”政企协商会工作，会同市级有关部门逐一研究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40"/>
          <w:highlight w:val="none"/>
          <w:lang w:val="en-US" w:eastAsia="zh-CN"/>
        </w:rPr>
        <w:t>市政协9条建议清单</w:t>
      </w:r>
      <w:r>
        <w:rPr>
          <w:rFonts w:hint="default" w:ascii="Times New Roman" w:hAnsi="Times New Roman" w:eastAsia="仿宋_GB2312" w:cs="Times New Roman"/>
          <w:color w:val="auto"/>
          <w:spacing w:val="7"/>
          <w:sz w:val="32"/>
          <w:szCs w:val="32"/>
          <w:highlight w:val="none"/>
          <w:lang w:val="en-US" w:eastAsia="zh-CN" w:bidi="ar"/>
        </w:rPr>
        <w:t>，并将</w:t>
      </w:r>
      <w:r>
        <w:rPr>
          <w:rFonts w:hint="eastAsia" w:ascii="Times New Roman" w:hAnsi="Times New Roman" w:eastAsia="仿宋_GB2312" w:cs="Times New Roman"/>
          <w:color w:val="auto"/>
          <w:spacing w:val="7"/>
          <w:sz w:val="32"/>
          <w:szCs w:val="32"/>
          <w:highlight w:val="none"/>
          <w:lang w:val="en-US" w:eastAsia="zh-CN" w:bidi="ar"/>
        </w:rPr>
        <w:t>相</w:t>
      </w:r>
      <w:r>
        <w:rPr>
          <w:rFonts w:hint="default" w:ascii="Times New Roman" w:hAnsi="Times New Roman" w:eastAsia="仿宋_GB2312" w:cs="Times New Roman"/>
          <w:color w:val="auto"/>
          <w:spacing w:val="7"/>
          <w:sz w:val="32"/>
          <w:szCs w:val="32"/>
          <w:highlight w:val="none"/>
          <w:lang w:val="en-US" w:eastAsia="zh-CN" w:bidi="ar"/>
        </w:rPr>
        <w:t>应举措有机吸纳到《实施方案》中。此外，还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40"/>
          <w:highlight w:val="none"/>
          <w:lang w:val="en-US" w:eastAsia="zh-CN"/>
        </w:rPr>
        <w:t>面向总部企业开展政策需求问卷调查，如</w:t>
      </w:r>
      <w:r>
        <w:rPr>
          <w:rFonts w:hint="default" w:ascii="Times New Roman" w:hAnsi="Times New Roman" w:eastAsia="仿宋_GB2312" w:cs="Times New Roman"/>
          <w:color w:val="auto"/>
          <w:spacing w:val="7"/>
          <w:sz w:val="32"/>
          <w:szCs w:val="32"/>
          <w:highlight w:val="none"/>
          <w:lang w:bidi="ar"/>
        </w:rPr>
        <w:t>总部企业最迫切需要政府提供的支持主要集中在财政资金支持</w:t>
      </w:r>
      <w:r>
        <w:rPr>
          <w:rFonts w:hint="default" w:ascii="Times New Roman" w:hAnsi="Times New Roman" w:eastAsia="仿宋_GB2312" w:cs="Times New Roman"/>
          <w:color w:val="auto"/>
          <w:spacing w:val="7"/>
          <w:sz w:val="32"/>
          <w:szCs w:val="32"/>
          <w:highlight w:val="none"/>
          <w:lang w:eastAsia="zh-CN" w:bidi="ar"/>
        </w:rPr>
        <w:t>（</w:t>
      </w:r>
      <w:r>
        <w:rPr>
          <w:rFonts w:hint="default" w:ascii="Times New Roman" w:hAnsi="Times New Roman" w:eastAsia="仿宋_GB2312" w:cs="Times New Roman"/>
          <w:color w:val="auto"/>
          <w:spacing w:val="7"/>
          <w:sz w:val="32"/>
          <w:szCs w:val="32"/>
          <w:highlight w:val="none"/>
          <w:lang w:val="en-US" w:eastAsia="zh-CN" w:bidi="ar"/>
        </w:rPr>
        <w:t>59.34%</w:t>
      </w:r>
      <w:r>
        <w:rPr>
          <w:rFonts w:hint="default" w:ascii="Times New Roman" w:hAnsi="Times New Roman" w:eastAsia="仿宋_GB2312" w:cs="Times New Roman"/>
          <w:color w:val="auto"/>
          <w:spacing w:val="7"/>
          <w:sz w:val="32"/>
          <w:szCs w:val="32"/>
          <w:highlight w:val="none"/>
          <w:lang w:eastAsia="zh-CN" w:bidi="ar"/>
        </w:rPr>
        <w:t>）、</w:t>
      </w:r>
      <w:r>
        <w:rPr>
          <w:rFonts w:hint="default" w:ascii="Times New Roman" w:hAnsi="Times New Roman" w:eastAsia="仿宋_GB2312" w:cs="Times New Roman"/>
          <w:color w:val="auto"/>
          <w:spacing w:val="7"/>
          <w:sz w:val="32"/>
          <w:szCs w:val="32"/>
          <w:highlight w:val="none"/>
          <w:lang w:bidi="ar"/>
        </w:rPr>
        <w:t>人才支持</w:t>
      </w:r>
      <w:r>
        <w:rPr>
          <w:rFonts w:hint="default" w:ascii="Times New Roman" w:hAnsi="Times New Roman" w:eastAsia="仿宋_GB2312" w:cs="Times New Roman"/>
          <w:color w:val="auto"/>
          <w:spacing w:val="7"/>
          <w:sz w:val="32"/>
          <w:szCs w:val="32"/>
          <w:highlight w:val="none"/>
          <w:lang w:eastAsia="zh-CN" w:bidi="ar"/>
        </w:rPr>
        <w:t>（</w:t>
      </w:r>
      <w:r>
        <w:rPr>
          <w:rFonts w:hint="default" w:ascii="Times New Roman" w:hAnsi="Times New Roman" w:eastAsia="仿宋_GB2312" w:cs="Times New Roman"/>
          <w:color w:val="auto"/>
          <w:spacing w:val="7"/>
          <w:sz w:val="32"/>
          <w:szCs w:val="32"/>
          <w:highlight w:val="none"/>
          <w:lang w:val="en-US" w:eastAsia="zh-CN" w:bidi="ar"/>
        </w:rPr>
        <w:t>52.75%</w:t>
      </w:r>
      <w:r>
        <w:rPr>
          <w:rFonts w:hint="default" w:ascii="Times New Roman" w:hAnsi="Times New Roman" w:eastAsia="仿宋_GB2312" w:cs="Times New Roman"/>
          <w:color w:val="auto"/>
          <w:spacing w:val="7"/>
          <w:sz w:val="32"/>
          <w:szCs w:val="32"/>
          <w:highlight w:val="none"/>
          <w:lang w:eastAsia="zh-CN" w:bidi="ar"/>
        </w:rPr>
        <w:t>）、</w:t>
      </w:r>
      <w:r>
        <w:rPr>
          <w:rFonts w:hint="default" w:ascii="Times New Roman" w:hAnsi="Times New Roman" w:eastAsia="仿宋_GB2312" w:cs="Times New Roman"/>
          <w:color w:val="auto"/>
          <w:spacing w:val="7"/>
          <w:sz w:val="32"/>
          <w:szCs w:val="32"/>
          <w:highlight w:val="none"/>
          <w:lang w:val="en-US" w:eastAsia="zh-CN" w:bidi="ar"/>
        </w:rPr>
        <w:t>创新支持（39.84%）等</w:t>
      </w:r>
      <w:r>
        <w:rPr>
          <w:rFonts w:hint="default" w:ascii="Times New Roman" w:hAnsi="Times New Roman" w:eastAsia="仿宋_GB2312" w:cs="Times New Roman"/>
          <w:color w:val="auto"/>
          <w:spacing w:val="7"/>
          <w:sz w:val="32"/>
          <w:szCs w:val="32"/>
          <w:highlight w:val="none"/>
          <w:lang w:bidi="ar"/>
        </w:rPr>
        <w:t>方面</w:t>
      </w:r>
      <w:r>
        <w:rPr>
          <w:rFonts w:hint="default" w:ascii="Times New Roman" w:hAnsi="Times New Roman" w:eastAsia="仿宋_GB2312" w:cs="Times New Roman"/>
          <w:color w:val="auto"/>
          <w:spacing w:val="7"/>
          <w:sz w:val="32"/>
          <w:szCs w:val="32"/>
          <w:highlight w:val="none"/>
          <w:lang w:eastAsia="zh-CN" w:bidi="ar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80" w:lineRule="exact"/>
        <w:ind w:left="0" w:firstLine="668" w:firstLineChars="200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40"/>
          <w:highlight w:val="none"/>
          <w:lang w:val="en-US" w:eastAsia="zh-CN"/>
        </w:rPr>
      </w:pPr>
      <w:r>
        <w:rPr>
          <w:rFonts w:hint="default" w:ascii="Times New Roman" w:hAnsi="Times New Roman" w:eastAsia="方正楷体简体" w:cs="Times New Roman"/>
          <w:b w:val="0"/>
          <w:bCs w:val="0"/>
          <w:color w:val="auto"/>
          <w:spacing w:val="7"/>
          <w:sz w:val="32"/>
          <w:szCs w:val="32"/>
          <w:highlight w:val="none"/>
          <w:lang w:val="en-US" w:eastAsia="zh-CN" w:bidi="ar"/>
        </w:rPr>
        <w:t>（四）征求意见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7"/>
          <w:sz w:val="32"/>
          <w:szCs w:val="32"/>
          <w:highlight w:val="none"/>
          <w:lang w:val="en-US" w:eastAsia="zh-CN" w:bidi="ar"/>
        </w:rPr>
        <w:t>。先后两次征求15个市级部门和12个属地意见。此次《实施方案》共采纳和部分采纳意见建议19条，未采纳意见1条（主要涉及职责分工），其他部门和属地无意见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kern w:val="2"/>
          <w:sz w:val="32"/>
          <w:szCs w:val="40"/>
          <w:highlight w:val="none"/>
          <w:lang w:val="en-US" w:eastAsia="zh-CN" w:bidi="ar-SA"/>
        </w:rPr>
        <w:t>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80" w:lineRule="exact"/>
        <w:ind w:left="0" w:firstLine="640" w:firstLineChars="200"/>
        <w:textAlignment w:val="auto"/>
        <w:rPr>
          <w:rFonts w:hint="default" w:ascii="Times New Roman" w:hAnsi="Times New Roman" w:eastAsia="黑体" w:cs="Times New Roman"/>
          <w:b w:val="0"/>
          <w:bCs w:val="0"/>
          <w:color w:val="auto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auto"/>
          <w:lang w:val="en-US" w:eastAsia="zh-CN"/>
        </w:rPr>
        <w:t>二、《实施方案》主要内容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80" w:lineRule="exact"/>
        <w:ind w:left="0"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auto"/>
          <w:kern w:val="2"/>
          <w:sz w:val="32"/>
          <w:szCs w:val="40"/>
          <w:highlight w:val="none"/>
          <w:lang w:val="en-US" w:eastAsia="zh-CN" w:bidi="ar-SA"/>
        </w:rPr>
        <w:t>《实施方案》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总体包括4个部分，分别为总体要求、认定办法、重点任务以及组织实施。</w:t>
      </w:r>
    </w:p>
    <w:p>
      <w:pPr>
        <w:keepNext w:val="0"/>
        <w:keepLines w:val="0"/>
        <w:pageBreakBefore w:val="0"/>
        <w:widowControl w:val="0"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spacing w:line="580" w:lineRule="exact"/>
        <w:ind w:left="0" w:leftChars="0"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方正楷体简体" w:cs="Times New Roman"/>
          <w:color w:val="auto"/>
          <w:sz w:val="32"/>
          <w:szCs w:val="32"/>
          <w:lang w:val="en-US" w:eastAsia="zh-CN"/>
        </w:rPr>
        <w:t>（一）总体要求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。深入学习贯彻党的二十大和二十届二中、三中全会精神，按照市委十四届六次全会决策部署，坚持“外引、内育”并重、“强优、补短”并举原则，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盯牢民营企业、跨国企业、央企国企三类主体，聚焦制造型、贸易流通型、跨国型、研发创新型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其他型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总部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（“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4+1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类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，聚力于引进一批、培育一批、做强一批，加快实施六大工程，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到2027年，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总部数量累计增长20%以上，培育一批省级总部领军企业，实现世界500强企业零的突破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line="580" w:lineRule="exact"/>
        <w:ind w:left="0" w:lef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40"/>
          <w:lang w:val="en-US" w:eastAsia="zh-CN"/>
        </w:rPr>
      </w:pPr>
      <w:r>
        <w:rPr>
          <w:rFonts w:hint="default" w:ascii="Times New Roman" w:hAnsi="Times New Roman" w:eastAsia="方正楷体简体" w:cs="Times New Roman"/>
          <w:color w:val="auto"/>
          <w:sz w:val="32"/>
          <w:szCs w:val="32"/>
          <w:lang w:val="en-US" w:eastAsia="zh-CN"/>
        </w:rPr>
        <w:t>（二）认定办法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40"/>
          <w:lang w:val="en-US" w:eastAsia="zh-CN"/>
        </w:rPr>
        <w:t>我市按照省级总部、市级总部两个层级进行认定，并参考国内城市明确了认定标准。其中，</w:t>
      </w: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40"/>
          <w:lang w:val="en-US" w:eastAsia="zh-CN"/>
        </w:rPr>
        <w:t>省级总部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40"/>
          <w:lang w:val="en-US" w:eastAsia="zh-CN"/>
        </w:rPr>
        <w:t>企业按照《若干意见》标准认定（分为跨国企业型总部、跨国机构型总部、民营企业型总部、民营机构型总部、央企企业型总部、央企机构型总部）；</w:t>
      </w: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40"/>
          <w:lang w:val="en-US" w:eastAsia="zh-CN"/>
        </w:rPr>
        <w:t>市级总部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40"/>
          <w:lang w:val="en-US" w:eastAsia="zh-CN"/>
        </w:rPr>
        <w:t>认定，突出宁波优势领域和发展要求，拟按制造型、贸易流通型、跨国型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40"/>
          <w:lang w:val="en-US" w:eastAsia="zh-CN"/>
        </w:rPr>
        <w:t>、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40"/>
          <w:lang w:val="en-US" w:eastAsia="zh-CN"/>
        </w:rPr>
        <w:t>研发创新型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40"/>
          <w:lang w:val="en-US" w:eastAsia="zh-CN"/>
        </w:rPr>
        <w:t>以及其他型总部（“4+1”类）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40"/>
          <w:lang w:val="en-US" w:eastAsia="zh-CN"/>
        </w:rPr>
        <w:t>进行认定。此外，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参照其他城市做法，对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央企省企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以及全球、中国等各类榜单企业和上市公司进行直接认定。</w:t>
      </w:r>
    </w:p>
    <w:p>
      <w:pPr>
        <w:keepNext w:val="0"/>
        <w:keepLines w:val="0"/>
        <w:pageBreakBefore w:val="0"/>
        <w:widowControl w:val="0"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line="580" w:lineRule="exact"/>
        <w:ind w:left="0" w:lef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楷体简体" w:cs="Times New Roman"/>
          <w:color w:val="auto"/>
          <w:sz w:val="32"/>
          <w:szCs w:val="32"/>
          <w:lang w:val="en-US" w:eastAsia="zh-CN"/>
        </w:rPr>
        <w:t>（三）重点任务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lang w:val="en-US" w:eastAsia="zh-CN"/>
        </w:rPr>
        <w:t>按照“总部企业+总部基地+总部政策+总部服务”的立体推进策略，提出实施梯度培育、精准招引、空间集聚、内融外链、赋能增效、环境优化六大行动，推动总部经济推进体系从财政奖励型转向与机制赋能型并重。</w:t>
      </w:r>
    </w:p>
    <w:p>
      <w:pPr>
        <w:keepNext w:val="0"/>
        <w:keepLines w:val="0"/>
        <w:pageBreakBefore w:val="0"/>
        <w:widowControl w:val="0"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line="580" w:lineRule="exact"/>
        <w:ind w:left="0" w:lef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楷体简体" w:cs="Times New Roman"/>
          <w:color w:val="auto"/>
          <w:sz w:val="32"/>
          <w:szCs w:val="32"/>
          <w:lang w:val="en-US" w:eastAsia="zh-CN"/>
        </w:rPr>
        <w:t>（四）组织实施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。主要包括加强统筹协调、加强监测评估、优化企业服务和加强宣传引导四个方面，重点建立“市区联动、以区为主，统分结合、分类施策”的工作机制。</w:t>
      </w:r>
    </w:p>
    <w:p>
      <w:pPr>
        <w:pStyle w:val="12"/>
        <w:rPr>
          <w:rFonts w:hint="default"/>
          <w:lang w:val="en-US" w:eastAsia="zh-CN"/>
        </w:rPr>
      </w:pPr>
    </w:p>
    <w:sectPr>
      <w:footerReference r:id="rId5" w:type="default"/>
      <w:pgSz w:w="11900" w:h="16840"/>
      <w:pgMar w:top="1814" w:right="1417" w:bottom="1474" w:left="1417" w:header="851" w:footer="964" w:gutter="0"/>
      <w:pgNumType w:fmt="decimal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0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50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楷体简体">
    <w:altName w:val="方正楷体_GBK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rPr>
        <w:rFonts w:hint="eastAsia"/>
        <w:lang w:eastAsia="zh-CN"/>
      </w:rPr>
    </w:pPr>
    <w:r>
      <w:rPr>
        <w:sz w:val="21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true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3ZWZjMTNlYmRiZTMxNzgwOTUzZWMxMzg3ZTViOTkifQ=="/>
  </w:docVars>
  <w:rsids>
    <w:rsidRoot w:val="00000000"/>
    <w:rsid w:val="000A7879"/>
    <w:rsid w:val="00520CA7"/>
    <w:rsid w:val="008150AD"/>
    <w:rsid w:val="01442D21"/>
    <w:rsid w:val="01750DE4"/>
    <w:rsid w:val="01756B16"/>
    <w:rsid w:val="019A6790"/>
    <w:rsid w:val="01EE19B6"/>
    <w:rsid w:val="03066E53"/>
    <w:rsid w:val="0397448D"/>
    <w:rsid w:val="03AD19E9"/>
    <w:rsid w:val="03F67248"/>
    <w:rsid w:val="040113E5"/>
    <w:rsid w:val="04073A71"/>
    <w:rsid w:val="041571AB"/>
    <w:rsid w:val="041C4973"/>
    <w:rsid w:val="045B70AB"/>
    <w:rsid w:val="04751614"/>
    <w:rsid w:val="048C54B6"/>
    <w:rsid w:val="04D36F40"/>
    <w:rsid w:val="04DC6945"/>
    <w:rsid w:val="04ED79F6"/>
    <w:rsid w:val="051C42B2"/>
    <w:rsid w:val="05D26C83"/>
    <w:rsid w:val="05D62E8D"/>
    <w:rsid w:val="05E03D0C"/>
    <w:rsid w:val="05F2546D"/>
    <w:rsid w:val="05F76E85"/>
    <w:rsid w:val="06345A70"/>
    <w:rsid w:val="069F5975"/>
    <w:rsid w:val="06B84C89"/>
    <w:rsid w:val="07221E8A"/>
    <w:rsid w:val="072D630F"/>
    <w:rsid w:val="0739362A"/>
    <w:rsid w:val="0793363D"/>
    <w:rsid w:val="07D765B9"/>
    <w:rsid w:val="07DC691F"/>
    <w:rsid w:val="084224F8"/>
    <w:rsid w:val="089619F8"/>
    <w:rsid w:val="08D0061A"/>
    <w:rsid w:val="09335189"/>
    <w:rsid w:val="09762C94"/>
    <w:rsid w:val="09FC4E43"/>
    <w:rsid w:val="0A2F7010"/>
    <w:rsid w:val="0A67009C"/>
    <w:rsid w:val="0A99263D"/>
    <w:rsid w:val="0B920E35"/>
    <w:rsid w:val="0BA15CEB"/>
    <w:rsid w:val="0BAF708A"/>
    <w:rsid w:val="0BD76083"/>
    <w:rsid w:val="0BEE30CD"/>
    <w:rsid w:val="0BFB7937"/>
    <w:rsid w:val="0C8B0614"/>
    <w:rsid w:val="0CFB58CF"/>
    <w:rsid w:val="0D002EE5"/>
    <w:rsid w:val="0D572B04"/>
    <w:rsid w:val="0D5C22CA"/>
    <w:rsid w:val="0DFC3A7E"/>
    <w:rsid w:val="0EA60BFC"/>
    <w:rsid w:val="0EAB4F74"/>
    <w:rsid w:val="0EE33B38"/>
    <w:rsid w:val="0EF645A0"/>
    <w:rsid w:val="0EFB4E8F"/>
    <w:rsid w:val="0F0916B3"/>
    <w:rsid w:val="0F2C7F81"/>
    <w:rsid w:val="0F614A9A"/>
    <w:rsid w:val="0F6D41A5"/>
    <w:rsid w:val="0FA74C58"/>
    <w:rsid w:val="10AC5161"/>
    <w:rsid w:val="10C90D6C"/>
    <w:rsid w:val="112A18FF"/>
    <w:rsid w:val="11492D3A"/>
    <w:rsid w:val="118E2EEB"/>
    <w:rsid w:val="1192071D"/>
    <w:rsid w:val="11DF3712"/>
    <w:rsid w:val="11EA4A7C"/>
    <w:rsid w:val="1228140A"/>
    <w:rsid w:val="1231465B"/>
    <w:rsid w:val="12B44556"/>
    <w:rsid w:val="12E8121B"/>
    <w:rsid w:val="12EB798A"/>
    <w:rsid w:val="12FB03D7"/>
    <w:rsid w:val="130A284E"/>
    <w:rsid w:val="130E2869"/>
    <w:rsid w:val="13753022"/>
    <w:rsid w:val="13DD2F68"/>
    <w:rsid w:val="13FB4551"/>
    <w:rsid w:val="140F04AF"/>
    <w:rsid w:val="14106F94"/>
    <w:rsid w:val="143F2A23"/>
    <w:rsid w:val="146C7117"/>
    <w:rsid w:val="149208C7"/>
    <w:rsid w:val="14EF7AC7"/>
    <w:rsid w:val="1565570C"/>
    <w:rsid w:val="15AB798D"/>
    <w:rsid w:val="15B34F99"/>
    <w:rsid w:val="15DD2016"/>
    <w:rsid w:val="16615B05"/>
    <w:rsid w:val="16C17009"/>
    <w:rsid w:val="16DDC25F"/>
    <w:rsid w:val="172D0DF6"/>
    <w:rsid w:val="174B3FB3"/>
    <w:rsid w:val="17A15F9E"/>
    <w:rsid w:val="17D32D00"/>
    <w:rsid w:val="19B92850"/>
    <w:rsid w:val="19FF475A"/>
    <w:rsid w:val="1B3948E4"/>
    <w:rsid w:val="1BAA0767"/>
    <w:rsid w:val="1C9E24D3"/>
    <w:rsid w:val="1DBD7632"/>
    <w:rsid w:val="1DD2442A"/>
    <w:rsid w:val="1DFD7825"/>
    <w:rsid w:val="1E635082"/>
    <w:rsid w:val="1E9DC746"/>
    <w:rsid w:val="1EB414E9"/>
    <w:rsid w:val="1EDC138F"/>
    <w:rsid w:val="1F114ADE"/>
    <w:rsid w:val="1F604CF1"/>
    <w:rsid w:val="1F7056D0"/>
    <w:rsid w:val="1F9736CC"/>
    <w:rsid w:val="1FAA740D"/>
    <w:rsid w:val="1FBC8EC0"/>
    <w:rsid w:val="1FFF7A54"/>
    <w:rsid w:val="201E2DF1"/>
    <w:rsid w:val="208462D7"/>
    <w:rsid w:val="209D0F0E"/>
    <w:rsid w:val="20D01D2C"/>
    <w:rsid w:val="20EA3839"/>
    <w:rsid w:val="21015A43"/>
    <w:rsid w:val="214E4B02"/>
    <w:rsid w:val="216E446A"/>
    <w:rsid w:val="219F1863"/>
    <w:rsid w:val="21E91230"/>
    <w:rsid w:val="227D6AC8"/>
    <w:rsid w:val="22DD3655"/>
    <w:rsid w:val="22F56F37"/>
    <w:rsid w:val="22F66D34"/>
    <w:rsid w:val="23190885"/>
    <w:rsid w:val="231D1CA3"/>
    <w:rsid w:val="243A2B6F"/>
    <w:rsid w:val="24661960"/>
    <w:rsid w:val="24AC2E22"/>
    <w:rsid w:val="2523762A"/>
    <w:rsid w:val="257506D0"/>
    <w:rsid w:val="25F07606"/>
    <w:rsid w:val="263B5E84"/>
    <w:rsid w:val="267E5654"/>
    <w:rsid w:val="26D66D39"/>
    <w:rsid w:val="2721312B"/>
    <w:rsid w:val="27637F57"/>
    <w:rsid w:val="27806CA5"/>
    <w:rsid w:val="27912574"/>
    <w:rsid w:val="279D7857"/>
    <w:rsid w:val="27B7381D"/>
    <w:rsid w:val="27B7491C"/>
    <w:rsid w:val="27DB0A15"/>
    <w:rsid w:val="27F5F8EC"/>
    <w:rsid w:val="27FF6384"/>
    <w:rsid w:val="28E05F65"/>
    <w:rsid w:val="295C1443"/>
    <w:rsid w:val="29896721"/>
    <w:rsid w:val="299B1CC2"/>
    <w:rsid w:val="29B17968"/>
    <w:rsid w:val="29C202DC"/>
    <w:rsid w:val="29D841DC"/>
    <w:rsid w:val="29DC000F"/>
    <w:rsid w:val="29F2084F"/>
    <w:rsid w:val="2A4D7312"/>
    <w:rsid w:val="2AD629CB"/>
    <w:rsid w:val="2B0D4CF3"/>
    <w:rsid w:val="2B316109"/>
    <w:rsid w:val="2BCE0DAB"/>
    <w:rsid w:val="2BF2003B"/>
    <w:rsid w:val="2C1F0A81"/>
    <w:rsid w:val="2C634162"/>
    <w:rsid w:val="2C9733C2"/>
    <w:rsid w:val="2CCD1A17"/>
    <w:rsid w:val="2D061DEC"/>
    <w:rsid w:val="2DEE75E6"/>
    <w:rsid w:val="2DEF4DE1"/>
    <w:rsid w:val="2E320174"/>
    <w:rsid w:val="2E3F2BFF"/>
    <w:rsid w:val="2E4C63D0"/>
    <w:rsid w:val="2E4E3659"/>
    <w:rsid w:val="2EFB7029"/>
    <w:rsid w:val="2EFF0CA8"/>
    <w:rsid w:val="2F0B61D3"/>
    <w:rsid w:val="2F216B8E"/>
    <w:rsid w:val="2F42191E"/>
    <w:rsid w:val="2F430CE4"/>
    <w:rsid w:val="2FE92AA7"/>
    <w:rsid w:val="30C977B9"/>
    <w:rsid w:val="312B4B43"/>
    <w:rsid w:val="31834498"/>
    <w:rsid w:val="329058E9"/>
    <w:rsid w:val="32952971"/>
    <w:rsid w:val="32DA0069"/>
    <w:rsid w:val="33285101"/>
    <w:rsid w:val="33D27FC0"/>
    <w:rsid w:val="33D64C00"/>
    <w:rsid w:val="33DB5A3D"/>
    <w:rsid w:val="33EE60D6"/>
    <w:rsid w:val="34404EF5"/>
    <w:rsid w:val="34493FB1"/>
    <w:rsid w:val="344C063B"/>
    <w:rsid w:val="34B873F7"/>
    <w:rsid w:val="354655B8"/>
    <w:rsid w:val="35E937E6"/>
    <w:rsid w:val="35F20D6E"/>
    <w:rsid w:val="36257938"/>
    <w:rsid w:val="36EB6CFB"/>
    <w:rsid w:val="374B4E10"/>
    <w:rsid w:val="37AF2164"/>
    <w:rsid w:val="37F26D55"/>
    <w:rsid w:val="37FE0267"/>
    <w:rsid w:val="3838427A"/>
    <w:rsid w:val="383B7E6A"/>
    <w:rsid w:val="383E0007"/>
    <w:rsid w:val="384573BE"/>
    <w:rsid w:val="387D8CBB"/>
    <w:rsid w:val="38936B7D"/>
    <w:rsid w:val="38AA0A35"/>
    <w:rsid w:val="38D1313E"/>
    <w:rsid w:val="39574BC0"/>
    <w:rsid w:val="39738728"/>
    <w:rsid w:val="399075DE"/>
    <w:rsid w:val="39DC4A6E"/>
    <w:rsid w:val="3A2D5102"/>
    <w:rsid w:val="3AC34131"/>
    <w:rsid w:val="3AF7157C"/>
    <w:rsid w:val="3AFD0519"/>
    <w:rsid w:val="3B1F45A1"/>
    <w:rsid w:val="3B242FE2"/>
    <w:rsid w:val="3B4B63BB"/>
    <w:rsid w:val="3B584997"/>
    <w:rsid w:val="3B5D687E"/>
    <w:rsid w:val="3B8F336E"/>
    <w:rsid w:val="3B903B6F"/>
    <w:rsid w:val="3BAD79B2"/>
    <w:rsid w:val="3BBB871D"/>
    <w:rsid w:val="3BD96E0F"/>
    <w:rsid w:val="3C3D37FE"/>
    <w:rsid w:val="3C494F50"/>
    <w:rsid w:val="3C5C44CA"/>
    <w:rsid w:val="3C980EBF"/>
    <w:rsid w:val="3C9A550E"/>
    <w:rsid w:val="3CBBCB5B"/>
    <w:rsid w:val="3CC226D6"/>
    <w:rsid w:val="3CCB50DF"/>
    <w:rsid w:val="3D7D3613"/>
    <w:rsid w:val="3D967B2B"/>
    <w:rsid w:val="3DB82108"/>
    <w:rsid w:val="3DBB9FF3"/>
    <w:rsid w:val="3DCA654B"/>
    <w:rsid w:val="3E33523E"/>
    <w:rsid w:val="3E9FA17D"/>
    <w:rsid w:val="3ECA19EE"/>
    <w:rsid w:val="3ED74FA5"/>
    <w:rsid w:val="3EFF11E3"/>
    <w:rsid w:val="3F5A5965"/>
    <w:rsid w:val="3FC55916"/>
    <w:rsid w:val="3FEB0904"/>
    <w:rsid w:val="3FEF7E87"/>
    <w:rsid w:val="3FF709C1"/>
    <w:rsid w:val="40D67095"/>
    <w:rsid w:val="41782A6F"/>
    <w:rsid w:val="419024FF"/>
    <w:rsid w:val="41C70D93"/>
    <w:rsid w:val="42036BB0"/>
    <w:rsid w:val="422B5D33"/>
    <w:rsid w:val="42472441"/>
    <w:rsid w:val="4271149A"/>
    <w:rsid w:val="42796D1A"/>
    <w:rsid w:val="427C1C6B"/>
    <w:rsid w:val="42DB07B9"/>
    <w:rsid w:val="438D28A6"/>
    <w:rsid w:val="43D40D1D"/>
    <w:rsid w:val="44460182"/>
    <w:rsid w:val="445A7D7C"/>
    <w:rsid w:val="448B61F3"/>
    <w:rsid w:val="44D92DDC"/>
    <w:rsid w:val="45C67B21"/>
    <w:rsid w:val="45E6170A"/>
    <w:rsid w:val="461C687A"/>
    <w:rsid w:val="465E6DFA"/>
    <w:rsid w:val="46CE337A"/>
    <w:rsid w:val="471D37D5"/>
    <w:rsid w:val="474E26AB"/>
    <w:rsid w:val="475EABFE"/>
    <w:rsid w:val="47662CD8"/>
    <w:rsid w:val="47D55342"/>
    <w:rsid w:val="48A935C9"/>
    <w:rsid w:val="48B325DE"/>
    <w:rsid w:val="49581957"/>
    <w:rsid w:val="497FBFE4"/>
    <w:rsid w:val="49906CF0"/>
    <w:rsid w:val="499441BE"/>
    <w:rsid w:val="49E276F0"/>
    <w:rsid w:val="49FE71A6"/>
    <w:rsid w:val="4A5C2802"/>
    <w:rsid w:val="4A7D2EA4"/>
    <w:rsid w:val="4A9F2732"/>
    <w:rsid w:val="4ADC645D"/>
    <w:rsid w:val="4B5F427D"/>
    <w:rsid w:val="4BE8259F"/>
    <w:rsid w:val="4C0B7EDA"/>
    <w:rsid w:val="4C4524DC"/>
    <w:rsid w:val="4CA312F6"/>
    <w:rsid w:val="4D067443"/>
    <w:rsid w:val="4D6342E6"/>
    <w:rsid w:val="4D6B3488"/>
    <w:rsid w:val="4D804644"/>
    <w:rsid w:val="4DC61755"/>
    <w:rsid w:val="4DCF77D8"/>
    <w:rsid w:val="4E343312"/>
    <w:rsid w:val="4E6F6FA8"/>
    <w:rsid w:val="4E7754B0"/>
    <w:rsid w:val="4E897D72"/>
    <w:rsid w:val="4E8C16DD"/>
    <w:rsid w:val="4F1572F7"/>
    <w:rsid w:val="4F3E18F8"/>
    <w:rsid w:val="4F621C70"/>
    <w:rsid w:val="4F725470"/>
    <w:rsid w:val="4FDD0B8F"/>
    <w:rsid w:val="4FF3D0E1"/>
    <w:rsid w:val="5018709C"/>
    <w:rsid w:val="502247AD"/>
    <w:rsid w:val="505B4610"/>
    <w:rsid w:val="508A0B33"/>
    <w:rsid w:val="50D574E2"/>
    <w:rsid w:val="518773C9"/>
    <w:rsid w:val="51942CFD"/>
    <w:rsid w:val="51C02F45"/>
    <w:rsid w:val="51CB2EB0"/>
    <w:rsid w:val="51FA39B4"/>
    <w:rsid w:val="52711497"/>
    <w:rsid w:val="52B4767F"/>
    <w:rsid w:val="52C13B4A"/>
    <w:rsid w:val="52CA425E"/>
    <w:rsid w:val="534F73A8"/>
    <w:rsid w:val="53730AB5"/>
    <w:rsid w:val="53A5346C"/>
    <w:rsid w:val="54521BD8"/>
    <w:rsid w:val="54693F17"/>
    <w:rsid w:val="54713A81"/>
    <w:rsid w:val="54B88FC3"/>
    <w:rsid w:val="54C75A15"/>
    <w:rsid w:val="552E3401"/>
    <w:rsid w:val="55375A0E"/>
    <w:rsid w:val="554A62B0"/>
    <w:rsid w:val="5556002A"/>
    <w:rsid w:val="558E4320"/>
    <w:rsid w:val="55940AD6"/>
    <w:rsid w:val="55BC205C"/>
    <w:rsid w:val="55BFCD86"/>
    <w:rsid w:val="565700B6"/>
    <w:rsid w:val="56AF271A"/>
    <w:rsid w:val="56FD0009"/>
    <w:rsid w:val="570A312C"/>
    <w:rsid w:val="575617FF"/>
    <w:rsid w:val="57CB2B88"/>
    <w:rsid w:val="57CF23A1"/>
    <w:rsid w:val="57FB31FC"/>
    <w:rsid w:val="585C3C2E"/>
    <w:rsid w:val="58673DC3"/>
    <w:rsid w:val="58A25C3D"/>
    <w:rsid w:val="58AF0508"/>
    <w:rsid w:val="591A2681"/>
    <w:rsid w:val="5937B76C"/>
    <w:rsid w:val="599D72E4"/>
    <w:rsid w:val="599E5E52"/>
    <w:rsid w:val="59FA0622"/>
    <w:rsid w:val="5AF32C10"/>
    <w:rsid w:val="5B1FF992"/>
    <w:rsid w:val="5B5F03A4"/>
    <w:rsid w:val="5B9E711E"/>
    <w:rsid w:val="5BBF37C0"/>
    <w:rsid w:val="5BCC1606"/>
    <w:rsid w:val="5BE80399"/>
    <w:rsid w:val="5CCA5F3D"/>
    <w:rsid w:val="5D1014C2"/>
    <w:rsid w:val="5D4B6E32"/>
    <w:rsid w:val="5DB8393B"/>
    <w:rsid w:val="5DED7874"/>
    <w:rsid w:val="5E375FA2"/>
    <w:rsid w:val="5E6A66DB"/>
    <w:rsid w:val="5E783A1D"/>
    <w:rsid w:val="5E9AD413"/>
    <w:rsid w:val="5EDB6550"/>
    <w:rsid w:val="5EF9CFDD"/>
    <w:rsid w:val="5EFF1032"/>
    <w:rsid w:val="5F462B37"/>
    <w:rsid w:val="5F7268F8"/>
    <w:rsid w:val="5FFF97C1"/>
    <w:rsid w:val="607E12CC"/>
    <w:rsid w:val="60B43691"/>
    <w:rsid w:val="60B50C82"/>
    <w:rsid w:val="6177345F"/>
    <w:rsid w:val="61926AE0"/>
    <w:rsid w:val="619B1F89"/>
    <w:rsid w:val="619F599E"/>
    <w:rsid w:val="61EB0BE3"/>
    <w:rsid w:val="61F873D8"/>
    <w:rsid w:val="624A1CFC"/>
    <w:rsid w:val="626745E4"/>
    <w:rsid w:val="6278256D"/>
    <w:rsid w:val="62970C2B"/>
    <w:rsid w:val="62A3501A"/>
    <w:rsid w:val="62DF7DB4"/>
    <w:rsid w:val="62E9071B"/>
    <w:rsid w:val="62E90DB7"/>
    <w:rsid w:val="632E5287"/>
    <w:rsid w:val="639B0E80"/>
    <w:rsid w:val="63BDCDA3"/>
    <w:rsid w:val="63CA5688"/>
    <w:rsid w:val="63D644F6"/>
    <w:rsid w:val="63EFA9A4"/>
    <w:rsid w:val="63FB1703"/>
    <w:rsid w:val="642569E2"/>
    <w:rsid w:val="64632CB3"/>
    <w:rsid w:val="6471141B"/>
    <w:rsid w:val="64DB4B3E"/>
    <w:rsid w:val="64DE34AC"/>
    <w:rsid w:val="64EC0EFA"/>
    <w:rsid w:val="653D0B17"/>
    <w:rsid w:val="655F791E"/>
    <w:rsid w:val="658B1EE7"/>
    <w:rsid w:val="658E4CDC"/>
    <w:rsid w:val="65CC65B1"/>
    <w:rsid w:val="65E52434"/>
    <w:rsid w:val="65F37EBB"/>
    <w:rsid w:val="66163157"/>
    <w:rsid w:val="662152D9"/>
    <w:rsid w:val="66456B14"/>
    <w:rsid w:val="66AF0431"/>
    <w:rsid w:val="673B5446"/>
    <w:rsid w:val="67566D89"/>
    <w:rsid w:val="675B74F8"/>
    <w:rsid w:val="67AD9854"/>
    <w:rsid w:val="67C74050"/>
    <w:rsid w:val="67FA1B80"/>
    <w:rsid w:val="67FF5A92"/>
    <w:rsid w:val="68004501"/>
    <w:rsid w:val="68E85F0E"/>
    <w:rsid w:val="691312E1"/>
    <w:rsid w:val="693E1250"/>
    <w:rsid w:val="696C085C"/>
    <w:rsid w:val="697E5DCE"/>
    <w:rsid w:val="69FE179F"/>
    <w:rsid w:val="6A3919E0"/>
    <w:rsid w:val="6AA050E2"/>
    <w:rsid w:val="6AA33DBB"/>
    <w:rsid w:val="6BB107A8"/>
    <w:rsid w:val="6BD24DA5"/>
    <w:rsid w:val="6BDFA967"/>
    <w:rsid w:val="6C3058B3"/>
    <w:rsid w:val="6C8B724B"/>
    <w:rsid w:val="6CA207B2"/>
    <w:rsid w:val="6CA420BB"/>
    <w:rsid w:val="6CAA73AF"/>
    <w:rsid w:val="6CB656EE"/>
    <w:rsid w:val="6CD3460A"/>
    <w:rsid w:val="6CD7423E"/>
    <w:rsid w:val="6CFF2327"/>
    <w:rsid w:val="6D114635"/>
    <w:rsid w:val="6DAF2A8F"/>
    <w:rsid w:val="6DBCCAB3"/>
    <w:rsid w:val="6DBDCE37"/>
    <w:rsid w:val="6DEF206D"/>
    <w:rsid w:val="6E0A419F"/>
    <w:rsid w:val="6E4B0EE0"/>
    <w:rsid w:val="6E6C6C08"/>
    <w:rsid w:val="6EA46FFF"/>
    <w:rsid w:val="6FBE9BDD"/>
    <w:rsid w:val="6FEA653B"/>
    <w:rsid w:val="6FEF19CB"/>
    <w:rsid w:val="707F70C6"/>
    <w:rsid w:val="708E25E0"/>
    <w:rsid w:val="70DE346A"/>
    <w:rsid w:val="715A7BA9"/>
    <w:rsid w:val="71A42E3D"/>
    <w:rsid w:val="71AA5EEE"/>
    <w:rsid w:val="71EB6843"/>
    <w:rsid w:val="71F118FE"/>
    <w:rsid w:val="72364FD9"/>
    <w:rsid w:val="72B571A3"/>
    <w:rsid w:val="72E15E16"/>
    <w:rsid w:val="72F35B4A"/>
    <w:rsid w:val="73375079"/>
    <w:rsid w:val="733D2C59"/>
    <w:rsid w:val="73724CC1"/>
    <w:rsid w:val="73DE6CDF"/>
    <w:rsid w:val="74303613"/>
    <w:rsid w:val="74546552"/>
    <w:rsid w:val="75420A51"/>
    <w:rsid w:val="75625E81"/>
    <w:rsid w:val="75722890"/>
    <w:rsid w:val="75A52BA9"/>
    <w:rsid w:val="75BFD480"/>
    <w:rsid w:val="75D553D2"/>
    <w:rsid w:val="762D2A68"/>
    <w:rsid w:val="763224E5"/>
    <w:rsid w:val="7694437D"/>
    <w:rsid w:val="769C3384"/>
    <w:rsid w:val="76A458DC"/>
    <w:rsid w:val="76F759AE"/>
    <w:rsid w:val="76FF2FE5"/>
    <w:rsid w:val="76FF3A27"/>
    <w:rsid w:val="7704022F"/>
    <w:rsid w:val="771310E6"/>
    <w:rsid w:val="77744038"/>
    <w:rsid w:val="77AE9D74"/>
    <w:rsid w:val="77B8E464"/>
    <w:rsid w:val="77BD299B"/>
    <w:rsid w:val="77C9640C"/>
    <w:rsid w:val="77D4115A"/>
    <w:rsid w:val="77DE46A2"/>
    <w:rsid w:val="77FF485E"/>
    <w:rsid w:val="7805491D"/>
    <w:rsid w:val="781C344D"/>
    <w:rsid w:val="78264297"/>
    <w:rsid w:val="789E0306"/>
    <w:rsid w:val="789F0EB1"/>
    <w:rsid w:val="78C61B71"/>
    <w:rsid w:val="78E21FA1"/>
    <w:rsid w:val="78E554C6"/>
    <w:rsid w:val="78FB7506"/>
    <w:rsid w:val="79426E96"/>
    <w:rsid w:val="79825532"/>
    <w:rsid w:val="79F20407"/>
    <w:rsid w:val="79FDA8AE"/>
    <w:rsid w:val="7A1C2CC0"/>
    <w:rsid w:val="7A5261F7"/>
    <w:rsid w:val="7B1530EE"/>
    <w:rsid w:val="7B225CA7"/>
    <w:rsid w:val="7BBA7205"/>
    <w:rsid w:val="7BFFC6C0"/>
    <w:rsid w:val="7C035F07"/>
    <w:rsid w:val="7C9FA659"/>
    <w:rsid w:val="7CB996FC"/>
    <w:rsid w:val="7CEF315C"/>
    <w:rsid w:val="7CF027E3"/>
    <w:rsid w:val="7CFB5C75"/>
    <w:rsid w:val="7D1F6898"/>
    <w:rsid w:val="7D384885"/>
    <w:rsid w:val="7D41DBEF"/>
    <w:rsid w:val="7D785B7F"/>
    <w:rsid w:val="7DED4B41"/>
    <w:rsid w:val="7DF7391C"/>
    <w:rsid w:val="7DF7D41E"/>
    <w:rsid w:val="7E0F3950"/>
    <w:rsid w:val="7E136838"/>
    <w:rsid w:val="7E5FE449"/>
    <w:rsid w:val="7E653035"/>
    <w:rsid w:val="7EE3D06C"/>
    <w:rsid w:val="7EED5B43"/>
    <w:rsid w:val="7EF58E67"/>
    <w:rsid w:val="7EFAFE74"/>
    <w:rsid w:val="7F2DF6D3"/>
    <w:rsid w:val="7F394348"/>
    <w:rsid w:val="7F59985D"/>
    <w:rsid w:val="7F7AC6E5"/>
    <w:rsid w:val="7FB98E50"/>
    <w:rsid w:val="7FBFA5CD"/>
    <w:rsid w:val="7FD602A5"/>
    <w:rsid w:val="7FDF126F"/>
    <w:rsid w:val="7FEFA965"/>
    <w:rsid w:val="7FF7B7F3"/>
    <w:rsid w:val="7FFB7FED"/>
    <w:rsid w:val="8DBA5AB9"/>
    <w:rsid w:val="9DECFAE6"/>
    <w:rsid w:val="9E7B7817"/>
    <w:rsid w:val="9FAF198D"/>
    <w:rsid w:val="9FD1E3BC"/>
    <w:rsid w:val="AD5F1D9C"/>
    <w:rsid w:val="ADFDB4E2"/>
    <w:rsid w:val="AEEA0C56"/>
    <w:rsid w:val="B6BF03B1"/>
    <w:rsid w:val="B9D3EB5C"/>
    <w:rsid w:val="BA77A07E"/>
    <w:rsid w:val="BBFFD62F"/>
    <w:rsid w:val="BDF9E6A8"/>
    <w:rsid w:val="BE7E37F7"/>
    <w:rsid w:val="BE99E7C6"/>
    <w:rsid w:val="BFADFD2A"/>
    <w:rsid w:val="BFDDB4E8"/>
    <w:rsid w:val="C177EAAB"/>
    <w:rsid w:val="CDEF94D5"/>
    <w:rsid w:val="D6147A0F"/>
    <w:rsid w:val="D73827EC"/>
    <w:rsid w:val="D84FCCEB"/>
    <w:rsid w:val="D9B76078"/>
    <w:rsid w:val="D9FE2936"/>
    <w:rsid w:val="DAF31372"/>
    <w:rsid w:val="DF973B7B"/>
    <w:rsid w:val="DFAFC5C4"/>
    <w:rsid w:val="DFB74EE0"/>
    <w:rsid w:val="DFFF20CD"/>
    <w:rsid w:val="DFFF6D88"/>
    <w:rsid w:val="E63B1818"/>
    <w:rsid w:val="EA7FADD4"/>
    <w:rsid w:val="EAFB4565"/>
    <w:rsid w:val="EBBDBFBE"/>
    <w:rsid w:val="ED9B9747"/>
    <w:rsid w:val="EDFF596C"/>
    <w:rsid w:val="EEBE0E96"/>
    <w:rsid w:val="EEDF57E3"/>
    <w:rsid w:val="EEEB811A"/>
    <w:rsid w:val="EEFECC2B"/>
    <w:rsid w:val="EEFFFC28"/>
    <w:rsid w:val="EF710A41"/>
    <w:rsid w:val="EFC725D7"/>
    <w:rsid w:val="EFCF8647"/>
    <w:rsid w:val="EFEF2D60"/>
    <w:rsid w:val="F1AE8E7C"/>
    <w:rsid w:val="F2CD49EA"/>
    <w:rsid w:val="F5D7F1B3"/>
    <w:rsid w:val="F77CED87"/>
    <w:rsid w:val="F77FE0F1"/>
    <w:rsid w:val="F7EB084F"/>
    <w:rsid w:val="F7FFFE53"/>
    <w:rsid w:val="FAE731CB"/>
    <w:rsid w:val="FAF1BF59"/>
    <w:rsid w:val="FB765599"/>
    <w:rsid w:val="FBAE9064"/>
    <w:rsid w:val="FBDF9E7C"/>
    <w:rsid w:val="FBED7C9B"/>
    <w:rsid w:val="FBEF2880"/>
    <w:rsid w:val="FBEF2D95"/>
    <w:rsid w:val="FC33D433"/>
    <w:rsid w:val="FC6F059D"/>
    <w:rsid w:val="FCF91849"/>
    <w:rsid w:val="FDEA4212"/>
    <w:rsid w:val="FDFDDC57"/>
    <w:rsid w:val="FEFFE082"/>
    <w:rsid w:val="FF6E7BDB"/>
    <w:rsid w:val="FF7578FC"/>
    <w:rsid w:val="FF7FB49F"/>
    <w:rsid w:val="FF9E979D"/>
    <w:rsid w:val="FFAFA4A7"/>
    <w:rsid w:val="FFB60721"/>
    <w:rsid w:val="FFB8DF9B"/>
    <w:rsid w:val="FFBF046F"/>
    <w:rsid w:val="FFC75025"/>
    <w:rsid w:val="FFD54C5D"/>
    <w:rsid w:val="FFDCDE82"/>
    <w:rsid w:val="FFFD0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wordWrap w:val="0"/>
      <w:adjustRightInd w:val="0"/>
      <w:snapToGrid w:val="0"/>
      <w:spacing w:line="580" w:lineRule="exact"/>
      <w:ind w:firstLine="420" w:firstLineChars="200"/>
      <w:jc w:val="both"/>
    </w:pPr>
    <w:rPr>
      <w:rFonts w:ascii="Times New Roman" w:hAnsi="Times New Roman" w:eastAsia="仿宋_GB2312" w:cs="Times New Roman"/>
      <w:kern w:val="2"/>
      <w:sz w:val="32"/>
      <w:szCs w:val="22"/>
      <w:lang w:val="en-US" w:eastAsia="zh-CN" w:bidi="ar-SA"/>
    </w:rPr>
  </w:style>
  <w:style w:type="paragraph" w:styleId="2">
    <w:name w:val="heading 1"/>
    <w:basedOn w:val="1"/>
    <w:next w:val="1"/>
    <w:link w:val="14"/>
    <w:qFormat/>
    <w:uiPriority w:val="0"/>
    <w:pPr>
      <w:outlineLvl w:val="0"/>
    </w:pPr>
    <w:rPr>
      <w:rFonts w:ascii="Times New Roman" w:hAnsi="Times New Roman" w:eastAsia="黑体" w:cs="黑体"/>
    </w:rPr>
  </w:style>
  <w:style w:type="paragraph" w:styleId="3">
    <w:name w:val="heading 2"/>
    <w:basedOn w:val="1"/>
    <w:next w:val="1"/>
    <w:link w:val="13"/>
    <w:unhideWhenUsed/>
    <w:qFormat/>
    <w:uiPriority w:val="0"/>
    <w:pPr>
      <w:spacing w:beforeLines="0" w:afterLines="0"/>
      <w:outlineLvl w:val="1"/>
    </w:pPr>
    <w:rPr>
      <w:rFonts w:ascii="楷体" w:hAnsi="楷体" w:eastAsia="楷体" w:cs="楷体"/>
    </w:rPr>
  </w:style>
  <w:style w:type="paragraph" w:styleId="4">
    <w:name w:val="heading 3"/>
    <w:basedOn w:val="1"/>
    <w:next w:val="1"/>
    <w:semiHidden/>
    <w:unhideWhenUsed/>
    <w:qFormat/>
    <w:uiPriority w:val="0"/>
    <w:pPr>
      <w:adjustRightInd w:val="0"/>
      <w:snapToGrid w:val="0"/>
      <w:spacing w:before="0" w:beforeAutospacing="0" w:after="0" w:afterAutospacing="0"/>
      <w:jc w:val="left"/>
      <w:outlineLvl w:val="2"/>
    </w:pPr>
    <w:rPr>
      <w:rFonts w:hint="eastAsia" w:ascii="Times New Roman" w:hAnsi="Times New Roman" w:eastAsia="仿宋_GB2312" w:cs="宋体"/>
      <w:b/>
      <w:bCs/>
      <w:kern w:val="0"/>
      <w:sz w:val="32"/>
      <w:szCs w:val="32"/>
      <w:lang w:bidi="ar"/>
    </w:rPr>
  </w:style>
  <w:style w:type="character" w:default="1" w:styleId="11">
    <w:name w:val="Default Paragraph Font"/>
    <w:semiHidden/>
    <w:qFormat/>
    <w:uiPriority w:val="0"/>
  </w:style>
  <w:style w:type="table" w:default="1" w:styleId="9">
    <w:name w:val="Normal Table"/>
    <w:semiHidden/>
    <w:unhideWhenUsed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annotation text"/>
    <w:basedOn w:val="1"/>
    <w:qFormat/>
    <w:uiPriority w:val="0"/>
    <w:pPr>
      <w:jc w:val="left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spacing w:line="240" w:lineRule="auto"/>
      <w:ind w:firstLine="0" w:firstLineChars="0"/>
      <w:jc w:val="left"/>
    </w:pPr>
    <w:rPr>
      <w:rFonts w:ascii="Times New Roman" w:hAnsi="Times New Roman"/>
      <w:sz w:val="21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2">
    <w:name w:val="正文缩进1"/>
    <w:basedOn w:val="1"/>
    <w:qFormat/>
    <w:uiPriority w:val="0"/>
    <w:pPr>
      <w:ind w:firstLine="420"/>
    </w:pPr>
  </w:style>
  <w:style w:type="character" w:customStyle="1" w:styleId="13">
    <w:name w:val="标题 2 Char"/>
    <w:link w:val="3"/>
    <w:qFormat/>
    <w:uiPriority w:val="0"/>
    <w:rPr>
      <w:rFonts w:ascii="楷体" w:hAnsi="楷体" w:eastAsia="楷体" w:cs="楷体"/>
      <w:kern w:val="2"/>
      <w:sz w:val="32"/>
      <w:szCs w:val="22"/>
      <w:lang w:val="en-US" w:eastAsia="zh-CN" w:bidi="ar-SA"/>
    </w:rPr>
  </w:style>
  <w:style w:type="character" w:customStyle="1" w:styleId="14">
    <w:name w:val="标题 1 Char"/>
    <w:link w:val="2"/>
    <w:qFormat/>
    <w:uiPriority w:val="0"/>
    <w:rPr>
      <w:rFonts w:ascii="Times New Roman" w:hAnsi="Times New Roman" w:eastAsia="黑体" w:cs="黑体"/>
    </w:rPr>
  </w:style>
  <w:style w:type="table" w:customStyle="1" w:styleId="1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6">
    <w:name w:val="文件标题"/>
    <w:basedOn w:val="1"/>
    <w:next w:val="1"/>
    <w:qFormat/>
    <w:uiPriority w:val="0"/>
    <w:pPr>
      <w:wordWrap/>
      <w:ind w:firstLine="0" w:firstLineChars="0"/>
      <w:jc w:val="center"/>
    </w:pPr>
    <w:rPr>
      <w:rFonts w:hint="eastAsia" w:ascii="方正小标宋简体" w:hAnsi="方正小标宋简体" w:eastAsia="方正小标宋简体" w:cs="方正小标宋简体"/>
      <w:sz w:val="44"/>
      <w:szCs w:val="44"/>
    </w:rPr>
  </w:style>
  <w:style w:type="paragraph" w:customStyle="1" w:styleId="17">
    <w:name w:val="图表"/>
    <w:basedOn w:val="1"/>
    <w:next w:val="18"/>
    <w:qFormat/>
    <w:uiPriority w:val="0"/>
    <w:pPr>
      <w:adjustRightInd w:val="0"/>
      <w:snapToGrid w:val="0"/>
      <w:spacing w:line="240" w:lineRule="auto"/>
      <w:ind w:firstLine="0" w:firstLineChars="0"/>
      <w:jc w:val="center"/>
    </w:pPr>
    <w:rPr>
      <w:rFonts w:hint="eastAsia"/>
      <w:sz w:val="28"/>
    </w:rPr>
  </w:style>
  <w:style w:type="paragraph" w:customStyle="1" w:styleId="18">
    <w:name w:val="图表标题"/>
    <w:basedOn w:val="1"/>
    <w:next w:val="1"/>
    <w:qFormat/>
    <w:uiPriority w:val="0"/>
    <w:pPr>
      <w:ind w:firstLine="0" w:firstLineChars="0"/>
      <w:jc w:val="center"/>
    </w:pPr>
    <w:rPr>
      <w:rFonts w:eastAsia="仿宋_GB2312" w:cs="仿宋_GB2312"/>
      <w:b/>
      <w:bCs/>
      <w:sz w:val="28"/>
      <w:szCs w:val="28"/>
      <w:highlight w:val="non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33</Lines>
  <Paragraphs>9</Paragraphs>
  <TotalTime>2</TotalTime>
  <ScaleCrop>false</ScaleCrop>
  <LinksUpToDate>false</LinksUpToDate>
  <CharactersWithSpaces>0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2023-10-21T06:32:00Z</dcterms:created>
  <dc:creator>Administrator.DESKTOP-E2QGSMM</dc:creator>
  <cp:lastModifiedBy>huawei</cp:lastModifiedBy>
  <cp:lastPrinted>2025-04-04T02:50:00Z</cp:lastPrinted>
  <dcterms:modified xsi:type="dcterms:W3CDTF">2025-04-08T16:10:44Z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  <property fmtid="{D5CDD505-2E9C-101B-9397-08002B2CF9AE}" pid="3" name="ICV">
    <vt:lpwstr>FF4F249CAD034BA0ADB435847930EACC_12</vt:lpwstr>
  </property>
</Properties>
</file>