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16344">
      <w:pPr>
        <w:spacing w:line="700" w:lineRule="exact"/>
        <w:jc w:val="both"/>
        <w:rPr>
          <w:rFonts w:hint="default" w:ascii="Times New Roman" w:hAnsi="Times New Roman" w:eastAsia="方正小标宋简体"/>
          <w:color w:val="000000"/>
          <w:sz w:val="44"/>
          <w:szCs w:val="44"/>
          <w:lang w:val="en-US"/>
        </w:rPr>
      </w:pPr>
      <w:bookmarkStart w:id="21" w:name="_GoBack"/>
      <w:r>
        <w:rPr>
          <w:rFonts w:hint="default" w:ascii="Times New Roman" w:hAnsi="Times New Roman" w:eastAsia="仿宋_GB2312" w:cs="Times New Roman"/>
          <w:b w:val="0"/>
          <w:bCs w:val="0"/>
          <w:sz w:val="32"/>
          <w:szCs w:val="32"/>
          <w:lang w:val="en-US" w:eastAsia="zh-CN"/>
        </w:rPr>
        <w:t>附件</w:t>
      </w:r>
      <w:r>
        <w:rPr>
          <w:rFonts w:hint="eastAsia" w:ascii="Times New Roman" w:hAnsi="Times New Roman" w:eastAsia="仿宋_GB2312" w:cs="Times New Roman"/>
          <w:b w:val="0"/>
          <w:bCs w:val="0"/>
          <w:sz w:val="32"/>
          <w:szCs w:val="32"/>
          <w:lang w:val="en-US" w:eastAsia="zh-CN"/>
        </w:rPr>
        <w:t>1</w:t>
      </w:r>
    </w:p>
    <w:p w14:paraId="537321E8">
      <w:pPr>
        <w:spacing w:line="7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金华市高等教育</w:t>
      </w:r>
      <w:r>
        <w:rPr>
          <w:rFonts w:hint="eastAsia" w:ascii="Times New Roman" w:hAnsi="Times New Roman" w:eastAsia="方正小标宋简体"/>
          <w:color w:val="000000"/>
          <w:sz w:val="44"/>
          <w:szCs w:val="44"/>
          <w:lang w:eastAsia="zh-CN"/>
        </w:rPr>
        <w:t>学科专业</w:t>
      </w:r>
      <w:r>
        <w:rPr>
          <w:rFonts w:ascii="Times New Roman" w:hAnsi="Times New Roman" w:eastAsia="方正小标宋简体"/>
          <w:color w:val="000000"/>
          <w:sz w:val="44"/>
          <w:szCs w:val="44"/>
        </w:rPr>
        <w:t>发展规划</w:t>
      </w:r>
    </w:p>
    <w:p w14:paraId="2056084A">
      <w:pPr>
        <w:spacing w:line="70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（2025-2030年）</w:t>
      </w:r>
    </w:p>
    <w:bookmarkEnd w:id="21"/>
    <w:p w14:paraId="41450B51">
      <w:pPr>
        <w:pStyle w:val="3"/>
        <w:spacing w:after="0" w:line="700" w:lineRule="exact"/>
        <w:ind w:firstLine="0" w:firstLineChars="0"/>
        <w:jc w:val="center"/>
        <w:rPr>
          <w:rFonts w:ascii="Times New Roman" w:hAnsi="Times New Roman"/>
          <w:color w:val="000000"/>
        </w:rPr>
      </w:pPr>
    </w:p>
    <w:p w14:paraId="6E7CD3D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000000"/>
          <w:sz w:val="32"/>
          <w:szCs w:val="32"/>
          <w:highlight w:val="none"/>
        </w:rPr>
      </w:pPr>
      <w:bookmarkStart w:id="0" w:name="_Toc169091383"/>
      <w:bookmarkStart w:id="1" w:name="_Toc168921899"/>
      <w:bookmarkStart w:id="2" w:name="_Toc168921902"/>
      <w:bookmarkStart w:id="3" w:name="_Toc169091386"/>
      <w:r>
        <w:rPr>
          <w:rFonts w:ascii="Times New Roman" w:hAnsi="Times New Roman" w:eastAsia="仿宋_GB2312"/>
          <w:color w:val="000000"/>
          <w:sz w:val="32"/>
          <w:szCs w:val="32"/>
          <w:highlight w:val="none"/>
        </w:rPr>
        <w:t>党的二十大指出，教育、科技、人才是全面建设社会主义现代化国家的基础性、战略性支撑。</w:t>
      </w:r>
      <w:bookmarkEnd w:id="0"/>
      <w:bookmarkEnd w:id="1"/>
      <w:r>
        <w:rPr>
          <w:rFonts w:ascii="Times New Roman" w:hAnsi="Times New Roman" w:eastAsia="仿宋_GB2312"/>
          <w:color w:val="000000"/>
          <w:sz w:val="32"/>
          <w:szCs w:val="32"/>
          <w:highlight w:val="none"/>
        </w:rPr>
        <w:t>金华市委市政府高度重视高等教育强市建设，紧紧遵循习近平总书记把金华建成</w:t>
      </w:r>
      <w:bookmarkStart w:id="4" w:name="_Hlk186981750"/>
      <w:bookmarkStart w:id="5" w:name="_Hlk168839742"/>
      <w:r>
        <w:rPr>
          <w:rFonts w:ascii="Times New Roman" w:hAnsi="Times New Roman" w:eastAsia="仿宋_GB2312"/>
          <w:color w:val="000000"/>
          <w:sz w:val="32"/>
          <w:szCs w:val="32"/>
          <w:highlight w:val="none"/>
        </w:rPr>
        <w:t>“</w:t>
      </w:r>
      <w:bookmarkEnd w:id="4"/>
      <w:r>
        <w:rPr>
          <w:rFonts w:ascii="Times New Roman" w:hAnsi="Times New Roman" w:eastAsia="仿宋_GB2312"/>
          <w:color w:val="000000"/>
          <w:sz w:val="32"/>
          <w:szCs w:val="32"/>
          <w:highlight w:val="none"/>
        </w:rPr>
        <w:t>浙江中西部教育中心”的殷切期盼</w:t>
      </w:r>
      <w:bookmarkEnd w:id="5"/>
      <w:r>
        <w:rPr>
          <w:rFonts w:ascii="Times New Roman" w:hAnsi="Times New Roman" w:eastAsia="仿宋_GB2312"/>
          <w:color w:val="000000"/>
          <w:sz w:val="32"/>
          <w:szCs w:val="32"/>
          <w:highlight w:val="none"/>
        </w:rPr>
        <w:t>，扎实落实省委省政府“全力打造杭州、宁波、温州、金义四大都市区等高等教育重点区域”战略，立足新形势、新需求和新挑战，科学规划高等教育发展目标，着力打造成为全省高等教育高水平发展第二方阵。依据《教育强国建设规划纲要（2024-2035年）》、省委十五届四次、五次、六次全会精神和《关于推进高水平大学建设的意见》《关于加快普通高等学校高质量发展的若干意见》《浙江省高等教育发展总体规划（2023-2027年）》等具体要求，结合金华实际，制定本规划。</w:t>
      </w:r>
    </w:p>
    <w:p w14:paraId="72423CD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olor w:val="000000"/>
          <w:sz w:val="32"/>
          <w:szCs w:val="32"/>
          <w:highlight w:val="none"/>
        </w:rPr>
      </w:pPr>
      <w:bookmarkStart w:id="6" w:name="_Toc168921898"/>
      <w:bookmarkStart w:id="7" w:name="_Toc169091382"/>
      <w:r>
        <w:rPr>
          <w:rFonts w:ascii="Times New Roman" w:hAnsi="Times New Roman" w:eastAsia="黑体"/>
          <w:color w:val="000000"/>
          <w:sz w:val="32"/>
          <w:szCs w:val="32"/>
          <w:highlight w:val="none"/>
        </w:rPr>
        <w:t>一、</w:t>
      </w:r>
      <w:bookmarkEnd w:id="6"/>
      <w:bookmarkEnd w:id="7"/>
      <w:r>
        <w:rPr>
          <w:rFonts w:ascii="Times New Roman" w:hAnsi="Times New Roman" w:eastAsia="黑体"/>
          <w:color w:val="000000"/>
          <w:sz w:val="32"/>
          <w:szCs w:val="32"/>
          <w:highlight w:val="none"/>
        </w:rPr>
        <w:t>发展基础</w:t>
      </w:r>
    </w:p>
    <w:p w14:paraId="761FB86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bookmarkStart w:id="8" w:name="_Hlk169004384"/>
      <w:r>
        <w:rPr>
          <w:rFonts w:ascii="Times New Roman" w:hAnsi="Times New Roman" w:eastAsia="楷体_GB2312"/>
          <w:color w:val="000000"/>
          <w:sz w:val="32"/>
          <w:szCs w:val="32"/>
          <w:highlight w:val="none"/>
        </w:rPr>
        <w:t>（一）发展成效</w:t>
      </w:r>
    </w:p>
    <w:bookmarkEnd w:id="8"/>
    <w:p w14:paraId="0482D833">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bookmarkStart w:id="9" w:name="_Toc121231710"/>
      <w:r>
        <w:rPr>
          <w:rFonts w:ascii="Times New Roman" w:hAnsi="Times New Roman" w:eastAsia="仿宋_GB2312"/>
          <w:b/>
          <w:bCs/>
          <w:color w:val="000000"/>
          <w:sz w:val="32"/>
          <w:szCs w:val="32"/>
          <w:highlight w:val="none"/>
        </w:rPr>
        <w:t>1.办学规模持续扩大。</w:t>
      </w:r>
      <w:r>
        <w:rPr>
          <w:rFonts w:ascii="Times New Roman" w:hAnsi="Times New Roman" w:eastAsia="仿宋_GB2312"/>
          <w:color w:val="000000"/>
          <w:sz w:val="32"/>
          <w:szCs w:val="32"/>
          <w:highlight w:val="none"/>
        </w:rPr>
        <w:t>在金高校共有11所，其中：普通本科高校</w:t>
      </w:r>
      <w:r>
        <w:rPr>
          <w:rFonts w:hint="eastAsia" w:ascii="Times New Roman" w:hAnsi="Times New Roman" w:eastAsia="仿宋_GB2312"/>
          <w:color w:val="000000"/>
          <w:sz w:val="32"/>
          <w:szCs w:val="32"/>
          <w:highlight w:val="none"/>
        </w:rPr>
        <w:t>4</w:t>
      </w:r>
      <w:r>
        <w:rPr>
          <w:rFonts w:ascii="Times New Roman" w:hAnsi="Times New Roman" w:eastAsia="仿宋_GB2312"/>
          <w:color w:val="000000"/>
          <w:sz w:val="32"/>
          <w:szCs w:val="32"/>
          <w:highlight w:val="none"/>
        </w:rPr>
        <w:t>所（省属高校1所，独立学院3所）、职业本科高校2所、专科层次高职院校3所、成人高校2所。</w:t>
      </w:r>
      <w:r>
        <w:rPr>
          <w:rFonts w:hint="eastAsia" w:ascii="Times New Roman" w:hAnsi="Times New Roman" w:eastAsia="仿宋_GB2312"/>
          <w:color w:val="000000"/>
          <w:sz w:val="32"/>
          <w:szCs w:val="32"/>
          <w:highlight w:val="none"/>
        </w:rPr>
        <w:t>另有浙江大学“一带一路”国际医学院、中国人民大学“一带一路”国际商学院在金办学。</w:t>
      </w:r>
      <w:r>
        <w:rPr>
          <w:rFonts w:ascii="Times New Roman" w:hAnsi="Times New Roman" w:eastAsia="仿宋_GB2312"/>
          <w:color w:val="000000"/>
          <w:sz w:val="32"/>
          <w:szCs w:val="32"/>
          <w:highlight w:val="none"/>
        </w:rPr>
        <w:t>2024年，全市高等教育毛入学率67.46%，普通高等教育招生4.12万人，在校生12.68万人，教职工0.96万人，其中专任教师0.77万人。</w:t>
      </w:r>
    </w:p>
    <w:p w14:paraId="126C2DB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2.学科专业建设成效明显。</w:t>
      </w:r>
      <w:r>
        <w:rPr>
          <w:rFonts w:ascii="Times New Roman" w:hAnsi="Times New Roman" w:eastAsia="仿宋_GB2312"/>
          <w:color w:val="000000"/>
          <w:sz w:val="32"/>
          <w:szCs w:val="32"/>
          <w:highlight w:val="none"/>
        </w:rPr>
        <w:t>市域普通本科高校现有国家级B</w:t>
      </w:r>
      <w:r>
        <w:rPr>
          <w:rFonts w:ascii="Times New Roman" w:hAnsi="Times New Roman" w:eastAsia="仿宋_GB2312"/>
          <w:color w:val="000000"/>
          <w:sz w:val="32"/>
          <w:szCs w:val="32"/>
          <w:highlight w:val="none"/>
          <w:vertAlign w:val="superscript"/>
        </w:rPr>
        <w:t>+</w:t>
      </w:r>
      <w:r>
        <w:rPr>
          <w:rFonts w:ascii="Times New Roman" w:hAnsi="Times New Roman" w:eastAsia="仿宋_GB2312"/>
          <w:color w:val="000000"/>
          <w:sz w:val="32"/>
          <w:szCs w:val="32"/>
          <w:highlight w:val="none"/>
        </w:rPr>
        <w:t>学科3个，ESI全球前1%学科8个、</w:t>
      </w:r>
      <w:bookmarkStart w:id="10" w:name="_Hlk188014245"/>
      <w:r>
        <w:rPr>
          <w:rFonts w:ascii="Times New Roman" w:hAnsi="Times New Roman" w:eastAsia="仿宋_GB2312"/>
          <w:color w:val="000000"/>
          <w:sz w:val="32"/>
          <w:szCs w:val="32"/>
          <w:highlight w:val="none"/>
        </w:rPr>
        <w:t>ESI全球前2‰学科2个</w:t>
      </w:r>
      <w:bookmarkEnd w:id="10"/>
      <w:r>
        <w:rPr>
          <w:rFonts w:ascii="Times New Roman" w:hAnsi="Times New Roman" w:eastAsia="仿宋_GB2312"/>
          <w:color w:val="000000"/>
          <w:sz w:val="32"/>
          <w:szCs w:val="32"/>
          <w:highlight w:val="none"/>
        </w:rPr>
        <w:t>，国家级一流专业建设点34个、特色专业9个，“111计划”学科创新引智基地2个；省级登峰学科1个，优势特色学科2个，一流学科11个，博士点18个，硕士点46个</w:t>
      </w:r>
      <w:bookmarkEnd w:id="9"/>
      <w:r>
        <w:rPr>
          <w:rFonts w:ascii="Times New Roman" w:hAnsi="Times New Roman" w:eastAsia="仿宋_GB2312"/>
          <w:color w:val="000000"/>
          <w:sz w:val="32"/>
          <w:szCs w:val="32"/>
          <w:highlight w:val="none"/>
        </w:rPr>
        <w:t>。市域高职院校现有国家级高水平专业群2个、省级高水平专业群5个。</w:t>
      </w:r>
    </w:p>
    <w:p w14:paraId="2BB3C6CA">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3.职教发展势头良好。</w:t>
      </w:r>
      <w:r>
        <w:rPr>
          <w:rFonts w:ascii="Times New Roman" w:hAnsi="Times New Roman" w:eastAsia="仿宋_GB2312"/>
          <w:color w:val="000000"/>
          <w:sz w:val="32"/>
          <w:szCs w:val="32"/>
          <w:highlight w:val="none"/>
        </w:rPr>
        <w:t>职业教育得到长足发展，初步形成特色显、实力强的高等职业教育优势。金华拥有2所职业本科院校，其中金华职业技术大学属于国内职教头部高校，浙江广厦建设职业技术大学建筑特色鲜明。另有义乌工商职业技术学院、浙江横店影视职业学院、浙江金华科贸职业技术学院3所高职院校紧密对接区域产业发展。</w:t>
      </w:r>
    </w:p>
    <w:p w14:paraId="727A6013">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4.产教融合更趋紧密。</w:t>
      </w:r>
      <w:r>
        <w:rPr>
          <w:rFonts w:ascii="Times New Roman" w:hAnsi="Times New Roman" w:eastAsia="仿宋_GB2312"/>
          <w:color w:val="000000"/>
          <w:sz w:val="32"/>
          <w:szCs w:val="32"/>
          <w:highlight w:val="none"/>
        </w:rPr>
        <w:t>近五年，依托在金高校建成国家级实训基地7个，国家级市域产教联合体1个，国家级名师工作室1个，省级重点实验室1个，省级农机重点实验室1个，省级众创空间2个，省产教融合“五个一批”项目67个，获授权专利4000余件。</w:t>
      </w:r>
      <w:bookmarkStart w:id="11" w:name="_Toc169091385"/>
      <w:bookmarkStart w:id="12" w:name="_Toc168921901"/>
    </w:p>
    <w:p w14:paraId="2001B3A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r>
        <w:rPr>
          <w:rFonts w:ascii="Times New Roman" w:hAnsi="Times New Roman" w:eastAsia="楷体_GB2312"/>
          <w:color w:val="000000"/>
          <w:sz w:val="32"/>
          <w:szCs w:val="32"/>
          <w:highlight w:val="none"/>
        </w:rPr>
        <w:t>（二）主要问题</w:t>
      </w:r>
      <w:bookmarkEnd w:id="11"/>
      <w:bookmarkEnd w:id="12"/>
    </w:p>
    <w:p w14:paraId="0C3679D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1.办学层次有待提升。</w:t>
      </w:r>
      <w:r>
        <w:rPr>
          <w:rFonts w:ascii="Times New Roman" w:hAnsi="Times New Roman" w:eastAsia="仿宋_GB2312"/>
          <w:color w:val="000000"/>
          <w:sz w:val="32"/>
          <w:szCs w:val="32"/>
          <w:highlight w:val="none"/>
        </w:rPr>
        <w:t>普通本科高等教育基础较为薄弱，市域内尚无“双一流”高校，硕博培养单位及学位点较少，研究生层次人才培养规模较小，本科在校生数量偏少。市域高校高端人才引育储有限，科创能力亟待提升。</w:t>
      </w:r>
    </w:p>
    <w:p w14:paraId="476D48D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2.学科布局仍需优化。</w:t>
      </w:r>
      <w:r>
        <w:rPr>
          <w:rFonts w:ascii="Times New Roman" w:hAnsi="Times New Roman" w:eastAsia="仿宋_GB2312"/>
          <w:color w:val="000000"/>
          <w:sz w:val="32"/>
          <w:szCs w:val="32"/>
          <w:highlight w:val="none"/>
        </w:rPr>
        <w:t>目前高校发展定位趋同、学科设置同质、学科优势特色不突出、理工类学科专业占比不高，本科层次临床医学缺失。亟需制定差异化发展策略，加强学科交叉融合，提高理工类学科专业占比，填补本科层次临床医学空白，形成具有竞争力的学科专业群。‌</w:t>
      </w:r>
    </w:p>
    <w:p w14:paraId="739DE1E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3.服务地方有待深化。</w:t>
      </w:r>
      <w:r>
        <w:rPr>
          <w:rFonts w:ascii="Times New Roman" w:hAnsi="Times New Roman" w:eastAsia="仿宋_GB2312"/>
          <w:color w:val="000000"/>
          <w:sz w:val="32"/>
          <w:szCs w:val="32"/>
          <w:highlight w:val="none"/>
        </w:rPr>
        <w:t>高校科研成果转化力度不够，与地方产业需求尚有差距，人才培养难以完全契合地方特色岗位要求，资源共享机制不完善，高校知识、人力、科研等资源未能充分释放效能，助力地方发展。</w:t>
      </w:r>
    </w:p>
    <w:p w14:paraId="0583E8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r>
        <w:rPr>
          <w:rFonts w:ascii="Times New Roman" w:hAnsi="Times New Roman" w:eastAsia="楷体_GB2312"/>
          <w:color w:val="000000"/>
          <w:sz w:val="32"/>
          <w:szCs w:val="32"/>
          <w:highlight w:val="none"/>
        </w:rPr>
        <w:t>（三）面临形势</w:t>
      </w:r>
    </w:p>
    <w:p w14:paraId="310B4CB8">
      <w:pPr>
        <w:pStyle w:val="2"/>
        <w:keepNext w:val="0"/>
        <w:keepLines w:val="0"/>
        <w:pageBreakBefore w:val="0"/>
        <w:widowControl w:val="0"/>
        <w:kinsoku/>
        <w:wordWrap/>
        <w:overflowPunct/>
        <w:topLinePunct w:val="0"/>
        <w:autoSpaceDE/>
        <w:autoSpaceDN/>
        <w:bidi w:val="0"/>
        <w:adjustRightInd w:val="0"/>
        <w:snapToGrid w:val="0"/>
        <w:spacing w:after="0" w:line="540" w:lineRule="exact"/>
        <w:ind w:firstLine="643" w:firstLineChars="200"/>
        <w:textAlignment w:val="auto"/>
        <w:rPr>
          <w:rFonts w:hint="eastAsia"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1.教科人一体化推进对金华高等教育发展提出</w:t>
      </w:r>
      <w:r>
        <w:rPr>
          <w:rFonts w:ascii="Times New Roman" w:hAnsi="Times New Roman" w:eastAsia="仿宋_GB2312" w:cs="Times New Roman"/>
          <w:b/>
          <w:bCs/>
          <w:color w:val="000000"/>
          <w:sz w:val="32"/>
          <w:szCs w:val="32"/>
          <w:highlight w:val="none"/>
        </w:rPr>
        <w:t>更高标准。</w:t>
      </w:r>
      <w:r>
        <w:rPr>
          <w:rFonts w:hint="eastAsia" w:ascii="Times New Roman" w:hAnsi="Times New Roman" w:eastAsia="仿宋_GB2312"/>
          <w:color w:val="000000"/>
          <w:sz w:val="32"/>
          <w:szCs w:val="32"/>
          <w:highlight w:val="none"/>
        </w:rPr>
        <w:t>当今世界的竞争是人才竞争、教育竞争，教育、科技、人才是中国式现代化的基础性、战略性支撑。高校作为教育科技人才的交汇点，不仅是建设教育强国的龙头，更是建设科技强国的筋骨。社会经济发展、科技进步和国家战略需求，要求高校建立“以我为主”的全链条人才培养体制，构建高水平的高等教育人才自主培养体系，培养一支规模宏大、结构合理、素质优良的创新型人才队伍，为夯实高质量发展的人才支撑。</w:t>
      </w:r>
    </w:p>
    <w:p w14:paraId="78852039">
      <w:pPr>
        <w:pStyle w:val="2"/>
        <w:keepNext w:val="0"/>
        <w:keepLines w:val="0"/>
        <w:pageBreakBefore w:val="0"/>
        <w:widowControl w:val="0"/>
        <w:kinsoku/>
        <w:wordWrap/>
        <w:overflowPunct/>
        <w:topLinePunct w:val="0"/>
        <w:autoSpaceDE/>
        <w:autoSpaceDN/>
        <w:bidi w:val="0"/>
        <w:adjustRightInd w:val="0"/>
        <w:snapToGrid w:val="0"/>
        <w:spacing w:after="0" w:line="540" w:lineRule="exact"/>
        <w:ind w:firstLine="643" w:firstLineChars="200"/>
        <w:textAlignment w:val="auto"/>
        <w:rPr>
          <w:rFonts w:ascii="Times New Roman" w:hAnsi="Times New Roman" w:eastAsia="仿宋_GB2312"/>
          <w:b/>
          <w:bCs/>
          <w:color w:val="000000"/>
          <w:sz w:val="32"/>
          <w:szCs w:val="32"/>
          <w:highlight w:val="none"/>
        </w:rPr>
      </w:pPr>
      <w:r>
        <w:rPr>
          <w:rFonts w:ascii="Times New Roman" w:hAnsi="Times New Roman" w:eastAsia="仿宋_GB2312"/>
          <w:b/>
          <w:bCs/>
          <w:color w:val="000000"/>
          <w:sz w:val="32"/>
          <w:szCs w:val="32"/>
          <w:highlight w:val="none"/>
        </w:rPr>
        <w:t>2.城市竞争力提升对金华高等教育发展提出更高期望。</w:t>
      </w:r>
      <w:r>
        <w:rPr>
          <w:rFonts w:ascii="Times New Roman" w:hAnsi="Times New Roman" w:eastAsia="仿宋_GB2312"/>
          <w:color w:val="000000"/>
          <w:sz w:val="32"/>
          <w:szCs w:val="32"/>
          <w:highlight w:val="none"/>
        </w:rPr>
        <w:t>金华在推进共同富裕示范区建设过程中，常住人口不断增加、居民人均可支配收入持续增长，要求高等教育加快体制机制改革，优化资源布局，进一步提升高等教育与城市发展的契合度，提升城市整体竞争力，为打造高质量发展推进共同富裕先行示范的浙中板块提供有力支撑。</w:t>
      </w:r>
    </w:p>
    <w:p w14:paraId="0BC3ED36">
      <w:pPr>
        <w:pStyle w:val="2"/>
        <w:keepNext w:val="0"/>
        <w:keepLines w:val="0"/>
        <w:pageBreakBefore w:val="0"/>
        <w:widowControl w:val="0"/>
        <w:kinsoku/>
        <w:wordWrap/>
        <w:overflowPunct/>
        <w:topLinePunct w:val="0"/>
        <w:autoSpaceDE/>
        <w:autoSpaceDN/>
        <w:bidi w:val="0"/>
        <w:adjustRightInd w:val="0"/>
        <w:snapToGrid w:val="0"/>
        <w:spacing w:after="0"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3.</w:t>
      </w:r>
      <w:r>
        <w:rPr>
          <w:rFonts w:ascii="Times New Roman" w:hAnsi="Times New Roman" w:eastAsia="仿宋_GB2312"/>
          <w:b/>
          <w:bCs/>
          <w:strike w:val="0"/>
          <w:dstrike w:val="0"/>
          <w:color w:val="000000"/>
          <w:sz w:val="32"/>
          <w:szCs w:val="32"/>
          <w:highlight w:val="none"/>
        </w:rPr>
        <w:t>高等教育</w:t>
      </w:r>
      <w:r>
        <w:rPr>
          <w:rFonts w:ascii="Times New Roman" w:hAnsi="Times New Roman" w:eastAsia="仿宋_GB2312"/>
          <w:b/>
          <w:bCs/>
          <w:color w:val="000000"/>
          <w:sz w:val="32"/>
          <w:szCs w:val="32"/>
          <w:highlight w:val="none"/>
        </w:rPr>
        <w:t>高质量发展对在金高校自身改革提出更高要求。</w:t>
      </w:r>
      <w:r>
        <w:rPr>
          <w:rFonts w:ascii="Times New Roman" w:hAnsi="Times New Roman" w:eastAsia="仿宋_GB2312"/>
          <w:color w:val="000000"/>
          <w:sz w:val="32"/>
          <w:szCs w:val="32"/>
          <w:highlight w:val="none"/>
        </w:rPr>
        <w:t>新形势下，高校自身发展面临教育技术变革等一系列挑战，迫切需要高校结合自身实际情况和区域经济社会发展需求，打造一批优势特色学科专业，增强学科结构布局与城市产业匹配度。当前人民期待更优质的高等教育资源，要求高校更精准地对接个人成长成才需求，办好“家门口的大学”，让更多有志青年“人人皆可成才、人人尽展其才”。</w:t>
      </w:r>
    </w:p>
    <w:p w14:paraId="62C25BD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二、总体要求</w:t>
      </w:r>
      <w:bookmarkEnd w:id="2"/>
      <w:bookmarkEnd w:id="3"/>
    </w:p>
    <w:p w14:paraId="5F98152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bookmarkStart w:id="13" w:name="_Toc168921903"/>
      <w:bookmarkStart w:id="14" w:name="_Toc169091387"/>
      <w:r>
        <w:rPr>
          <w:rFonts w:ascii="Times New Roman" w:hAnsi="Times New Roman" w:eastAsia="楷体_GB2312"/>
          <w:color w:val="000000"/>
          <w:sz w:val="32"/>
          <w:szCs w:val="32"/>
          <w:highlight w:val="none"/>
        </w:rPr>
        <w:t>（一）指导思想</w:t>
      </w:r>
      <w:bookmarkEnd w:id="13"/>
      <w:bookmarkEnd w:id="14"/>
    </w:p>
    <w:p w14:paraId="44E8666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以习近平新时代中国特色社会主义思想为指导，深入贯彻党的二十大、二十届三中全会精神，全面贯彻习近平总书记关于教育的系列重要论述精神，全面贯彻党的教育方针，忠实践行“八八战略”，落实立德树人根本任务，深化教育综合改革，对照省委省政府对金华“高等教育重点区域”的战略定位，扎实推进高等教育整体性跃升，以“双一流”“双高”建设为重要抓手，加快金华高等教育强市建设，为谱写中国式现代化浙江新篇章提供基础性、战略性支撑。</w:t>
      </w:r>
    </w:p>
    <w:p w14:paraId="5C5C6E4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r>
        <w:rPr>
          <w:rFonts w:ascii="Times New Roman" w:hAnsi="Times New Roman" w:eastAsia="楷体_GB2312"/>
          <w:color w:val="000000"/>
          <w:sz w:val="32"/>
          <w:szCs w:val="32"/>
          <w:highlight w:val="none"/>
        </w:rPr>
        <w:t>（二）</w:t>
      </w:r>
      <w:bookmarkStart w:id="15" w:name="_Toc169091388"/>
      <w:bookmarkStart w:id="16" w:name="_Toc168921904"/>
      <w:r>
        <w:rPr>
          <w:rFonts w:ascii="Times New Roman" w:hAnsi="Times New Roman" w:eastAsia="楷体_GB2312"/>
          <w:color w:val="000000"/>
          <w:sz w:val="32"/>
          <w:szCs w:val="32"/>
          <w:highlight w:val="none"/>
        </w:rPr>
        <w:t>基本原则</w:t>
      </w:r>
      <w:bookmarkEnd w:id="15"/>
      <w:bookmarkEnd w:id="16"/>
    </w:p>
    <w:p w14:paraId="28E28D7D">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坚持自上而下，做好规划整体布局。</w:t>
      </w:r>
      <w:r>
        <w:rPr>
          <w:rFonts w:ascii="Times New Roman" w:hAnsi="Times New Roman" w:eastAsia="仿宋_GB2312"/>
          <w:color w:val="000000"/>
          <w:sz w:val="32"/>
          <w:szCs w:val="32"/>
          <w:highlight w:val="none"/>
        </w:rPr>
        <w:t>主动顺应区域社会经济发展趋势，积极应对教育现代化带来的挑战，形成高校发展整体框架和思路，优化资源配置。</w:t>
      </w:r>
    </w:p>
    <w:p w14:paraId="156936B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坚持自下而上，突出重点学科专业。</w:t>
      </w:r>
      <w:r>
        <w:rPr>
          <w:rFonts w:ascii="Times New Roman" w:hAnsi="Times New Roman" w:eastAsia="仿宋_GB2312"/>
          <w:color w:val="000000"/>
          <w:sz w:val="32"/>
          <w:szCs w:val="32"/>
          <w:highlight w:val="none"/>
        </w:rPr>
        <w:t>充分结合各高校学科专业发展现状和特色，科学规划重点学科专业方向和重点工作任务，集中各自优势资源，推动形成差异化发展态势。</w:t>
      </w:r>
    </w:p>
    <w:p w14:paraId="47B9733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firstLine="643" w:firstLineChars="200"/>
        <w:jc w:val="both"/>
        <w:textAlignment w:val="auto"/>
        <w:outlineLvl w:val="0"/>
        <w:rPr>
          <w:rFonts w:ascii="Times New Roman" w:hAnsi="Times New Roman" w:eastAsia="仿宋_GB2312" w:cs="Times New Roman"/>
          <w:color w:val="000000"/>
          <w:kern w:val="2"/>
          <w:sz w:val="32"/>
          <w:szCs w:val="32"/>
          <w:highlight w:val="none"/>
          <w:lang w:val="en-US" w:eastAsia="zh-CN" w:bidi="ar-SA"/>
        </w:rPr>
      </w:pPr>
      <w:r>
        <w:rPr>
          <w:rFonts w:ascii="Times New Roman" w:hAnsi="Times New Roman" w:eastAsia="仿宋_GB2312" w:cs="Times New Roman"/>
          <w:b/>
          <w:bCs/>
          <w:color w:val="000000"/>
          <w:kern w:val="2"/>
          <w:sz w:val="32"/>
          <w:szCs w:val="32"/>
          <w:highlight w:val="none"/>
          <w:lang w:val="en-US" w:eastAsia="zh-CN" w:bidi="ar-SA"/>
        </w:rPr>
        <w:t>坚持问题导向，明确高质量发展路径。</w:t>
      </w:r>
      <w:r>
        <w:rPr>
          <w:rFonts w:ascii="Times New Roman" w:hAnsi="Times New Roman" w:eastAsia="仿宋_GB2312" w:cs="Times New Roman"/>
          <w:color w:val="000000"/>
          <w:kern w:val="2"/>
          <w:sz w:val="32"/>
          <w:szCs w:val="32"/>
          <w:highlight w:val="none"/>
          <w:lang w:val="en-US" w:eastAsia="zh-CN" w:bidi="ar-SA"/>
        </w:rPr>
        <w:t>对标国内外高水平高校发展路线，科学分析重点学科专业发展关键要素，补短板、强优势，精准研判高校在重点学科专业发展、建设等方面的需求，做好政策保障。</w:t>
      </w:r>
    </w:p>
    <w:p w14:paraId="7820C4C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bookmarkStart w:id="17" w:name="_Toc168921905"/>
      <w:bookmarkStart w:id="18" w:name="_Toc169091389"/>
      <w:r>
        <w:rPr>
          <w:rFonts w:ascii="Times New Roman" w:hAnsi="Times New Roman" w:eastAsia="楷体_GB2312"/>
          <w:color w:val="000000"/>
          <w:sz w:val="32"/>
          <w:szCs w:val="32"/>
          <w:highlight w:val="none"/>
        </w:rPr>
        <w:t xml:space="preserve">（三）总体目标 </w:t>
      </w:r>
    </w:p>
    <w:p w14:paraId="23C51BB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高校办学条件明显改善，高水平学科、专业（群）建设成效显著，高校对地方发展的支撑引领突出。</w:t>
      </w:r>
    </w:p>
    <w:p w14:paraId="46580B7D">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——打造一批高水平高校</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到2027年，</w:t>
      </w:r>
      <w:r>
        <w:rPr>
          <w:rFonts w:ascii="Times New Roman" w:hAnsi="Times New Roman" w:eastAsia="仿宋_GB2312"/>
          <w:color w:val="000000"/>
          <w:sz w:val="32"/>
          <w:szCs w:val="32"/>
          <w:highlight w:val="none"/>
        </w:rPr>
        <w:t>力争浙江师范大学</w:t>
      </w:r>
      <w:r>
        <w:rPr>
          <w:rFonts w:hint="eastAsia" w:ascii="Times New Roman" w:hAnsi="Times New Roman" w:eastAsia="仿宋_GB2312"/>
          <w:color w:val="000000"/>
          <w:sz w:val="32"/>
          <w:szCs w:val="32"/>
          <w:highlight w:val="none"/>
        </w:rPr>
        <w:t>进入全国一流高校行列</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力争</w:t>
      </w:r>
      <w:r>
        <w:rPr>
          <w:rFonts w:ascii="Times New Roman" w:hAnsi="Times New Roman" w:eastAsia="仿宋_GB2312"/>
          <w:color w:val="000000"/>
          <w:sz w:val="32"/>
          <w:szCs w:val="32"/>
          <w:highlight w:val="none"/>
        </w:rPr>
        <w:t xml:space="preserve">金华职业技术大学、浙江广厦建设职业技术大学、义乌工商职业技术学院入选新一轮国家“双高”建设单位。 </w:t>
      </w:r>
    </w:p>
    <w:p w14:paraId="2412F0A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——建设一批高水平学科</w:t>
      </w:r>
      <w:r>
        <w:rPr>
          <w:rFonts w:hint="eastAsia" w:ascii="Times New Roman" w:hAnsi="Times New Roman" w:eastAsia="仿宋_GB2312"/>
          <w:b/>
          <w:bCs/>
          <w:color w:val="000000"/>
          <w:sz w:val="32"/>
          <w:szCs w:val="32"/>
          <w:highlight w:val="none"/>
        </w:rPr>
        <w:t>专业</w:t>
      </w:r>
      <w:r>
        <w:rPr>
          <w:rFonts w:ascii="Times New Roman" w:hAnsi="Times New Roman" w:eastAsia="仿宋_GB2312"/>
          <w:b/>
          <w:bCs/>
          <w:color w:val="000000"/>
          <w:sz w:val="32"/>
          <w:szCs w:val="32"/>
          <w:highlight w:val="none"/>
        </w:rPr>
        <w:t>。</w:t>
      </w:r>
      <w:r>
        <w:rPr>
          <w:rFonts w:ascii="Times New Roman" w:hAnsi="Times New Roman" w:eastAsia="仿宋_GB2312"/>
          <w:color w:val="000000"/>
          <w:sz w:val="32"/>
          <w:szCs w:val="32"/>
          <w:highlight w:val="none"/>
        </w:rPr>
        <w:t>到2027年，国家一流学科力争实现零的突破，ESI全球排名前1%学科10个</w:t>
      </w:r>
      <w:r>
        <w:rPr>
          <w:rFonts w:hint="eastAsia" w:ascii="Times New Roman" w:hAnsi="Times New Roman" w:eastAsia="仿宋_GB2312"/>
          <w:color w:val="000000"/>
          <w:sz w:val="32"/>
          <w:szCs w:val="32"/>
          <w:highlight w:val="none"/>
        </w:rPr>
        <w:t>，</w:t>
      </w:r>
      <w:bookmarkStart w:id="19" w:name="_Hlk188015526"/>
      <w:r>
        <w:rPr>
          <w:rFonts w:hint="eastAsia" w:ascii="Times New Roman" w:hAnsi="Times New Roman" w:eastAsia="仿宋_GB2312"/>
          <w:color w:val="000000"/>
          <w:sz w:val="32"/>
          <w:szCs w:val="32"/>
          <w:highlight w:val="none"/>
        </w:rPr>
        <w:t>新增博士点2个，硕士点5个；</w:t>
      </w:r>
      <w:bookmarkEnd w:id="19"/>
      <w:r>
        <w:rPr>
          <w:rFonts w:ascii="Times New Roman" w:hAnsi="Times New Roman" w:eastAsia="仿宋_GB2312"/>
          <w:color w:val="000000"/>
          <w:sz w:val="32"/>
          <w:szCs w:val="32"/>
          <w:highlight w:val="none"/>
        </w:rPr>
        <w:t>职业教育国家高水平专业群6个、省高水平专业群6个。到2030年，ESI全球排名前</w:t>
      </w:r>
      <w:bookmarkStart w:id="20" w:name="_Hlk188014200"/>
      <w:r>
        <w:rPr>
          <w:rFonts w:ascii="Times New Roman" w:hAnsi="Times New Roman" w:eastAsia="仿宋_GB2312"/>
          <w:color w:val="000000"/>
          <w:sz w:val="32"/>
          <w:szCs w:val="32"/>
          <w:highlight w:val="none"/>
        </w:rPr>
        <w:t>1%</w:t>
      </w:r>
      <w:bookmarkEnd w:id="20"/>
      <w:r>
        <w:rPr>
          <w:rFonts w:ascii="Times New Roman" w:hAnsi="Times New Roman" w:eastAsia="仿宋_GB2312"/>
          <w:color w:val="000000"/>
          <w:sz w:val="32"/>
          <w:szCs w:val="32"/>
          <w:highlight w:val="none"/>
        </w:rPr>
        <w:t>学科12个，ESI全球前2‰学科</w:t>
      </w:r>
      <w:r>
        <w:rPr>
          <w:rFonts w:hint="eastAsia" w:ascii="Times New Roman" w:hAnsi="Times New Roman" w:eastAsia="仿宋_GB2312"/>
          <w:color w:val="000000"/>
          <w:sz w:val="32"/>
          <w:szCs w:val="32"/>
          <w:highlight w:val="none"/>
        </w:rPr>
        <w:t>3</w:t>
      </w:r>
      <w:r>
        <w:rPr>
          <w:rFonts w:ascii="Times New Roman" w:hAnsi="Times New Roman" w:eastAsia="仿宋_GB2312"/>
          <w:color w:val="000000"/>
          <w:sz w:val="32"/>
          <w:szCs w:val="32"/>
          <w:highlight w:val="none"/>
        </w:rPr>
        <w:t>个</w:t>
      </w:r>
      <w:r>
        <w:rPr>
          <w:rFonts w:hint="eastAsia" w:ascii="Times New Roman" w:hAnsi="Times New Roman" w:eastAsia="仿宋_GB2312"/>
          <w:color w:val="000000"/>
          <w:sz w:val="32"/>
          <w:szCs w:val="32"/>
          <w:highlight w:val="none"/>
        </w:rPr>
        <w:t>，累计新增博士点4</w:t>
      </w:r>
      <w:r>
        <w:rPr>
          <w:rFonts w:ascii="Times New Roman" w:hAnsi="Times New Roman" w:eastAsia="仿宋_GB2312"/>
          <w:color w:val="000000"/>
          <w:sz w:val="32"/>
          <w:szCs w:val="32"/>
          <w:highlight w:val="none"/>
        </w:rPr>
        <w:t>个，硕士点</w:t>
      </w:r>
      <w:r>
        <w:rPr>
          <w:rFonts w:hint="eastAsia" w:ascii="Times New Roman" w:hAnsi="Times New Roman" w:eastAsia="仿宋_GB2312"/>
          <w:color w:val="000000"/>
          <w:sz w:val="32"/>
          <w:szCs w:val="32"/>
          <w:highlight w:val="none"/>
        </w:rPr>
        <w:t>10</w:t>
      </w:r>
      <w:r>
        <w:rPr>
          <w:rFonts w:ascii="Times New Roman" w:hAnsi="Times New Roman" w:eastAsia="仿宋_GB2312"/>
          <w:color w:val="000000"/>
          <w:sz w:val="32"/>
          <w:szCs w:val="32"/>
          <w:highlight w:val="none"/>
        </w:rPr>
        <w:t>个；职业教育国家级高水平专业群6个、省高水平专业群8个。</w:t>
      </w:r>
    </w:p>
    <w:p w14:paraId="21273D0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——打造</w:t>
      </w:r>
      <w:r>
        <w:rPr>
          <w:rFonts w:ascii="Times New Roman" w:hAnsi="Times New Roman" w:eastAsia="仿宋_GB2312"/>
          <w:b/>
          <w:bCs/>
          <w:color w:val="000000"/>
          <w:sz w:val="32"/>
          <w:szCs w:val="32"/>
          <w:highlight w:val="none"/>
          <w:lang w:val="en"/>
        </w:rPr>
        <w:t>一批高能级科研</w:t>
      </w:r>
      <w:r>
        <w:rPr>
          <w:rFonts w:ascii="Times New Roman" w:hAnsi="Times New Roman" w:eastAsia="仿宋_GB2312"/>
          <w:b/>
          <w:bCs/>
          <w:color w:val="000000"/>
          <w:sz w:val="32"/>
          <w:szCs w:val="32"/>
          <w:highlight w:val="none"/>
        </w:rPr>
        <w:t>平台</w:t>
      </w:r>
      <w:r>
        <w:rPr>
          <w:rFonts w:ascii="Times New Roman" w:hAnsi="Times New Roman" w:eastAsia="仿宋_GB2312"/>
          <w:b/>
          <w:bCs/>
          <w:color w:val="000000"/>
          <w:sz w:val="32"/>
          <w:szCs w:val="32"/>
          <w:highlight w:val="none"/>
          <w:lang w:val="en"/>
        </w:rPr>
        <w:t>。</w:t>
      </w:r>
      <w:r>
        <w:rPr>
          <w:rFonts w:ascii="Times New Roman" w:hAnsi="Times New Roman" w:eastAsia="仿宋_GB2312"/>
          <w:color w:val="000000"/>
          <w:sz w:val="32"/>
          <w:szCs w:val="32"/>
          <w:highlight w:val="none"/>
        </w:rPr>
        <w:t>到2027年，</w:t>
      </w:r>
      <w:r>
        <w:rPr>
          <w:rFonts w:hint="eastAsia" w:ascii="Times New Roman" w:hAnsi="Times New Roman" w:eastAsia="仿宋_GB2312"/>
          <w:color w:val="000000"/>
          <w:sz w:val="32"/>
          <w:szCs w:val="32"/>
          <w:highlight w:val="none"/>
        </w:rPr>
        <w:t>力争新增</w:t>
      </w:r>
      <w:r>
        <w:rPr>
          <w:rFonts w:ascii="Times New Roman" w:hAnsi="Times New Roman" w:eastAsia="仿宋_GB2312"/>
          <w:color w:val="000000"/>
          <w:sz w:val="32"/>
          <w:szCs w:val="32"/>
          <w:highlight w:val="none"/>
        </w:rPr>
        <w:t>国家</w:t>
      </w:r>
      <w:r>
        <w:rPr>
          <w:rFonts w:hint="eastAsia" w:ascii="Times New Roman" w:hAnsi="Times New Roman" w:eastAsia="仿宋_GB2312"/>
          <w:color w:val="000000"/>
          <w:sz w:val="32"/>
          <w:szCs w:val="32"/>
          <w:highlight w:val="none"/>
        </w:rPr>
        <w:t>重点</w:t>
      </w:r>
      <w:r>
        <w:rPr>
          <w:rFonts w:ascii="Times New Roman" w:hAnsi="Times New Roman" w:eastAsia="仿宋_GB2312"/>
          <w:color w:val="000000"/>
          <w:sz w:val="32"/>
          <w:szCs w:val="32"/>
          <w:highlight w:val="none"/>
        </w:rPr>
        <w:t>实验室</w:t>
      </w:r>
      <w:r>
        <w:rPr>
          <w:rFonts w:hint="eastAsia" w:ascii="Times New Roman" w:hAnsi="Times New Roman" w:eastAsia="仿宋_GB2312"/>
          <w:color w:val="000000"/>
          <w:sz w:val="32"/>
          <w:szCs w:val="32"/>
          <w:highlight w:val="none"/>
        </w:rPr>
        <w:t>1</w:t>
      </w:r>
      <w:r>
        <w:rPr>
          <w:rFonts w:ascii="Times New Roman" w:hAnsi="Times New Roman" w:eastAsia="仿宋_GB2312"/>
          <w:color w:val="000000"/>
          <w:sz w:val="32"/>
          <w:szCs w:val="32"/>
          <w:highlight w:val="none"/>
        </w:rPr>
        <w:t>个，</w:t>
      </w:r>
      <w:r>
        <w:rPr>
          <w:rFonts w:hint="eastAsia" w:ascii="Times New Roman" w:hAnsi="Times New Roman" w:eastAsia="仿宋_GB2312"/>
          <w:color w:val="000000"/>
          <w:sz w:val="32"/>
          <w:szCs w:val="32"/>
          <w:highlight w:val="none"/>
        </w:rPr>
        <w:t>省级</w:t>
      </w:r>
      <w:r>
        <w:rPr>
          <w:rFonts w:ascii="Times New Roman" w:hAnsi="Times New Roman" w:eastAsia="仿宋_GB2312"/>
          <w:color w:val="000000"/>
          <w:sz w:val="32"/>
          <w:szCs w:val="32"/>
          <w:highlight w:val="none"/>
        </w:rPr>
        <w:t>重点实验室</w:t>
      </w:r>
      <w:r>
        <w:rPr>
          <w:rFonts w:hint="eastAsia" w:ascii="Times New Roman" w:hAnsi="Times New Roman" w:eastAsia="仿宋_GB2312"/>
          <w:color w:val="000000"/>
          <w:sz w:val="32"/>
          <w:szCs w:val="32"/>
          <w:highlight w:val="none"/>
        </w:rPr>
        <w:t>2</w:t>
      </w:r>
      <w:r>
        <w:rPr>
          <w:rFonts w:ascii="Times New Roman" w:hAnsi="Times New Roman" w:eastAsia="仿宋_GB2312"/>
          <w:color w:val="000000"/>
          <w:sz w:val="32"/>
          <w:szCs w:val="32"/>
          <w:highlight w:val="none"/>
        </w:rPr>
        <w:t>个，省级工程技术研究中心2个</w:t>
      </w:r>
      <w:r>
        <w:rPr>
          <w:rFonts w:hint="eastAsia" w:ascii="Times New Roman" w:hAnsi="Times New Roman" w:eastAsia="仿宋_GB2312"/>
          <w:color w:val="000000"/>
          <w:sz w:val="32"/>
          <w:szCs w:val="32"/>
          <w:highlight w:val="none"/>
        </w:rPr>
        <w:t>，省新型研发机构2个</w:t>
      </w:r>
      <w:r>
        <w:rPr>
          <w:rFonts w:ascii="Times New Roman" w:hAnsi="Times New Roman" w:eastAsia="仿宋_GB2312"/>
          <w:color w:val="000000"/>
          <w:sz w:val="32"/>
          <w:szCs w:val="32"/>
          <w:highlight w:val="none"/>
        </w:rPr>
        <w:t>。到2030年，</w:t>
      </w:r>
      <w:r>
        <w:rPr>
          <w:rFonts w:hint="eastAsia" w:ascii="Times New Roman" w:hAnsi="Times New Roman" w:eastAsia="仿宋_GB2312"/>
          <w:color w:val="000000"/>
          <w:sz w:val="32"/>
          <w:szCs w:val="32"/>
          <w:highlight w:val="none"/>
        </w:rPr>
        <w:t>累计新增</w:t>
      </w:r>
      <w:r>
        <w:rPr>
          <w:rFonts w:ascii="Times New Roman" w:hAnsi="Times New Roman" w:eastAsia="仿宋_GB2312"/>
          <w:color w:val="000000"/>
          <w:sz w:val="32"/>
          <w:szCs w:val="32"/>
          <w:highlight w:val="none"/>
        </w:rPr>
        <w:t>国家级实验室、</w:t>
      </w:r>
      <w:r>
        <w:rPr>
          <w:rFonts w:hint="eastAsia" w:ascii="Times New Roman" w:hAnsi="Times New Roman" w:eastAsia="仿宋_GB2312"/>
          <w:color w:val="000000"/>
          <w:sz w:val="32"/>
          <w:szCs w:val="32"/>
          <w:highlight w:val="none"/>
        </w:rPr>
        <w:t>全省</w:t>
      </w:r>
      <w:r>
        <w:rPr>
          <w:rFonts w:ascii="Times New Roman" w:hAnsi="Times New Roman" w:eastAsia="仿宋_GB2312"/>
          <w:color w:val="000000"/>
          <w:sz w:val="32"/>
          <w:szCs w:val="32"/>
          <w:highlight w:val="none"/>
        </w:rPr>
        <w:t>重点实验室</w:t>
      </w:r>
      <w:r>
        <w:rPr>
          <w:rFonts w:hint="eastAsia" w:ascii="Times New Roman" w:hAnsi="Times New Roman" w:eastAsia="仿宋_GB2312"/>
          <w:color w:val="000000"/>
          <w:sz w:val="32"/>
          <w:szCs w:val="32"/>
          <w:highlight w:val="none"/>
        </w:rPr>
        <w:t>各</w:t>
      </w:r>
      <w:r>
        <w:rPr>
          <w:rFonts w:ascii="Times New Roman" w:hAnsi="Times New Roman" w:eastAsia="仿宋_GB2312"/>
          <w:color w:val="000000"/>
          <w:sz w:val="32"/>
          <w:szCs w:val="32"/>
          <w:highlight w:val="none"/>
        </w:rPr>
        <w:t>2个，省级工程技术研究中心3个</w:t>
      </w:r>
      <w:r>
        <w:rPr>
          <w:rFonts w:hint="eastAsia" w:ascii="Times New Roman" w:hAnsi="Times New Roman" w:eastAsia="仿宋_GB2312"/>
          <w:color w:val="000000"/>
          <w:sz w:val="32"/>
          <w:szCs w:val="32"/>
          <w:highlight w:val="none"/>
        </w:rPr>
        <w:t>，省新型研发机构4个</w:t>
      </w:r>
      <w:r>
        <w:rPr>
          <w:rFonts w:ascii="Times New Roman" w:hAnsi="Times New Roman" w:eastAsia="仿宋_GB2312"/>
          <w:color w:val="000000"/>
          <w:sz w:val="32"/>
          <w:szCs w:val="32"/>
          <w:highlight w:val="none"/>
        </w:rPr>
        <w:t>。</w:t>
      </w:r>
    </w:p>
    <w:p w14:paraId="060D4B0A">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w:t>
      </w:r>
      <w:r>
        <w:rPr>
          <w:rFonts w:ascii="Times New Roman" w:hAnsi="Times New Roman" w:eastAsia="仿宋_GB2312"/>
          <w:b/>
          <w:bCs/>
          <w:color w:val="000000"/>
          <w:sz w:val="32"/>
          <w:szCs w:val="32"/>
          <w:highlight w:val="none"/>
          <w:lang w:val="en"/>
        </w:rPr>
        <w:t>引育一批高层次人才。</w:t>
      </w:r>
      <w:r>
        <w:rPr>
          <w:rFonts w:ascii="Times New Roman" w:hAnsi="Times New Roman" w:eastAsia="仿宋_GB2312"/>
          <w:color w:val="000000"/>
          <w:sz w:val="32"/>
          <w:szCs w:val="32"/>
          <w:highlight w:val="none"/>
        </w:rPr>
        <w:t>到2027年，引</w:t>
      </w:r>
      <w:r>
        <w:rPr>
          <w:rFonts w:hint="eastAsia" w:ascii="Times New Roman" w:hAnsi="Times New Roman" w:eastAsia="仿宋_GB2312"/>
          <w:color w:val="000000"/>
          <w:sz w:val="32"/>
          <w:szCs w:val="32"/>
          <w:highlight w:val="none"/>
        </w:rPr>
        <w:t>育鲲鹏人才2-3名，</w:t>
      </w:r>
      <w:r>
        <w:rPr>
          <w:rFonts w:ascii="Times New Roman" w:hAnsi="Times New Roman" w:eastAsia="仿宋_GB2312"/>
          <w:color w:val="000000"/>
          <w:sz w:val="32"/>
          <w:szCs w:val="32"/>
          <w:highlight w:val="none"/>
        </w:rPr>
        <w:t>国家级</w:t>
      </w:r>
      <w:r>
        <w:rPr>
          <w:rFonts w:hint="eastAsia" w:ascii="Times New Roman" w:hAnsi="Times New Roman" w:eastAsia="仿宋_GB2312"/>
          <w:color w:val="000000"/>
          <w:sz w:val="32"/>
          <w:szCs w:val="32"/>
          <w:highlight w:val="none"/>
        </w:rPr>
        <w:t>领军</w:t>
      </w:r>
      <w:r>
        <w:rPr>
          <w:rFonts w:ascii="Times New Roman" w:hAnsi="Times New Roman" w:eastAsia="仿宋_GB2312"/>
          <w:color w:val="000000"/>
          <w:sz w:val="32"/>
          <w:szCs w:val="32"/>
          <w:highlight w:val="none"/>
        </w:rPr>
        <w:t>人才</w:t>
      </w:r>
      <w:r>
        <w:rPr>
          <w:rFonts w:hint="eastAsia" w:ascii="Times New Roman" w:hAnsi="Times New Roman" w:eastAsia="仿宋_GB2312"/>
          <w:color w:val="000000"/>
          <w:sz w:val="32"/>
          <w:szCs w:val="32"/>
          <w:highlight w:val="none"/>
        </w:rPr>
        <w:t>3</w:t>
      </w:r>
      <w:r>
        <w:rPr>
          <w:rFonts w:ascii="Times New Roman" w:hAnsi="Times New Roman" w:eastAsia="仿宋_GB2312"/>
          <w:color w:val="000000"/>
          <w:sz w:val="32"/>
          <w:szCs w:val="32"/>
          <w:highlight w:val="none"/>
        </w:rPr>
        <w:t>0</w:t>
      </w:r>
      <w:r>
        <w:rPr>
          <w:rFonts w:hint="eastAsia" w:ascii="Times New Roman" w:hAnsi="Times New Roman" w:eastAsia="仿宋_GB2312"/>
          <w:color w:val="000000"/>
          <w:sz w:val="32"/>
          <w:szCs w:val="32"/>
          <w:highlight w:val="none"/>
        </w:rPr>
        <w:t>名以上；培育国家级创新领军团队、教学创新团队2-3个；</w:t>
      </w:r>
      <w:r>
        <w:rPr>
          <w:rFonts w:ascii="Times New Roman" w:hAnsi="Times New Roman" w:eastAsia="仿宋_GB2312"/>
          <w:color w:val="000000"/>
          <w:sz w:val="32"/>
          <w:szCs w:val="32"/>
          <w:highlight w:val="none"/>
        </w:rPr>
        <w:t>公办普通本科高校专任教师博士占比达到45%。到2030年，累计引育</w:t>
      </w:r>
      <w:r>
        <w:rPr>
          <w:rFonts w:hint="eastAsia" w:ascii="Times New Roman" w:hAnsi="Times New Roman" w:eastAsia="仿宋_GB2312"/>
          <w:color w:val="000000"/>
          <w:sz w:val="32"/>
          <w:szCs w:val="32"/>
          <w:highlight w:val="none"/>
        </w:rPr>
        <w:t>鲲鹏人才5-6名</w:t>
      </w:r>
      <w:r>
        <w:rPr>
          <w:rFonts w:ascii="Times New Roman" w:hAnsi="Times New Roman" w:eastAsia="仿宋_GB2312"/>
          <w:color w:val="000000"/>
          <w:sz w:val="32"/>
          <w:szCs w:val="32"/>
          <w:highlight w:val="none"/>
        </w:rPr>
        <w:t>，国家级</w:t>
      </w:r>
      <w:r>
        <w:rPr>
          <w:rFonts w:hint="eastAsia" w:ascii="Times New Roman" w:hAnsi="Times New Roman" w:eastAsia="仿宋_GB2312"/>
          <w:color w:val="000000"/>
          <w:sz w:val="32"/>
          <w:szCs w:val="32"/>
          <w:highlight w:val="none"/>
        </w:rPr>
        <w:t>领军</w:t>
      </w:r>
      <w:r>
        <w:rPr>
          <w:rFonts w:ascii="Times New Roman" w:hAnsi="Times New Roman" w:eastAsia="仿宋_GB2312"/>
          <w:color w:val="000000"/>
          <w:sz w:val="32"/>
          <w:szCs w:val="32"/>
          <w:highlight w:val="none"/>
        </w:rPr>
        <w:t>人才</w:t>
      </w:r>
      <w:r>
        <w:rPr>
          <w:rFonts w:hint="eastAsia" w:ascii="Times New Roman" w:hAnsi="Times New Roman" w:eastAsia="仿宋_GB2312"/>
          <w:color w:val="000000"/>
          <w:sz w:val="32"/>
          <w:szCs w:val="32"/>
          <w:highlight w:val="none"/>
        </w:rPr>
        <w:t>60</w:t>
      </w:r>
      <w:r>
        <w:rPr>
          <w:rFonts w:ascii="Times New Roman" w:hAnsi="Times New Roman" w:eastAsia="仿宋_GB2312"/>
          <w:color w:val="000000"/>
          <w:sz w:val="32"/>
          <w:szCs w:val="32"/>
          <w:highlight w:val="none"/>
        </w:rPr>
        <w:t>名</w:t>
      </w:r>
      <w:r>
        <w:rPr>
          <w:rFonts w:hint="eastAsia" w:ascii="Times New Roman" w:hAnsi="Times New Roman" w:eastAsia="仿宋_GB2312"/>
          <w:color w:val="000000"/>
          <w:sz w:val="32"/>
          <w:szCs w:val="32"/>
          <w:highlight w:val="none"/>
        </w:rPr>
        <w:t>以上；培育国家级创新领军团队、教学创新团队4-5</w:t>
      </w:r>
      <w:r>
        <w:rPr>
          <w:rFonts w:ascii="Times New Roman" w:hAnsi="Times New Roman" w:eastAsia="仿宋_GB2312"/>
          <w:color w:val="000000"/>
          <w:sz w:val="32"/>
          <w:szCs w:val="32"/>
          <w:highlight w:val="none"/>
        </w:rPr>
        <w:t>个</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公办普通本科高校专任教师博士占比达到55%。</w:t>
      </w:r>
    </w:p>
    <w:p w14:paraId="0207EDC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到2035年，全面建成高等教育强市，高校自主创新能力得到大幅提升，取得一批国内领先、省内拔尖的重大标志性成果，社会对高等教育的满意度持续提高，成为浙江省四大高等教育重点区域之一，浙江中西部教育中心地位更加稳固，高等教育对经济社会发展的支撑引领作用更加凸显。</w:t>
      </w:r>
      <w:bookmarkEnd w:id="17"/>
      <w:bookmarkEnd w:id="18"/>
    </w:p>
    <w:p w14:paraId="6F82D80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三、高校目标定位和重点专业规划</w:t>
      </w:r>
    </w:p>
    <w:p w14:paraId="744C227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楷体_GB2312" w:hAnsi="楷体_GB2312" w:eastAsia="楷体_GB2312" w:cs="楷体_GB2312"/>
          <w:color w:val="000000"/>
          <w:sz w:val="32"/>
          <w:szCs w:val="32"/>
          <w:highlight w:val="none"/>
          <w:lang w:bidi="ar"/>
        </w:rPr>
      </w:pPr>
      <w:r>
        <w:rPr>
          <w:rFonts w:hint="eastAsia" w:ascii="楷体_GB2312" w:hAnsi="楷体_GB2312" w:eastAsia="楷体_GB2312" w:cs="楷体_GB2312"/>
          <w:color w:val="000000"/>
          <w:sz w:val="32"/>
          <w:szCs w:val="32"/>
          <w:highlight w:val="none"/>
          <w:lang w:bidi="ar"/>
        </w:rPr>
        <w:t>（一）省属高校</w:t>
      </w:r>
    </w:p>
    <w:p w14:paraId="4C88485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1.浙江师范大学</w:t>
      </w:r>
    </w:p>
    <w:p w14:paraId="4A6B008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发展目标：建成特色鲜明的一流大学</w:t>
      </w:r>
      <w:r>
        <w:rPr>
          <w:rFonts w:hint="eastAsia"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bidi="ar"/>
        </w:rPr>
        <w:t>进入全国一流高校行列。</w:t>
      </w:r>
    </w:p>
    <w:p w14:paraId="36D21CD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重点扶持学科：</w:t>
      </w:r>
    </w:p>
    <w:p w14:paraId="77115D4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区域国别学：以“当代非洲发展问题”“中非合作关系”为主攻方向，开展研究，争取</w:t>
      </w:r>
      <w:r>
        <w:rPr>
          <w:rFonts w:hint="eastAsia" w:ascii="Times New Roman" w:hAnsi="Times New Roman" w:eastAsia="仿宋_GB2312" w:cs="Times New Roman"/>
          <w:color w:val="000000"/>
          <w:sz w:val="32"/>
          <w:szCs w:val="32"/>
          <w:highlight w:val="none"/>
          <w:lang w:eastAsia="zh-CN" w:bidi="ar"/>
        </w:rPr>
        <w:t>在</w:t>
      </w:r>
      <w:r>
        <w:rPr>
          <w:rFonts w:hint="default" w:ascii="Times New Roman" w:hAnsi="Times New Roman" w:eastAsia="仿宋_GB2312" w:cs="Times New Roman"/>
          <w:color w:val="000000"/>
          <w:sz w:val="32"/>
          <w:szCs w:val="32"/>
          <w:highlight w:val="none"/>
          <w:lang w:bidi="ar"/>
        </w:rPr>
        <w:t>非洲区域国别等领域研究取得显著成果，成为非洲事务咨询重要智库、涉非人才培养重要基地和对非民间外交重要力量。</w:t>
      </w:r>
    </w:p>
    <w:p w14:paraId="5E26E11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教育学：高标准建设教育学硕士点、博士点，重点建设国家级实验教学示范中心教师教育实训中心、国家孤独症儿童特殊教育资源中心等高水平创新平台。</w:t>
      </w:r>
    </w:p>
    <w:p w14:paraId="714FB1D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 xml:space="preserve">中国语言文学：建设好高水平创新平台、一级学科博士点、博士后流动站，以及国家一流专业、国家级特色专业、教育部综合改革试点专业。   </w:t>
      </w:r>
    </w:p>
    <w:p w14:paraId="0A215BF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楷体_GB2312" w:hAnsi="楷体_GB2312" w:eastAsia="楷体_GB2312" w:cs="楷体_GB2312"/>
          <w:color w:val="000000"/>
          <w:sz w:val="32"/>
          <w:szCs w:val="32"/>
          <w:highlight w:val="none"/>
          <w:lang w:bidi="ar"/>
        </w:rPr>
      </w:pPr>
      <w:r>
        <w:rPr>
          <w:rFonts w:hint="default" w:ascii="楷体_GB2312" w:hAnsi="楷体_GB2312" w:eastAsia="楷体_GB2312" w:cs="楷体_GB2312"/>
          <w:color w:val="000000"/>
          <w:sz w:val="32"/>
          <w:szCs w:val="32"/>
          <w:highlight w:val="none"/>
          <w:lang w:bidi="ar"/>
        </w:rPr>
        <w:t>（二）市属本科院校</w:t>
      </w:r>
    </w:p>
    <w:p w14:paraId="0889E59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2.金华理工学院</w:t>
      </w:r>
    </w:p>
    <w:p w14:paraId="09811B8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发展目标：主动服务国家重大战略和区域发展需求，积极推进新工科、新医科建设，打造优势突出、特色鲜明、国内一流的学科专业群。</w:t>
      </w:r>
    </w:p>
    <w:p w14:paraId="5F3595D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5766A09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 xml:space="preserve">新能源汽车工程：聚焦新能源汽车核心领域，联合头部车企，重点围绕电池续航与安全、电机效率与成本、电控系统开展教学与研究，培养新能源领域创新产业人才。 </w:t>
      </w:r>
    </w:p>
    <w:p w14:paraId="50A90C8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 xml:space="preserve">机器人工程：聚焦工业机器人、服务机器人的设计、开发与应用，加强与头部企业的深度合作，重点围绕先进制造、自动控制、传感检测、工业机器人技术等多个学科领域开展教学与研究。 </w:t>
      </w:r>
    </w:p>
    <w:p w14:paraId="652715F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中药学：聚焦中医药和大健康产业，加强与生物医药和植入性医疗器械企业合作，重点围绕中草药新药研发、中药制剂现代化技术和植入材料研发等领域开展教学和研究，培养大健康新兴产业人才。</w:t>
      </w:r>
    </w:p>
    <w:p w14:paraId="336D5D6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3.浙江师范大学行知学院</w:t>
      </w:r>
    </w:p>
    <w:p w14:paraId="43023B0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bidi="ar"/>
        </w:rPr>
        <w:t>发展目标：以先进制造业集群建设重大需求为导向，建设区域特色鲜明的一流应用型本科院校</w:t>
      </w:r>
      <w:r>
        <w:rPr>
          <w:rFonts w:hint="eastAsia" w:ascii="Times New Roman" w:hAnsi="Times New Roman" w:eastAsia="仿宋_GB2312" w:cs="Times New Roman"/>
          <w:color w:val="000000"/>
          <w:sz w:val="32"/>
          <w:szCs w:val="32"/>
          <w:highlight w:val="none"/>
          <w:lang w:eastAsia="zh-CN" w:bidi="ar"/>
        </w:rPr>
        <w:t>。</w:t>
      </w:r>
    </w:p>
    <w:p w14:paraId="517523F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2293341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bidi="ar"/>
        </w:rPr>
        <w:t>应用化学：聚焦电动汽车、储能系统、太阳能电池、电子化学品等金华重点产业领域，强化科研与产业对接</w:t>
      </w:r>
      <w:r>
        <w:rPr>
          <w:rFonts w:hint="eastAsia" w:ascii="Times New Roman" w:hAnsi="Times New Roman" w:eastAsia="仿宋_GB2312" w:cs="Times New Roman"/>
          <w:color w:val="000000"/>
          <w:sz w:val="32"/>
          <w:szCs w:val="32"/>
          <w:highlight w:val="none"/>
          <w:lang w:eastAsia="zh-CN" w:bidi="ar"/>
        </w:rPr>
        <w:t>。</w:t>
      </w:r>
    </w:p>
    <w:p w14:paraId="5F61D47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网络空间安全：以培养网络空间安全领域高水平应用型人才为目标，以网络安全运维和软件安全开发为主要方向，推动政府、行业、高校等多元主体合作培养人才。</w:t>
      </w:r>
    </w:p>
    <w:p w14:paraId="071B416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4.上海财经大学浙江学院</w:t>
      </w:r>
    </w:p>
    <w:p w14:paraId="0B62A31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发展目标：建设成为省内一流、国内知名、特色鲜明的创新型商科院校。</w:t>
      </w:r>
    </w:p>
    <w:p w14:paraId="53ED1AF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6C9C8D6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bidi="ar"/>
        </w:rPr>
        <w:t>会计学：与</w:t>
      </w:r>
      <w:r>
        <w:rPr>
          <w:rFonts w:hint="eastAsia" w:ascii="Times New Roman" w:hAnsi="Times New Roman" w:eastAsia="仿宋_GB2312" w:cs="Times New Roman"/>
          <w:color w:val="000000"/>
          <w:sz w:val="32"/>
          <w:szCs w:val="32"/>
          <w:highlight w:val="none"/>
          <w:lang w:eastAsia="zh-CN" w:bidi="ar"/>
        </w:rPr>
        <w:t>本地企业</w:t>
      </w:r>
      <w:r>
        <w:rPr>
          <w:rFonts w:hint="default" w:ascii="Times New Roman" w:hAnsi="Times New Roman" w:eastAsia="仿宋_GB2312" w:cs="Times New Roman"/>
          <w:color w:val="000000"/>
          <w:sz w:val="32"/>
          <w:szCs w:val="32"/>
          <w:highlight w:val="none"/>
          <w:lang w:bidi="ar"/>
        </w:rPr>
        <w:t>建立紧密产学研合作关系，探索富有特色的财会人才培养模式</w:t>
      </w:r>
      <w:r>
        <w:rPr>
          <w:rFonts w:hint="eastAsia" w:ascii="Times New Roman" w:hAnsi="Times New Roman" w:eastAsia="仿宋_GB2312" w:cs="Times New Roman"/>
          <w:color w:val="000000"/>
          <w:sz w:val="32"/>
          <w:szCs w:val="32"/>
          <w:highlight w:val="none"/>
          <w:lang w:eastAsia="zh-CN" w:bidi="ar"/>
        </w:rPr>
        <w:t>。</w:t>
      </w:r>
    </w:p>
    <w:p w14:paraId="080A72B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bidi="ar"/>
        </w:rPr>
        <w:t>金融学：以课程建设为抓手，以金融营销与路演、金融科技、财富管理为主要着力点，强化金融PLUS，推进国际化</w:t>
      </w:r>
      <w:r>
        <w:rPr>
          <w:rFonts w:hint="eastAsia" w:ascii="Times New Roman" w:hAnsi="Times New Roman" w:eastAsia="仿宋_GB2312" w:cs="Times New Roman"/>
          <w:color w:val="000000"/>
          <w:sz w:val="32"/>
          <w:szCs w:val="32"/>
          <w:highlight w:val="none"/>
          <w:lang w:eastAsia="zh-CN" w:bidi="ar"/>
        </w:rPr>
        <w:t>人才</w:t>
      </w:r>
      <w:r>
        <w:rPr>
          <w:rFonts w:hint="default" w:ascii="Times New Roman" w:hAnsi="Times New Roman" w:eastAsia="仿宋_GB2312" w:cs="Times New Roman"/>
          <w:color w:val="000000"/>
          <w:sz w:val="32"/>
          <w:szCs w:val="32"/>
          <w:highlight w:val="none"/>
          <w:lang w:bidi="ar"/>
        </w:rPr>
        <w:t>培养</w:t>
      </w:r>
      <w:r>
        <w:rPr>
          <w:rFonts w:hint="eastAsia" w:ascii="Times New Roman" w:hAnsi="Times New Roman" w:eastAsia="仿宋_GB2312" w:cs="Times New Roman"/>
          <w:color w:val="000000"/>
          <w:sz w:val="32"/>
          <w:szCs w:val="32"/>
          <w:highlight w:val="none"/>
          <w:lang w:eastAsia="zh-CN" w:bidi="ar"/>
        </w:rPr>
        <w:t>。</w:t>
      </w:r>
    </w:p>
    <w:p w14:paraId="366F268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5.中国计量大学现代科技学院</w:t>
      </w:r>
    </w:p>
    <w:p w14:paraId="4DFEB13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发展目标：聚焦义乌特色、计量特色和国际化特色培养应用型创新人才，建设成为特色鲜明、国内知名、有国际影响力的应用型本科院校。</w:t>
      </w:r>
    </w:p>
    <w:p w14:paraId="61D2D6E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0F40618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测控技术与仪器：聚焦信息获取、传输、处理、应用以及相关对象控制的理论与技术，建成机械、光学、电子、信息技术、计算机等多学科交叉融合的高新技术密集型综合型专业。</w:t>
      </w:r>
    </w:p>
    <w:p w14:paraId="5E81A72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机械电子工程：聚焦机电系统检测与设计、机电系统质量信息化、机电类产品工业设计三个特色，创造性解决机电一体化问题。</w:t>
      </w:r>
    </w:p>
    <w:p w14:paraId="60056D4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楷体_GB2312" w:hAnsi="楷体_GB2312" w:eastAsia="楷体_GB2312" w:cs="楷体_GB2312"/>
          <w:color w:val="000000"/>
          <w:sz w:val="32"/>
          <w:szCs w:val="32"/>
          <w:highlight w:val="none"/>
          <w:lang w:bidi="ar"/>
        </w:rPr>
      </w:pPr>
      <w:r>
        <w:rPr>
          <w:rFonts w:hint="default" w:ascii="楷体_GB2312" w:hAnsi="楷体_GB2312" w:eastAsia="楷体_GB2312" w:cs="楷体_GB2312"/>
          <w:color w:val="000000"/>
          <w:sz w:val="32"/>
          <w:szCs w:val="32"/>
          <w:highlight w:val="none"/>
          <w:lang w:bidi="ar"/>
        </w:rPr>
        <w:t>（三）市属高职院校</w:t>
      </w:r>
    </w:p>
    <w:p w14:paraId="3F9476D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6.金华职业技术大学</w:t>
      </w:r>
    </w:p>
    <w:p w14:paraId="2792464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发展目标：初步建成具有中国特色的高水平职业技术大学</w:t>
      </w:r>
      <w:r>
        <w:rPr>
          <w:rFonts w:hint="eastAsia"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bidi="ar"/>
        </w:rPr>
        <w:t>成为本科层次职业教育改革发展的引领者。</w:t>
      </w:r>
    </w:p>
    <w:p w14:paraId="113328F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6344D56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机械设计制造及自动化：面向区域发展需求，聚焦智能农机装备、五金智能制造等领域，打造高素质智能制造技术技能型人才培养与应用研究高地。</w:t>
      </w:r>
    </w:p>
    <w:p w14:paraId="2E5AE6F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动物医学：面向长三角（南方）畜牧业发展需求，重点围绕智慧养殖、生物育种、动物健康与疫病防控领域开展教学与研究，培养现代畜牧业高素质技术技能人才。</w:t>
      </w:r>
    </w:p>
    <w:p w14:paraId="1C2CCB9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制药工程技术：面向金华生物医药产业发展需求，重点围绕药物绿色合成、药物分析、医药材料等领域开展研究，打造药物绿色创制研发高地。</w:t>
      </w:r>
    </w:p>
    <w:p w14:paraId="263572D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7.浙江广厦建设职业技术大学</w:t>
      </w:r>
    </w:p>
    <w:p w14:paraId="6198036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发展目标：高水平通过职业本科教学合格评估，综合竞争力稳居全国民办职业本科学校前列。</w:t>
      </w:r>
    </w:p>
    <w:p w14:paraId="21CCC01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 xml:space="preserve">重点扶持专业： </w:t>
      </w:r>
    </w:p>
    <w:p w14:paraId="155F360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智能建造工程：以科技创新为引领，适应产业工业化、绿色化和智能化发展趋势，实施专业结构优化调整，开展建筑新技术、新工艺、新设备、新材料研发与应用。</w:t>
      </w:r>
    </w:p>
    <w:p w14:paraId="7BBB750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工艺美术：以历史经典产业传承与发展为核心，发挥东阳工艺美术大师的大国工匠优势，依托国家级技能大师工作室和非遗传承培育基地，融入省级特色木雕小镇，探索民族手工艺精英人才的特色培养模式。</w:t>
      </w:r>
    </w:p>
    <w:p w14:paraId="0DD927D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8.义乌工商职业技术学院</w:t>
      </w:r>
    </w:p>
    <w:p w14:paraId="4251ECF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发展目标：实施特色化办学战略，建成一批支撑国家省市重大战略的国家高水平专业群，形成职业教育高质量发展的“义乌样板”。</w:t>
      </w:r>
    </w:p>
    <w:p w14:paraId="0E13074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 xml:space="preserve">重点扶持专业： </w:t>
      </w:r>
    </w:p>
    <w:p w14:paraId="7E5F16C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bidi="ar"/>
        </w:rPr>
        <w:t>国际经济与贸易：聚焦国际贸易、跨境电商等领域，重点服务义乌数字贸易发展，力争每年对外培训500人以上</w:t>
      </w:r>
      <w:r>
        <w:rPr>
          <w:rFonts w:hint="eastAsia" w:ascii="Times New Roman" w:hAnsi="Times New Roman" w:eastAsia="仿宋_GB2312" w:cs="Times New Roman"/>
          <w:color w:val="000000"/>
          <w:sz w:val="32"/>
          <w:szCs w:val="32"/>
          <w:highlight w:val="none"/>
          <w:lang w:eastAsia="zh-CN" w:bidi="ar"/>
        </w:rPr>
        <w:t>。</w:t>
      </w:r>
    </w:p>
    <w:p w14:paraId="123BA75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大数据技术：聚焦数字化改革需求，重点服务义乌小商品制造业数字化转型，培养具有大数据分析能力等高素质复合型技术技能人才。</w:t>
      </w:r>
    </w:p>
    <w:p w14:paraId="6A68D39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9.浙江横店影视职业学院</w:t>
      </w:r>
    </w:p>
    <w:p w14:paraId="16999EF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发展目标：实施“链上影视，特色强校”战略，坚持“影视生产”与“影视教育”要素融通，培养影视文旅产业高素质高技能人才。</w:t>
      </w:r>
    </w:p>
    <w:p w14:paraId="07191E62">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4314AFF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戏剧影视表演：依托全球最大影视基地的优势，紧密对接影视剧组，聚焦数字时代需求，打造具有国际视野的表演教育高地，培育能够引领行业潮流、传播中华文化的杰出表演人才。</w:t>
      </w:r>
    </w:p>
    <w:p w14:paraId="11C14AD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广播影视节目制作：以影视文化产业需求为引领，对接影视创制全产业链构建影视人才培养体系，打造与全球最大影视基地相匹配的人才教育高地，建设广播影视节目制作专业群。</w:t>
      </w:r>
    </w:p>
    <w:p w14:paraId="22E2830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10.浙江金华科贸职业技术学院</w:t>
      </w:r>
    </w:p>
    <w:p w14:paraId="67D45E9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发展目标：坚持“立足金华、服务浙江、面向全国”的办学定位，为区域经济社会发展培养高素质技术技能人才。</w:t>
      </w:r>
    </w:p>
    <w:p w14:paraId="22BE333D">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192421E0">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bidi="ar"/>
        </w:rPr>
        <w:t>汽车技术服务与营销：依托浙江大昌投资集团的产业优势，服务新能源汽车及关键零部件重点产业链的中下游企业，创新“四对接+双融合”的专业群人才培养模式</w:t>
      </w:r>
      <w:r>
        <w:rPr>
          <w:rFonts w:hint="eastAsia" w:ascii="Times New Roman" w:hAnsi="Times New Roman" w:eastAsia="仿宋_GB2312" w:cs="Times New Roman"/>
          <w:color w:val="000000"/>
          <w:sz w:val="32"/>
          <w:szCs w:val="32"/>
          <w:highlight w:val="none"/>
          <w:lang w:eastAsia="zh-CN" w:bidi="ar"/>
        </w:rPr>
        <w:t>。</w:t>
      </w:r>
    </w:p>
    <w:p w14:paraId="184178F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楷体_GB2312" w:hAnsi="楷体_GB2312" w:eastAsia="楷体_GB2312" w:cs="楷体_GB2312"/>
          <w:color w:val="000000"/>
          <w:sz w:val="32"/>
          <w:szCs w:val="32"/>
          <w:highlight w:val="none"/>
          <w:lang w:bidi="ar"/>
        </w:rPr>
      </w:pPr>
      <w:r>
        <w:rPr>
          <w:rFonts w:hint="default" w:ascii="楷体_GB2312" w:hAnsi="楷体_GB2312" w:eastAsia="楷体_GB2312" w:cs="楷体_GB2312"/>
          <w:color w:val="000000"/>
          <w:sz w:val="32"/>
          <w:szCs w:val="32"/>
          <w:highlight w:val="none"/>
          <w:lang w:bidi="ar"/>
        </w:rPr>
        <w:t>（四）市属成人高校</w:t>
      </w:r>
    </w:p>
    <w:p w14:paraId="287EA97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11.金华开放大学</w:t>
      </w:r>
    </w:p>
    <w:p w14:paraId="2A726E7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rPr>
      </w:pPr>
      <w:r>
        <w:rPr>
          <w:rFonts w:hint="default" w:ascii="Times New Roman" w:hAnsi="Times New Roman" w:eastAsia="仿宋_GB2312" w:cs="Times New Roman"/>
          <w:color w:val="000000"/>
          <w:sz w:val="32"/>
          <w:szCs w:val="32"/>
          <w:highlight w:val="none"/>
          <w:lang w:bidi="ar"/>
        </w:rPr>
        <w:t>发展目标：统筹市县两级办学资源，健全全民终身学习服务体系，开展学历教育和社区教育、老年教育、职业培训等非学历教育，在线教育水平居于省内同类学校前列，成为服务全民终身学习的核心支柱和技能社会的有力支撑。</w:t>
      </w:r>
    </w:p>
    <w:p w14:paraId="2A0D7F1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15476FC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烹饪工艺与营养：围绕终身教育体系建设，培养金华食品加工和火腿、康养、餐饮和高端家政等行业高素质技术技能型从业人员。产教融合建设兼具生产、教学、科研、培训、职业体验等功能的生产性实训基地，建成省级开放型产教融合实践中心，建成一批省市级在线开放课程和培训课程。</w:t>
      </w:r>
    </w:p>
    <w:p w14:paraId="386E2F7A">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12.金华教育学院</w:t>
      </w:r>
    </w:p>
    <w:p w14:paraId="2899923B">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发展目标：围绕成教大专生培养、中小学教师培养、普通高校师范生培养，以及教育评估、家庭教育指导、心理健康指导等健康成长服务，建设中小学（幼儿园）教师教育职前职后一体化培养的省内一流师范特色高校。</w:t>
      </w:r>
    </w:p>
    <w:p w14:paraId="66592889">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重点扶持专业：</w:t>
      </w:r>
    </w:p>
    <w:p w14:paraId="738A03E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000000"/>
          <w:sz w:val="32"/>
          <w:szCs w:val="32"/>
          <w:highlight w:val="none"/>
          <w:lang w:bidi="ar"/>
        </w:rPr>
      </w:pPr>
      <w:r>
        <w:rPr>
          <w:rFonts w:hint="default" w:ascii="Times New Roman" w:hAnsi="Times New Roman" w:eastAsia="仿宋_GB2312" w:cs="Times New Roman"/>
          <w:color w:val="000000"/>
          <w:sz w:val="32"/>
          <w:szCs w:val="32"/>
          <w:highlight w:val="none"/>
          <w:lang w:bidi="ar"/>
        </w:rPr>
        <w:t>家庭教育学：整合金华教育学院、金华家长大学、金华市家庭教育指导中心等资源建设家庭教育专业，打造家庭社会学、卫生学、心理学、家庭教育指导、家庭咨询与治疗等模块课程群，依托多元智能的校内外实训基地，探索“四习一体”的实践模式，构建有金华市域特色的家庭教育（指导）人才培养体系。</w:t>
      </w:r>
    </w:p>
    <w:p w14:paraId="5D5FEA3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四、策略举措</w:t>
      </w:r>
    </w:p>
    <w:p w14:paraId="06368D3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r>
        <w:rPr>
          <w:rFonts w:ascii="Times New Roman" w:hAnsi="Times New Roman" w:eastAsia="楷体_GB2312"/>
          <w:color w:val="000000"/>
          <w:sz w:val="32"/>
          <w:szCs w:val="32"/>
          <w:highlight w:val="none"/>
        </w:rPr>
        <w:t>（一）强化引领，加强党对高校的全面领导</w:t>
      </w:r>
    </w:p>
    <w:p w14:paraId="549DBCAA">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一是健全党对高校的全面领导机制</w:t>
      </w:r>
      <w:r>
        <w:rPr>
          <w:rFonts w:ascii="Times New Roman" w:hAnsi="Times New Roman" w:eastAsia="仿宋_GB2312"/>
          <w:color w:val="000000"/>
          <w:sz w:val="32"/>
          <w:szCs w:val="32"/>
          <w:highlight w:val="none"/>
        </w:rPr>
        <w:t>。强化政治引领，着力构建市委统一领导、党政齐抓共管、有关部门各司其职的高效协同工作格局，</w:t>
      </w:r>
      <w:r>
        <w:rPr>
          <w:rFonts w:hint="eastAsia" w:ascii="Times New Roman" w:hAnsi="Times New Roman" w:eastAsia="仿宋_GB2312"/>
          <w:color w:val="000000"/>
          <w:sz w:val="32"/>
          <w:szCs w:val="32"/>
          <w:highlight w:val="none"/>
          <w:lang w:val="en" w:eastAsia="zh-CN"/>
        </w:rPr>
        <w:t>探索建立市委教育工作领导小组成员单位联系民办高校机制，</w:t>
      </w:r>
      <w:r>
        <w:rPr>
          <w:rFonts w:ascii="Times New Roman" w:hAnsi="Times New Roman" w:eastAsia="仿宋_GB2312"/>
          <w:color w:val="000000"/>
          <w:sz w:val="32"/>
          <w:szCs w:val="32"/>
          <w:highlight w:val="none"/>
        </w:rPr>
        <w:t>引领高校在正确的政治方向上蓬勃发展</w:t>
      </w:r>
      <w:r>
        <w:rPr>
          <w:rFonts w:hint="eastAsia" w:ascii="Times New Roman" w:hAnsi="Times New Roman" w:eastAsia="仿宋_GB2312"/>
          <w:color w:val="000000"/>
          <w:sz w:val="32"/>
          <w:szCs w:val="32"/>
          <w:highlight w:val="none"/>
        </w:rPr>
        <w:t>。</w:t>
      </w:r>
      <w:r>
        <w:rPr>
          <w:rFonts w:hint="eastAsia" w:ascii="Times New Roman" w:hAnsi="Times New Roman" w:eastAsia="仿宋_GB2312"/>
          <w:b/>
          <w:bCs/>
          <w:color w:val="000000"/>
          <w:sz w:val="32"/>
          <w:szCs w:val="32"/>
          <w:highlight w:val="none"/>
        </w:rPr>
        <w:t>二</w:t>
      </w:r>
      <w:r>
        <w:rPr>
          <w:rFonts w:ascii="Times New Roman" w:hAnsi="Times New Roman" w:eastAsia="仿宋_GB2312"/>
          <w:b/>
          <w:bCs/>
          <w:color w:val="000000"/>
          <w:sz w:val="32"/>
          <w:szCs w:val="32"/>
          <w:highlight w:val="none"/>
        </w:rPr>
        <w:t>是落实立德树人根本任务</w:t>
      </w:r>
      <w:r>
        <w:rPr>
          <w:rFonts w:ascii="Times New Roman" w:hAnsi="Times New Roman" w:eastAsia="仿宋_GB2312"/>
          <w:color w:val="000000"/>
          <w:sz w:val="32"/>
          <w:szCs w:val="32"/>
          <w:highlight w:val="none"/>
        </w:rPr>
        <w:t>。推进全市大中小学思政教育一体化联盟建设，打造具有金华特色的大中小学思政教育一体化品牌，建设30个思政名师工作室，建设</w:t>
      </w:r>
      <w:r>
        <w:rPr>
          <w:rFonts w:hint="eastAsia" w:ascii="Times New Roman" w:hAnsi="Times New Roman" w:eastAsia="仿宋_GB2312"/>
          <w:color w:val="000000"/>
          <w:sz w:val="32"/>
          <w:szCs w:val="32"/>
          <w:highlight w:val="none"/>
        </w:rPr>
        <w:t>10个</w:t>
      </w:r>
      <w:r>
        <w:rPr>
          <w:rFonts w:ascii="Times New Roman" w:hAnsi="Times New Roman" w:eastAsia="仿宋_GB2312"/>
          <w:color w:val="000000"/>
          <w:sz w:val="32"/>
          <w:szCs w:val="32"/>
          <w:highlight w:val="none"/>
        </w:rPr>
        <w:t>大中小学思政课一体化共同体。支持高校马克思主义学院和浙江省习近平新时代中国特色社会主义思想研究中心研究基地建设。</w:t>
      </w:r>
      <w:r>
        <w:rPr>
          <w:rFonts w:hint="eastAsia" w:ascii="Times New Roman" w:hAnsi="Times New Roman" w:eastAsia="仿宋_GB2312"/>
          <w:b/>
          <w:bCs/>
          <w:color w:val="000000"/>
          <w:sz w:val="32"/>
          <w:szCs w:val="32"/>
          <w:highlight w:val="none"/>
        </w:rPr>
        <w:t>三</w:t>
      </w:r>
      <w:r>
        <w:rPr>
          <w:rFonts w:ascii="Times New Roman" w:hAnsi="Times New Roman" w:eastAsia="仿宋_GB2312"/>
          <w:b/>
          <w:bCs/>
          <w:color w:val="000000"/>
          <w:sz w:val="32"/>
          <w:szCs w:val="32"/>
          <w:highlight w:val="none"/>
        </w:rPr>
        <w:t>是压实高校意识形态工作主体责任</w:t>
      </w:r>
      <w:r>
        <w:rPr>
          <w:rFonts w:ascii="Times New Roman" w:hAnsi="Times New Roman" w:eastAsia="仿宋_GB2312"/>
          <w:color w:val="000000"/>
          <w:sz w:val="32"/>
          <w:szCs w:val="32"/>
          <w:highlight w:val="none"/>
        </w:rPr>
        <w:t>。建立高校分管领导例会制度，定期研讨、部署和推进意识形态工作相关事宜，形成常态化、规范化的工作交流与监督机制，抓实师德师风建设、心理健康教育、校园安全管理、网络舆论引导等工作。</w:t>
      </w:r>
    </w:p>
    <w:p w14:paraId="12E9F5DF">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olor w:val="000000"/>
          <w:sz w:val="32"/>
          <w:szCs w:val="32"/>
          <w:highlight w:val="none"/>
        </w:rPr>
      </w:pPr>
      <w:r>
        <w:rPr>
          <w:rFonts w:ascii="Times New Roman" w:hAnsi="Times New Roman" w:eastAsia="楷体_GB2312"/>
          <w:color w:val="000000"/>
          <w:sz w:val="32"/>
          <w:szCs w:val="32"/>
          <w:highlight w:val="none"/>
        </w:rPr>
        <w:t>（二）精准发力，多措并举推动高校高质量发展</w:t>
      </w:r>
      <w:r>
        <w:rPr>
          <w:rFonts w:ascii="Times New Roman" w:hAnsi="Times New Roman" w:eastAsia="楷体"/>
          <w:color w:val="000000"/>
          <w:sz w:val="32"/>
          <w:szCs w:val="32"/>
          <w:highlight w:val="none"/>
        </w:rPr>
        <w:br w:type="textWrapping"/>
      </w:r>
      <w:r>
        <w:rPr>
          <w:rFonts w:ascii="Times New Roman" w:hAnsi="Times New Roman" w:eastAsia="仿宋"/>
          <w:color w:val="000000"/>
          <w:sz w:val="32"/>
          <w:szCs w:val="32"/>
          <w:highlight w:val="none"/>
        </w:rPr>
        <w:t>　</w:t>
      </w:r>
      <w:r>
        <w:rPr>
          <w:rFonts w:ascii="Times New Roman" w:hAnsi="Times New Roman" w:eastAsia="仿宋_GB2312"/>
          <w:color w:val="000000"/>
          <w:sz w:val="32"/>
          <w:szCs w:val="32"/>
          <w:highlight w:val="none"/>
        </w:rPr>
        <w:t>　</w:t>
      </w:r>
      <w:r>
        <w:rPr>
          <w:rFonts w:ascii="Times New Roman" w:hAnsi="Times New Roman" w:eastAsia="仿宋_GB2312"/>
          <w:b/>
          <w:bCs/>
          <w:color w:val="000000"/>
          <w:sz w:val="32"/>
          <w:szCs w:val="32"/>
          <w:highlight w:val="none"/>
        </w:rPr>
        <w:t>一是建立与</w:t>
      </w:r>
      <w:r>
        <w:rPr>
          <w:rFonts w:hint="eastAsia" w:ascii="Times New Roman" w:hAnsi="Times New Roman" w:eastAsia="仿宋_GB2312"/>
          <w:b/>
          <w:bCs/>
          <w:color w:val="000000"/>
          <w:sz w:val="32"/>
          <w:szCs w:val="32"/>
          <w:highlight w:val="none"/>
        </w:rPr>
        <w:t>国内</w:t>
      </w:r>
      <w:r>
        <w:rPr>
          <w:rFonts w:ascii="Times New Roman" w:hAnsi="Times New Roman" w:eastAsia="仿宋_GB2312"/>
          <w:b/>
          <w:bCs/>
          <w:color w:val="000000"/>
          <w:sz w:val="32"/>
          <w:szCs w:val="32"/>
          <w:highlight w:val="none"/>
        </w:rPr>
        <w:t>外高水平大学的帮扶机制</w:t>
      </w:r>
      <w:r>
        <w:rPr>
          <w:rFonts w:ascii="Times New Roman" w:hAnsi="Times New Roman" w:eastAsia="仿宋_GB2312"/>
          <w:color w:val="000000"/>
          <w:sz w:val="32"/>
          <w:szCs w:val="32"/>
          <w:highlight w:val="none"/>
        </w:rPr>
        <w:t>。加强与浙江大学、中国人民大学</w:t>
      </w:r>
      <w:r>
        <w:rPr>
          <w:rFonts w:hint="eastAsia" w:ascii="Times New Roman" w:hAnsi="Times New Roman" w:eastAsia="仿宋_GB2312"/>
          <w:color w:val="000000"/>
          <w:sz w:val="32"/>
          <w:szCs w:val="32"/>
          <w:highlight w:val="none"/>
        </w:rPr>
        <w:t>、美国堪萨斯大学</w:t>
      </w:r>
      <w:r>
        <w:rPr>
          <w:rFonts w:ascii="Times New Roman" w:hAnsi="Times New Roman" w:eastAsia="仿宋_GB2312"/>
          <w:color w:val="000000"/>
          <w:sz w:val="32"/>
          <w:szCs w:val="32"/>
          <w:highlight w:val="none"/>
        </w:rPr>
        <w:t>等</w:t>
      </w:r>
      <w:r>
        <w:rPr>
          <w:rFonts w:hint="eastAsia" w:ascii="Times New Roman" w:hAnsi="Times New Roman" w:eastAsia="仿宋_GB2312"/>
          <w:color w:val="000000"/>
          <w:sz w:val="32"/>
          <w:szCs w:val="32"/>
          <w:highlight w:val="none"/>
        </w:rPr>
        <w:t>国内外</w:t>
      </w:r>
      <w:r>
        <w:rPr>
          <w:rFonts w:ascii="Times New Roman" w:hAnsi="Times New Roman" w:eastAsia="仿宋_GB2312"/>
          <w:color w:val="000000"/>
          <w:sz w:val="32"/>
          <w:szCs w:val="32"/>
          <w:highlight w:val="none"/>
        </w:rPr>
        <w:t>高水平大学</w:t>
      </w:r>
      <w:r>
        <w:rPr>
          <w:rFonts w:hint="eastAsia" w:ascii="Times New Roman" w:hAnsi="Times New Roman" w:eastAsia="仿宋_GB2312"/>
          <w:color w:val="000000"/>
          <w:sz w:val="32"/>
          <w:szCs w:val="32"/>
          <w:highlight w:val="none"/>
        </w:rPr>
        <w:t>的</w:t>
      </w:r>
      <w:r>
        <w:rPr>
          <w:rFonts w:ascii="Times New Roman" w:hAnsi="Times New Roman" w:eastAsia="仿宋_GB2312"/>
          <w:color w:val="000000"/>
          <w:sz w:val="32"/>
          <w:szCs w:val="32"/>
          <w:highlight w:val="none"/>
        </w:rPr>
        <w:t>紧密合作，开展</w:t>
      </w:r>
      <w:r>
        <w:rPr>
          <w:rFonts w:hint="eastAsia" w:ascii="Times New Roman" w:hAnsi="Times New Roman" w:eastAsia="仿宋_GB2312"/>
          <w:color w:val="000000"/>
          <w:sz w:val="32"/>
          <w:szCs w:val="32"/>
          <w:highlight w:val="none"/>
        </w:rPr>
        <w:t>硕博研究生联合培养、科研联合攻关，推动在金高校高水平</w:t>
      </w:r>
      <w:r>
        <w:rPr>
          <w:rFonts w:ascii="Times New Roman" w:hAnsi="Times New Roman" w:eastAsia="仿宋_GB2312"/>
          <w:color w:val="000000"/>
          <w:sz w:val="32"/>
          <w:szCs w:val="32"/>
          <w:highlight w:val="none"/>
        </w:rPr>
        <w:t>学科建设。</w:t>
      </w:r>
      <w:r>
        <w:rPr>
          <w:rFonts w:ascii="Times New Roman" w:hAnsi="Times New Roman" w:eastAsia="仿宋_GB2312"/>
          <w:b/>
          <w:bCs/>
          <w:color w:val="000000"/>
          <w:sz w:val="32"/>
          <w:szCs w:val="32"/>
          <w:highlight w:val="none"/>
        </w:rPr>
        <w:t>二是健全市内高校常态合作</w:t>
      </w:r>
      <w:r>
        <w:rPr>
          <w:rFonts w:hint="eastAsia" w:ascii="Times New Roman" w:hAnsi="Times New Roman" w:eastAsia="仿宋_GB2312"/>
          <w:b/>
          <w:bCs/>
          <w:color w:val="000000"/>
          <w:sz w:val="32"/>
          <w:szCs w:val="32"/>
          <w:highlight w:val="none"/>
        </w:rPr>
        <w:t>帮扶</w:t>
      </w:r>
      <w:r>
        <w:rPr>
          <w:rFonts w:ascii="Times New Roman" w:hAnsi="Times New Roman" w:eastAsia="仿宋_GB2312"/>
          <w:b/>
          <w:bCs/>
          <w:color w:val="000000"/>
          <w:sz w:val="32"/>
          <w:szCs w:val="32"/>
          <w:highlight w:val="none"/>
        </w:rPr>
        <w:t>机制</w:t>
      </w:r>
      <w:r>
        <w:rPr>
          <w:rFonts w:ascii="Times New Roman" w:hAnsi="Times New Roman" w:eastAsia="仿宋_GB2312"/>
          <w:color w:val="000000"/>
          <w:sz w:val="32"/>
          <w:szCs w:val="32"/>
          <w:highlight w:val="none"/>
        </w:rPr>
        <w:t>。支持市属高校与浙江师范大学</w:t>
      </w:r>
      <w:r>
        <w:rPr>
          <w:rFonts w:hint="eastAsia" w:ascii="Times New Roman" w:hAnsi="Times New Roman" w:eastAsia="仿宋_GB2312"/>
          <w:color w:val="000000"/>
          <w:sz w:val="32"/>
          <w:szCs w:val="32"/>
          <w:highlight w:val="none"/>
        </w:rPr>
        <w:t>、浙江大学“一带一路”国际医学院、中国人民大学“一带一路”国际商学院建立常态合作帮扶机制，</w:t>
      </w:r>
      <w:r>
        <w:rPr>
          <w:rFonts w:ascii="Times New Roman" w:hAnsi="Times New Roman" w:eastAsia="仿宋_GB2312"/>
          <w:color w:val="000000"/>
          <w:sz w:val="32"/>
          <w:szCs w:val="32"/>
          <w:highlight w:val="none"/>
        </w:rPr>
        <w:t>开展研究生联合培养，共同建设区域特色学科，推进中高本硕一体化人才培养改革。</w:t>
      </w:r>
      <w:r>
        <w:rPr>
          <w:rFonts w:ascii="Times New Roman" w:hAnsi="Times New Roman" w:eastAsia="仿宋_GB2312"/>
          <w:b/>
          <w:bCs/>
          <w:color w:val="000000"/>
          <w:sz w:val="32"/>
          <w:szCs w:val="32"/>
          <w:highlight w:val="none"/>
        </w:rPr>
        <w:t>三是完善</w:t>
      </w:r>
      <w:r>
        <w:rPr>
          <w:rFonts w:hint="eastAsia" w:ascii="Times New Roman" w:hAnsi="Times New Roman" w:eastAsia="仿宋_GB2312"/>
          <w:b/>
          <w:bCs/>
          <w:color w:val="000000"/>
          <w:sz w:val="32"/>
          <w:szCs w:val="32"/>
          <w:highlight w:val="none"/>
        </w:rPr>
        <w:t>高校与科创平台的</w:t>
      </w:r>
      <w:r>
        <w:rPr>
          <w:rFonts w:ascii="Times New Roman" w:hAnsi="Times New Roman" w:eastAsia="仿宋_GB2312"/>
          <w:b/>
          <w:bCs/>
          <w:color w:val="000000"/>
          <w:sz w:val="32"/>
          <w:szCs w:val="32"/>
          <w:highlight w:val="none"/>
        </w:rPr>
        <w:t>合作机制</w:t>
      </w:r>
      <w:r>
        <w:rPr>
          <w:rFonts w:ascii="Times New Roman" w:hAnsi="Times New Roman" w:eastAsia="仿宋_GB2312"/>
          <w:color w:val="000000"/>
          <w:sz w:val="32"/>
          <w:szCs w:val="32"/>
          <w:highlight w:val="none"/>
        </w:rPr>
        <w:t>。鼓励高校</w:t>
      </w:r>
      <w:r>
        <w:rPr>
          <w:rFonts w:hint="eastAsia" w:ascii="Times New Roman" w:hAnsi="Times New Roman" w:eastAsia="仿宋_GB2312"/>
          <w:color w:val="000000"/>
          <w:sz w:val="32"/>
          <w:szCs w:val="32"/>
          <w:highlight w:val="none"/>
        </w:rPr>
        <w:t>融入浙中科创走廊建设，建立长效合作机制，</w:t>
      </w:r>
      <w:r>
        <w:rPr>
          <w:rFonts w:ascii="Times New Roman" w:hAnsi="Times New Roman" w:eastAsia="仿宋_GB2312"/>
          <w:color w:val="000000"/>
          <w:sz w:val="32"/>
          <w:szCs w:val="32"/>
          <w:highlight w:val="none"/>
        </w:rPr>
        <w:t>与</w:t>
      </w:r>
      <w:r>
        <w:rPr>
          <w:rFonts w:hint="eastAsia" w:ascii="Times New Roman" w:hAnsi="Times New Roman" w:eastAsia="仿宋_GB2312"/>
          <w:color w:val="000000"/>
          <w:sz w:val="32"/>
          <w:szCs w:val="32"/>
          <w:highlight w:val="none"/>
        </w:rPr>
        <w:t>浙江大学金华研究院、浙江光电子研究院等</w:t>
      </w:r>
      <w:r>
        <w:rPr>
          <w:rFonts w:ascii="Times New Roman" w:hAnsi="Times New Roman" w:eastAsia="仿宋_GB2312"/>
          <w:color w:val="000000"/>
          <w:sz w:val="32"/>
          <w:szCs w:val="32"/>
          <w:highlight w:val="none"/>
        </w:rPr>
        <w:t>十大科创平台</w:t>
      </w:r>
      <w:r>
        <w:rPr>
          <w:rFonts w:hint="eastAsia" w:ascii="Times New Roman" w:hAnsi="Times New Roman" w:eastAsia="仿宋_GB2312"/>
          <w:color w:val="000000"/>
          <w:sz w:val="32"/>
          <w:szCs w:val="32"/>
          <w:highlight w:val="none"/>
        </w:rPr>
        <w:t>及重点企业</w:t>
      </w:r>
      <w:r>
        <w:rPr>
          <w:rFonts w:ascii="Times New Roman" w:hAnsi="Times New Roman" w:eastAsia="仿宋_GB2312"/>
          <w:color w:val="000000"/>
          <w:sz w:val="32"/>
          <w:szCs w:val="32"/>
          <w:highlight w:val="none"/>
        </w:rPr>
        <w:t>协同开展技术攻关</w:t>
      </w:r>
      <w:r>
        <w:rPr>
          <w:rFonts w:hint="eastAsia" w:ascii="Times New Roman" w:hAnsi="Times New Roman" w:eastAsia="仿宋_GB2312"/>
          <w:color w:val="000000"/>
          <w:sz w:val="32"/>
          <w:szCs w:val="32"/>
          <w:highlight w:val="none"/>
        </w:rPr>
        <w:t>，联合</w:t>
      </w:r>
      <w:r>
        <w:rPr>
          <w:rFonts w:ascii="Times New Roman" w:hAnsi="Times New Roman" w:eastAsia="仿宋_GB2312"/>
          <w:color w:val="000000"/>
          <w:sz w:val="32"/>
          <w:szCs w:val="32"/>
          <w:highlight w:val="none"/>
        </w:rPr>
        <w:t>培养高素养</w:t>
      </w:r>
      <w:r>
        <w:rPr>
          <w:rFonts w:hint="eastAsia" w:ascii="Times New Roman" w:hAnsi="Times New Roman" w:eastAsia="仿宋_GB2312"/>
          <w:color w:val="000000"/>
          <w:sz w:val="32"/>
          <w:szCs w:val="32"/>
          <w:highlight w:val="none"/>
        </w:rPr>
        <w:t>科技创新人才</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支持金漪湖科创智造平台依托金华理工学院和金华科技城，打造以科创智造为特色的现代化产业园区。</w:t>
      </w:r>
    </w:p>
    <w:p w14:paraId="6DC2372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r>
        <w:rPr>
          <w:rFonts w:ascii="Times New Roman" w:hAnsi="Times New Roman" w:eastAsia="楷体_GB2312"/>
          <w:color w:val="000000"/>
          <w:sz w:val="32"/>
          <w:szCs w:val="32"/>
          <w:highlight w:val="none"/>
        </w:rPr>
        <w:t>（三）扶特扶强，以点带面推动重点学科内涵发展</w:t>
      </w:r>
    </w:p>
    <w:p w14:paraId="66D45948">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olor w:val="000000"/>
          <w:sz w:val="32"/>
          <w:szCs w:val="32"/>
          <w:highlight w:val="none"/>
        </w:rPr>
      </w:pPr>
      <w:r>
        <w:rPr>
          <w:rFonts w:hint="eastAsia" w:ascii="Times New Roman" w:hAnsi="Times New Roman" w:eastAsia="仿宋_GB2312"/>
          <w:b/>
          <w:bCs/>
          <w:color w:val="000000"/>
          <w:sz w:val="32"/>
          <w:szCs w:val="32"/>
          <w:highlight w:val="none"/>
        </w:rPr>
        <w:t>一</w:t>
      </w:r>
      <w:r>
        <w:rPr>
          <w:rFonts w:ascii="Times New Roman" w:hAnsi="Times New Roman" w:eastAsia="仿宋_GB2312"/>
          <w:b/>
          <w:bCs/>
          <w:color w:val="000000"/>
          <w:sz w:val="32"/>
          <w:szCs w:val="32"/>
          <w:highlight w:val="none"/>
        </w:rPr>
        <w:t>是立足未来前瞻布局</w:t>
      </w:r>
      <w:r>
        <w:rPr>
          <w:rFonts w:ascii="Times New Roman" w:hAnsi="Times New Roman" w:eastAsia="仿宋_GB2312"/>
          <w:color w:val="000000"/>
          <w:sz w:val="32"/>
          <w:szCs w:val="32"/>
          <w:highlight w:val="none"/>
        </w:rPr>
        <w:t>。加强学科专业建设与区域经济社会发展战略的深度融合，根据未来产业发展导向，引导高校</w:t>
      </w:r>
      <w:r>
        <w:rPr>
          <w:rFonts w:hint="eastAsia" w:ascii="Times New Roman" w:hAnsi="Times New Roman" w:eastAsia="仿宋_GB2312"/>
          <w:color w:val="000000"/>
          <w:sz w:val="32"/>
          <w:szCs w:val="32"/>
          <w:highlight w:val="none"/>
          <w:lang w:eastAsia="zh-CN"/>
        </w:rPr>
        <w:t>逐步提升理工弄医类专业占比，以“撤、停、合、优、设”为主要路径，推动学科专业优化设置，</w:t>
      </w:r>
      <w:r>
        <w:rPr>
          <w:rFonts w:ascii="Times New Roman" w:hAnsi="Times New Roman" w:eastAsia="仿宋_GB2312"/>
          <w:color w:val="000000"/>
          <w:sz w:val="32"/>
          <w:szCs w:val="32"/>
          <w:highlight w:val="none"/>
        </w:rPr>
        <w:t>前瞻布局一批急需、紧缺、空白学科专业</w:t>
      </w:r>
      <w:r>
        <w:rPr>
          <w:rFonts w:hint="eastAsia" w:ascii="Times New Roman" w:hAnsi="Times New Roman" w:eastAsia="仿宋_GB2312"/>
          <w:color w:val="000000"/>
          <w:sz w:val="32"/>
          <w:szCs w:val="32"/>
          <w:highlight w:val="none"/>
        </w:rPr>
        <w:t>，撤销不适应社会需求或办学水平低下的专业。</w:t>
      </w:r>
      <w:r>
        <w:rPr>
          <w:rFonts w:hint="eastAsia" w:ascii="Times New Roman" w:hAnsi="Times New Roman" w:eastAsia="仿宋_GB2312"/>
          <w:b/>
          <w:bCs/>
          <w:color w:val="000000"/>
          <w:sz w:val="32"/>
          <w:szCs w:val="32"/>
          <w:highlight w:val="none"/>
        </w:rPr>
        <w:t>二</w:t>
      </w:r>
      <w:r>
        <w:rPr>
          <w:rFonts w:ascii="Times New Roman" w:hAnsi="Times New Roman" w:eastAsia="仿宋_GB2312"/>
          <w:b/>
          <w:bCs/>
          <w:color w:val="000000"/>
          <w:sz w:val="32"/>
          <w:szCs w:val="32"/>
          <w:highlight w:val="none"/>
        </w:rPr>
        <w:t>是集中力量扶特扶强</w:t>
      </w:r>
      <w:r>
        <w:rPr>
          <w:rFonts w:ascii="Times New Roman" w:hAnsi="Times New Roman" w:eastAsia="仿宋_GB2312"/>
          <w:color w:val="000000"/>
          <w:sz w:val="32"/>
          <w:szCs w:val="32"/>
          <w:highlight w:val="none"/>
        </w:rPr>
        <w:t>。</w:t>
      </w:r>
      <w:r>
        <w:rPr>
          <w:rFonts w:hint="eastAsia" w:ascii="Times New Roman" w:hAnsi="Times New Roman" w:eastAsia="仿宋_GB2312"/>
          <w:strike w:val="0"/>
          <w:dstrike w:val="0"/>
          <w:color w:val="000000"/>
          <w:sz w:val="32"/>
          <w:szCs w:val="32"/>
          <w:highlight w:val="none"/>
        </w:rPr>
        <w:t>落实政府对高校重点学科专业投入政策，设立高等教育发展专项资金</w:t>
      </w:r>
      <w:r>
        <w:rPr>
          <w:rFonts w:hint="eastAsia" w:ascii="Times New Roman" w:hAnsi="Times New Roman" w:eastAsia="仿宋_GB2312"/>
          <w:strike w:val="0"/>
          <w:dstrike w:val="0"/>
          <w:color w:val="000000"/>
          <w:sz w:val="32"/>
          <w:szCs w:val="32"/>
          <w:highlight w:val="none"/>
          <w:lang w:eastAsia="zh-CN"/>
        </w:rPr>
        <w:t>给予</w:t>
      </w:r>
      <w:r>
        <w:rPr>
          <w:rFonts w:hint="eastAsia" w:ascii="Times New Roman" w:hAnsi="Times New Roman" w:eastAsia="仿宋_GB2312"/>
          <w:strike w:val="0"/>
          <w:dstrike w:val="0"/>
          <w:color w:val="000000"/>
          <w:sz w:val="32"/>
          <w:szCs w:val="32"/>
          <w:highlight w:val="none"/>
        </w:rPr>
        <w:t>资金支持</w:t>
      </w:r>
      <w:r>
        <w:rPr>
          <w:rFonts w:hint="eastAsia" w:ascii="Times New Roman" w:hAnsi="Times New Roman" w:eastAsia="仿宋_GB2312"/>
          <w:strike w:val="0"/>
          <w:dstrike w:val="0"/>
          <w:color w:val="000000"/>
          <w:sz w:val="32"/>
          <w:szCs w:val="32"/>
          <w:highlight w:val="none"/>
          <w:lang w:eastAsia="zh-CN"/>
        </w:rPr>
        <w:t>，</w:t>
      </w:r>
      <w:r>
        <w:rPr>
          <w:rFonts w:ascii="Times New Roman" w:hAnsi="Times New Roman" w:eastAsia="仿宋_GB2312"/>
          <w:color w:val="000000"/>
          <w:sz w:val="32"/>
          <w:szCs w:val="32"/>
          <w:highlight w:val="none"/>
        </w:rPr>
        <w:t>引导高校</w:t>
      </w:r>
      <w:r>
        <w:rPr>
          <w:rFonts w:hint="eastAsia" w:ascii="Times New Roman" w:hAnsi="Times New Roman" w:eastAsia="仿宋_GB2312"/>
          <w:color w:val="000000"/>
          <w:sz w:val="32"/>
          <w:szCs w:val="32"/>
          <w:highlight w:val="none"/>
        </w:rPr>
        <w:t>紧贴</w:t>
      </w:r>
      <w:r>
        <w:rPr>
          <w:rFonts w:ascii="Times New Roman" w:hAnsi="Times New Roman" w:eastAsia="仿宋_GB2312"/>
          <w:color w:val="000000"/>
          <w:sz w:val="32"/>
          <w:szCs w:val="32"/>
          <w:highlight w:val="none"/>
        </w:rPr>
        <w:t>十条重点产业链，锻长板、扬优势，</w:t>
      </w:r>
      <w:r>
        <w:rPr>
          <w:rFonts w:hint="eastAsia" w:ascii="Times New Roman" w:hAnsi="Times New Roman" w:eastAsia="仿宋_GB2312"/>
          <w:color w:val="000000"/>
          <w:sz w:val="32"/>
          <w:szCs w:val="32"/>
          <w:highlight w:val="none"/>
        </w:rPr>
        <w:t>建设</w:t>
      </w:r>
      <w:r>
        <w:rPr>
          <w:rFonts w:ascii="Times New Roman" w:hAnsi="Times New Roman" w:eastAsia="仿宋_GB2312"/>
          <w:color w:val="000000"/>
          <w:sz w:val="32"/>
          <w:szCs w:val="32"/>
          <w:highlight w:val="none"/>
        </w:rPr>
        <w:t>一批重点扶持学科专业，带动高校精准发力、高质发展，保障办学规模稳步增长，有效满足区域特色产业人才需求。</w:t>
      </w:r>
      <w:r>
        <w:rPr>
          <w:rFonts w:ascii="Times New Roman" w:hAnsi="Times New Roman" w:eastAsia="仿宋_GB2312"/>
          <w:b/>
          <w:bCs/>
          <w:color w:val="000000"/>
          <w:sz w:val="32"/>
          <w:szCs w:val="32"/>
          <w:highlight w:val="none"/>
        </w:rPr>
        <w:t>三是攀峰揽胜冲击国奖</w:t>
      </w:r>
      <w:r>
        <w:rPr>
          <w:rFonts w:ascii="Times New Roman" w:hAnsi="Times New Roman" w:eastAsia="仿宋_GB2312"/>
          <w:color w:val="000000"/>
          <w:sz w:val="32"/>
          <w:szCs w:val="32"/>
          <w:highlight w:val="none"/>
        </w:rPr>
        <w:t>。支持高校加快培育高水平教科研项目，鼓励重点扶持学科专业谋划一批标志性成果</w:t>
      </w:r>
      <w:r>
        <w:rPr>
          <w:rFonts w:hint="eastAsia" w:ascii="Times New Roman" w:hAnsi="Times New Roman" w:eastAsia="仿宋_GB2312"/>
          <w:color w:val="000000"/>
          <w:sz w:val="32"/>
          <w:szCs w:val="32"/>
          <w:highlight w:val="none"/>
        </w:rPr>
        <w:t>。对获</w:t>
      </w:r>
      <w:r>
        <w:rPr>
          <w:rFonts w:ascii="Times New Roman" w:hAnsi="Times New Roman" w:eastAsia="仿宋_GB2312"/>
          <w:color w:val="000000"/>
          <w:sz w:val="32"/>
          <w:szCs w:val="32"/>
          <w:highlight w:val="none"/>
        </w:rPr>
        <w:t>国家科学技术进步奖</w:t>
      </w:r>
      <w:r>
        <w:rPr>
          <w:rFonts w:hint="eastAsia" w:ascii="Times New Roman" w:hAnsi="Times New Roman" w:eastAsia="仿宋_GB2312"/>
          <w:color w:val="000000"/>
          <w:sz w:val="32"/>
          <w:szCs w:val="32"/>
          <w:highlight w:val="none"/>
        </w:rPr>
        <w:t>、国家自然科学奖、国家技术发明奖的给予奖励。</w:t>
      </w:r>
    </w:p>
    <w:p w14:paraId="0CD0F14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r>
        <w:rPr>
          <w:rFonts w:ascii="Times New Roman" w:hAnsi="Times New Roman" w:eastAsia="楷体_GB2312"/>
          <w:color w:val="000000"/>
          <w:sz w:val="32"/>
          <w:szCs w:val="32"/>
          <w:highlight w:val="none"/>
        </w:rPr>
        <w:t>（四）破圈融合，扎实推动教科人一体化发展</w:t>
      </w:r>
    </w:p>
    <w:p w14:paraId="37D442EF">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eastAsia="仿宋_GB2312"/>
          <w:color w:val="000000"/>
          <w:highlight w:val="none"/>
          <w:lang w:eastAsia="zh-CN"/>
        </w:rPr>
      </w:pPr>
      <w:r>
        <w:rPr>
          <w:rFonts w:ascii="Times New Roman" w:hAnsi="Times New Roman" w:eastAsia="仿宋_GB2312"/>
          <w:b/>
          <w:bCs/>
          <w:color w:val="000000"/>
          <w:sz w:val="32"/>
          <w:szCs w:val="32"/>
          <w:highlight w:val="none"/>
        </w:rPr>
        <w:t>一是建立高能级教育合作平台</w:t>
      </w:r>
      <w:r>
        <w:rPr>
          <w:rFonts w:ascii="Times New Roman" w:hAnsi="Times New Roman" w:eastAsia="仿宋_GB2312"/>
          <w:color w:val="000000"/>
          <w:sz w:val="32"/>
          <w:szCs w:val="32"/>
          <w:highlight w:val="none"/>
        </w:rPr>
        <w:t>。依托国内一流高校，打造</w:t>
      </w:r>
      <w:r>
        <w:rPr>
          <w:rFonts w:hint="eastAsia" w:ascii="Times New Roman" w:hAnsi="Times New Roman" w:eastAsia="仿宋_GB2312"/>
          <w:color w:val="000000"/>
          <w:sz w:val="32"/>
          <w:szCs w:val="32"/>
          <w:highlight w:val="none"/>
        </w:rPr>
        <w:t>集</w:t>
      </w:r>
      <w:r>
        <w:rPr>
          <w:rFonts w:ascii="Times New Roman" w:hAnsi="Times New Roman" w:eastAsia="仿宋_GB2312"/>
          <w:color w:val="000000"/>
          <w:sz w:val="32"/>
          <w:szCs w:val="32"/>
          <w:highlight w:val="none"/>
        </w:rPr>
        <w:t>高等教育、职业教育、科技研发、科技孵化</w:t>
      </w:r>
      <w:r>
        <w:rPr>
          <w:rFonts w:hint="eastAsia" w:ascii="Times New Roman" w:hAnsi="Times New Roman" w:eastAsia="仿宋_GB2312"/>
          <w:color w:val="000000"/>
          <w:sz w:val="32"/>
          <w:szCs w:val="32"/>
          <w:highlight w:val="none"/>
        </w:rPr>
        <w:t>于</w:t>
      </w:r>
      <w:r>
        <w:rPr>
          <w:rFonts w:ascii="Times New Roman" w:hAnsi="Times New Roman" w:eastAsia="仿宋_GB2312"/>
          <w:color w:val="000000"/>
          <w:sz w:val="32"/>
          <w:szCs w:val="32"/>
          <w:highlight w:val="none"/>
        </w:rPr>
        <w:t>一体的双江湖科教园区</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引导和支持高校搭建高能级教育合作平台</w:t>
      </w:r>
      <w:r>
        <w:rPr>
          <w:rFonts w:hint="eastAsia" w:ascii="Times New Roman" w:hAnsi="Times New Roman" w:eastAsia="仿宋_GB2312"/>
          <w:color w:val="000000"/>
          <w:sz w:val="32"/>
          <w:szCs w:val="32"/>
          <w:highlight w:val="none"/>
        </w:rPr>
        <w:t>。</w:t>
      </w:r>
      <w:r>
        <w:rPr>
          <w:rFonts w:ascii="Times New Roman" w:hAnsi="Times New Roman" w:eastAsia="仿宋_GB2312"/>
          <w:b/>
          <w:bCs/>
          <w:color w:val="000000"/>
          <w:sz w:val="32"/>
          <w:szCs w:val="32"/>
          <w:highlight w:val="none"/>
        </w:rPr>
        <w:t>二是建设高水平产教融合平台</w:t>
      </w:r>
      <w:r>
        <w:rPr>
          <w:rFonts w:ascii="Times New Roman" w:hAnsi="Times New Roman" w:eastAsia="仿宋_GB2312"/>
          <w:color w:val="000000"/>
          <w:sz w:val="32"/>
          <w:szCs w:val="32"/>
          <w:highlight w:val="none"/>
        </w:rPr>
        <w:t>。以产教融合</w:t>
      </w:r>
      <w:r>
        <w:rPr>
          <w:rFonts w:ascii="宋体" w:hAnsi="宋体"/>
          <w:color w:val="000000"/>
          <w:sz w:val="32"/>
          <w:szCs w:val="32"/>
          <w:highlight w:val="none"/>
        </w:rPr>
        <w:t>“</w:t>
      </w:r>
      <w:r>
        <w:rPr>
          <w:rFonts w:ascii="Times New Roman" w:hAnsi="Times New Roman" w:eastAsia="仿宋_GB2312"/>
          <w:color w:val="000000"/>
          <w:sz w:val="32"/>
          <w:szCs w:val="32"/>
          <w:highlight w:val="none"/>
        </w:rPr>
        <w:t>五个一批</w:t>
      </w:r>
      <w:r>
        <w:rPr>
          <w:rFonts w:ascii="宋体" w:hAnsi="宋体"/>
          <w:color w:val="000000"/>
          <w:sz w:val="32"/>
          <w:szCs w:val="32"/>
          <w:highlight w:val="none"/>
        </w:rPr>
        <w:t>”</w:t>
      </w:r>
      <w:r>
        <w:rPr>
          <w:rFonts w:ascii="Times New Roman" w:hAnsi="Times New Roman" w:eastAsia="仿宋_GB2312"/>
          <w:color w:val="000000"/>
          <w:sz w:val="32"/>
          <w:szCs w:val="32"/>
          <w:highlight w:val="none"/>
        </w:rPr>
        <w:t>项目为抓手，支持</w:t>
      </w:r>
      <w:r>
        <w:rPr>
          <w:rFonts w:hint="eastAsia" w:ascii="Times New Roman" w:hAnsi="Times New Roman" w:eastAsia="仿宋_GB2312"/>
          <w:color w:val="000000"/>
          <w:sz w:val="32"/>
          <w:szCs w:val="32"/>
          <w:highlight w:val="none"/>
        </w:rPr>
        <w:t>国家级</w:t>
      </w:r>
      <w:r>
        <w:rPr>
          <w:rFonts w:ascii="宋体" w:hAnsi="宋体"/>
          <w:color w:val="000000"/>
          <w:sz w:val="32"/>
          <w:szCs w:val="32"/>
          <w:highlight w:val="none"/>
        </w:rPr>
        <w:t>“</w:t>
      </w:r>
      <w:r>
        <w:rPr>
          <w:rFonts w:ascii="Times New Roman" w:hAnsi="Times New Roman" w:eastAsia="仿宋_GB2312"/>
          <w:color w:val="000000"/>
          <w:sz w:val="32"/>
          <w:szCs w:val="32"/>
          <w:highlight w:val="none"/>
        </w:rPr>
        <w:t>义乌自由贸易区市域产教联合体</w:t>
      </w:r>
      <w:r>
        <w:rPr>
          <w:rFonts w:ascii="宋体" w:hAnsi="宋体"/>
          <w:color w:val="000000"/>
          <w:sz w:val="32"/>
          <w:szCs w:val="32"/>
          <w:highlight w:val="none"/>
        </w:rPr>
        <w:t>”</w:t>
      </w:r>
      <w:r>
        <w:rPr>
          <w:rFonts w:hint="eastAsia" w:ascii="Times New Roman" w:hAnsi="Times New Roman" w:eastAsia="仿宋_GB2312"/>
          <w:color w:val="000000"/>
          <w:sz w:val="32"/>
          <w:szCs w:val="32"/>
          <w:highlight w:val="none"/>
        </w:rPr>
        <w:t>、省级</w:t>
      </w:r>
      <w:r>
        <w:rPr>
          <w:rFonts w:ascii="宋体" w:hAnsi="宋体"/>
          <w:color w:val="000000"/>
          <w:sz w:val="32"/>
          <w:szCs w:val="32"/>
          <w:highlight w:val="none"/>
        </w:rPr>
        <w:t>“</w:t>
      </w:r>
      <w:r>
        <w:rPr>
          <w:rFonts w:ascii="Times New Roman" w:hAnsi="Times New Roman" w:eastAsia="仿宋_GB2312"/>
          <w:color w:val="000000"/>
          <w:sz w:val="32"/>
          <w:szCs w:val="32"/>
          <w:highlight w:val="none"/>
        </w:rPr>
        <w:t>金义都市区产教联合体</w:t>
      </w:r>
      <w:r>
        <w:rPr>
          <w:rFonts w:ascii="宋体" w:hAnsi="宋体"/>
          <w:color w:val="000000"/>
          <w:sz w:val="32"/>
          <w:szCs w:val="32"/>
          <w:highlight w:val="none"/>
        </w:rPr>
        <w:t>”</w:t>
      </w:r>
      <w:r>
        <w:rPr>
          <w:rFonts w:ascii="Times New Roman" w:hAnsi="Times New Roman" w:eastAsia="仿宋_GB2312"/>
          <w:color w:val="000000"/>
          <w:sz w:val="32"/>
          <w:szCs w:val="32"/>
          <w:highlight w:val="none"/>
        </w:rPr>
        <w:t>实体化运行，培育一批</w:t>
      </w:r>
      <w:r>
        <w:rPr>
          <w:rFonts w:hint="eastAsia" w:ascii="Times New Roman" w:hAnsi="Times New Roman" w:eastAsia="仿宋_GB2312"/>
          <w:color w:val="000000"/>
          <w:sz w:val="32"/>
          <w:szCs w:val="32"/>
          <w:highlight w:val="none"/>
        </w:rPr>
        <w:t>高层次创新联合体、行业产教共同体、</w:t>
      </w:r>
      <w:r>
        <w:rPr>
          <w:rFonts w:ascii="Times New Roman" w:hAnsi="Times New Roman" w:eastAsia="仿宋_GB2312"/>
          <w:color w:val="000000"/>
          <w:sz w:val="32"/>
          <w:szCs w:val="32"/>
          <w:highlight w:val="none"/>
        </w:rPr>
        <w:t>开放型区域产教融合实践中心、县域产业学院。</w:t>
      </w:r>
      <w:r>
        <w:rPr>
          <w:rFonts w:hint="eastAsia" w:ascii="Times New Roman" w:hAnsi="Times New Roman" w:eastAsia="仿宋_GB2312"/>
          <w:color w:val="000000"/>
          <w:sz w:val="32"/>
          <w:szCs w:val="32"/>
          <w:highlight w:val="none"/>
        </w:rPr>
        <w:t>实施卓越工程师培养工程，推进“一高校一产业”协同创新。支持高校立足地方历史经典产业，牵头相关产业链上下游企业共同争取省地协同项目，推进区域特色产业高质量发展。</w:t>
      </w:r>
      <w:r>
        <w:rPr>
          <w:rFonts w:ascii="Times New Roman" w:hAnsi="Times New Roman" w:eastAsia="仿宋_GB2312"/>
          <w:b/>
          <w:bCs/>
          <w:color w:val="000000"/>
          <w:sz w:val="32"/>
          <w:szCs w:val="32"/>
          <w:highlight w:val="none"/>
        </w:rPr>
        <w:t>三是建强高质量科技创新平台</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lang w:eastAsia="zh-CN"/>
        </w:rPr>
        <w:t>指导高校选准赛道，通过自主申报或联合申报方式争取国家级高能级平台突破。</w:t>
      </w:r>
      <w:r>
        <w:rPr>
          <w:rFonts w:ascii="Times New Roman" w:hAnsi="Times New Roman" w:eastAsia="仿宋_GB2312"/>
          <w:color w:val="000000"/>
          <w:sz w:val="32"/>
          <w:szCs w:val="32"/>
          <w:highlight w:val="none"/>
        </w:rPr>
        <w:t>支持浙江师范大学创建国家大学科技园。科技部门以纵向资金的形式支持重点扶持学科专业科研能力提升。</w:t>
      </w:r>
      <w:r>
        <w:rPr>
          <w:rFonts w:hint="eastAsia" w:ascii="Times New Roman" w:hAnsi="Times New Roman" w:eastAsia="仿宋_GB2312"/>
          <w:color w:val="000000"/>
          <w:sz w:val="32"/>
          <w:szCs w:val="32"/>
          <w:highlight w:val="none"/>
        </w:rPr>
        <w:t>新认定国家级、省级、市级重点实验室的分别</w:t>
      </w:r>
      <w:r>
        <w:rPr>
          <w:rFonts w:hint="eastAsia" w:ascii="Times New Roman" w:hAnsi="Times New Roman" w:eastAsia="仿宋_GB2312"/>
          <w:color w:val="000000"/>
          <w:sz w:val="32"/>
          <w:szCs w:val="32"/>
          <w:highlight w:val="none"/>
          <w:lang w:eastAsia="zh-CN"/>
        </w:rPr>
        <w:t>给予</w:t>
      </w:r>
      <w:r>
        <w:rPr>
          <w:rFonts w:hint="eastAsia" w:ascii="Times New Roman" w:hAnsi="Times New Roman" w:eastAsia="仿宋_GB2312"/>
          <w:color w:val="000000"/>
          <w:sz w:val="32"/>
          <w:szCs w:val="32"/>
          <w:highlight w:val="none"/>
        </w:rPr>
        <w:t>奖励</w:t>
      </w:r>
      <w:r>
        <w:rPr>
          <w:rFonts w:hint="eastAsia" w:ascii="Times New Roman" w:hAnsi="Times New Roman" w:eastAsia="仿宋_GB2312"/>
          <w:strike w:val="0"/>
          <w:dstrike w:val="0"/>
          <w:color w:val="000000"/>
          <w:sz w:val="32"/>
          <w:szCs w:val="32"/>
          <w:highlight w:val="none"/>
          <w:lang w:eastAsia="zh-CN"/>
        </w:rPr>
        <w:t>。</w:t>
      </w:r>
    </w:p>
    <w:p w14:paraId="2B5B6E3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楷体_GB2312"/>
          <w:color w:val="000000"/>
          <w:sz w:val="32"/>
          <w:szCs w:val="32"/>
          <w:highlight w:val="none"/>
        </w:rPr>
      </w:pPr>
      <w:r>
        <w:rPr>
          <w:rFonts w:ascii="Times New Roman" w:hAnsi="Times New Roman" w:eastAsia="楷体_GB2312"/>
          <w:color w:val="000000"/>
          <w:sz w:val="32"/>
          <w:szCs w:val="32"/>
          <w:highlight w:val="none"/>
        </w:rPr>
        <w:t>（五）内培外引，创新人才引育留用机制</w:t>
      </w:r>
    </w:p>
    <w:p w14:paraId="5E50E0C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ascii="Times New Roman" w:hAnsi="Times New Roman" w:eastAsia="仿宋_GB2312"/>
          <w:color w:val="000000"/>
          <w:sz w:val="32"/>
          <w:szCs w:val="32"/>
          <w:highlight w:val="none"/>
        </w:rPr>
      </w:pPr>
      <w:r>
        <w:rPr>
          <w:rFonts w:ascii="Times New Roman" w:hAnsi="Times New Roman" w:eastAsia="仿宋_GB2312"/>
          <w:b/>
          <w:bCs/>
          <w:color w:val="000000"/>
          <w:sz w:val="32"/>
          <w:szCs w:val="32"/>
          <w:highlight w:val="none"/>
        </w:rPr>
        <w:t>一是加强本地人才培育</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引导高职院校将招生计划的40%</w:t>
      </w:r>
      <w:r>
        <w:rPr>
          <w:rFonts w:hint="eastAsia" w:ascii="Times New Roman" w:hAnsi="Times New Roman" w:eastAsia="仿宋_GB2312"/>
          <w:color w:val="000000"/>
          <w:sz w:val="32"/>
          <w:szCs w:val="32"/>
          <w:highlight w:val="none"/>
          <w:lang w:eastAsia="zh-CN"/>
        </w:rPr>
        <w:t>面向学校开展</w:t>
      </w:r>
      <w:r>
        <w:rPr>
          <w:rFonts w:hint="eastAsia" w:ascii="Times New Roman" w:hAnsi="Times New Roman" w:eastAsia="仿宋_GB2312"/>
          <w:color w:val="000000"/>
          <w:sz w:val="32"/>
          <w:szCs w:val="32"/>
          <w:highlight w:val="none"/>
        </w:rPr>
        <w:t>长学制人才培养，吸引更多有志于服务本地发展的学生在金就学就业。</w:t>
      </w:r>
      <w:r>
        <w:rPr>
          <w:rFonts w:hint="eastAsia" w:ascii="Times New Roman" w:hAnsi="Times New Roman" w:eastAsia="仿宋_GB2312"/>
          <w:color w:val="000000"/>
          <w:sz w:val="32"/>
          <w:szCs w:val="32"/>
          <w:highlight w:val="none"/>
          <w:lang w:eastAsia="zh-CN"/>
        </w:rPr>
        <w:t>支持高校加快打造一批高水平科研、教学创新团队。</w:t>
      </w:r>
      <w:r>
        <w:rPr>
          <w:rFonts w:hint="eastAsia" w:ascii="Times New Roman" w:hAnsi="Times New Roman" w:eastAsia="仿宋_GB2312"/>
          <w:color w:val="000000"/>
          <w:sz w:val="32"/>
          <w:szCs w:val="32"/>
          <w:highlight w:val="none"/>
        </w:rPr>
        <w:t>做好现有人才政策“加法”，大力支持企事业单位提档留用本地高校毕业生</w:t>
      </w:r>
      <w:r>
        <w:rPr>
          <w:rFonts w:ascii="Times New Roman" w:hAnsi="Times New Roman" w:eastAsia="仿宋_GB2312"/>
          <w:color w:val="000000"/>
          <w:sz w:val="32"/>
          <w:szCs w:val="32"/>
          <w:highlight w:val="none"/>
        </w:rPr>
        <w:t>。</w:t>
      </w:r>
      <w:r>
        <w:rPr>
          <w:rFonts w:ascii="Times New Roman" w:hAnsi="Times New Roman" w:eastAsia="仿宋_GB2312"/>
          <w:b/>
          <w:bCs/>
          <w:color w:val="000000"/>
          <w:sz w:val="32"/>
          <w:szCs w:val="32"/>
          <w:highlight w:val="none"/>
        </w:rPr>
        <w:t>二是创新人才招引政策</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对重点扶持学科专业引进的学科带头人可设立学术院长、学术主任等岗位，并依规申请设置特设岗，不受事业单位岗位总量、最高等级、结构比例的限制。扩大高校人才引进自主权，简化人才引进流程。</w:t>
      </w:r>
      <w:r>
        <w:rPr>
          <w:rFonts w:ascii="Times New Roman" w:hAnsi="Times New Roman" w:eastAsia="仿宋_GB2312"/>
          <w:b/>
          <w:bCs/>
          <w:color w:val="000000"/>
          <w:sz w:val="32"/>
          <w:szCs w:val="32"/>
          <w:highlight w:val="none"/>
        </w:rPr>
        <w:t>三是推动人才</w:t>
      </w:r>
      <w:r>
        <w:rPr>
          <w:rFonts w:hint="eastAsia" w:ascii="宋体" w:hAnsi="宋体"/>
          <w:b/>
          <w:bCs/>
          <w:color w:val="000000"/>
          <w:sz w:val="32"/>
          <w:szCs w:val="32"/>
          <w:highlight w:val="none"/>
        </w:rPr>
        <w:t>“</w:t>
      </w:r>
      <w:r>
        <w:rPr>
          <w:rFonts w:ascii="Times New Roman" w:hAnsi="Times New Roman" w:eastAsia="仿宋_GB2312"/>
          <w:b/>
          <w:bCs/>
          <w:color w:val="000000"/>
          <w:sz w:val="32"/>
          <w:szCs w:val="32"/>
          <w:highlight w:val="none"/>
        </w:rPr>
        <w:t>双聘共享</w:t>
      </w:r>
      <w:r>
        <w:rPr>
          <w:rFonts w:ascii="宋体" w:hAnsi="宋体"/>
          <w:b/>
          <w:bCs/>
          <w:color w:val="000000"/>
          <w:sz w:val="32"/>
          <w:szCs w:val="32"/>
          <w:highlight w:val="none"/>
        </w:rPr>
        <w:t>”</w:t>
      </w:r>
      <w:r>
        <w:rPr>
          <w:rFonts w:ascii="Times New Roman" w:hAnsi="Times New Roman" w:eastAsia="仿宋_GB2312"/>
          <w:color w:val="000000"/>
          <w:sz w:val="32"/>
          <w:szCs w:val="32"/>
          <w:highlight w:val="none"/>
        </w:rPr>
        <w:t>。支持人才</w:t>
      </w:r>
      <w:r>
        <w:rPr>
          <w:rFonts w:ascii="宋体" w:hAnsi="宋体"/>
          <w:color w:val="000000"/>
          <w:sz w:val="32"/>
          <w:szCs w:val="32"/>
          <w:highlight w:val="none"/>
        </w:rPr>
        <w:t>“</w:t>
      </w:r>
      <w:r>
        <w:rPr>
          <w:rFonts w:ascii="Times New Roman" w:hAnsi="Times New Roman" w:eastAsia="仿宋_GB2312"/>
          <w:color w:val="000000"/>
          <w:sz w:val="32"/>
          <w:szCs w:val="32"/>
          <w:highlight w:val="none"/>
        </w:rPr>
        <w:t>编制在高校，科研工作在企业</w:t>
      </w:r>
      <w:r>
        <w:rPr>
          <w:rFonts w:ascii="宋体" w:hAnsi="宋体"/>
          <w:color w:val="000000"/>
          <w:sz w:val="32"/>
          <w:szCs w:val="32"/>
          <w:highlight w:val="none"/>
        </w:rPr>
        <w:t>”</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推动人才双向有序流动。</w:t>
      </w:r>
      <w:r>
        <w:rPr>
          <w:rFonts w:ascii="Times New Roman" w:hAnsi="Times New Roman" w:eastAsia="仿宋_GB2312"/>
          <w:color w:val="000000"/>
          <w:sz w:val="32"/>
          <w:szCs w:val="32"/>
          <w:highlight w:val="none"/>
        </w:rPr>
        <w:t>发挥金华</w:t>
      </w:r>
      <w:r>
        <w:rPr>
          <w:rFonts w:ascii="宋体" w:hAnsi="宋体"/>
          <w:color w:val="000000"/>
          <w:sz w:val="32"/>
          <w:szCs w:val="32"/>
          <w:highlight w:val="none"/>
        </w:rPr>
        <w:t>“</w:t>
      </w:r>
      <w:r>
        <w:rPr>
          <w:rFonts w:ascii="Times New Roman" w:hAnsi="Times New Roman" w:eastAsia="仿宋_GB2312"/>
          <w:color w:val="000000"/>
          <w:sz w:val="32"/>
          <w:szCs w:val="32"/>
          <w:highlight w:val="none"/>
        </w:rPr>
        <w:t>人才驿站</w:t>
      </w:r>
      <w:r>
        <w:rPr>
          <w:rFonts w:ascii="宋体" w:hAnsi="宋体"/>
          <w:color w:val="000000"/>
          <w:sz w:val="32"/>
          <w:szCs w:val="32"/>
          <w:highlight w:val="none"/>
        </w:rPr>
        <w:t>”</w:t>
      </w:r>
      <w:r>
        <w:rPr>
          <w:rFonts w:ascii="Times New Roman" w:hAnsi="Times New Roman" w:eastAsia="仿宋_GB2312"/>
          <w:color w:val="000000"/>
          <w:sz w:val="32"/>
          <w:szCs w:val="32"/>
          <w:highlight w:val="none"/>
        </w:rPr>
        <w:t>编制池作用，</w:t>
      </w:r>
      <w:r>
        <w:rPr>
          <w:rFonts w:hint="eastAsia" w:ascii="Times New Roman" w:hAnsi="Times New Roman" w:eastAsia="仿宋_GB2312"/>
          <w:color w:val="000000"/>
          <w:sz w:val="32"/>
          <w:szCs w:val="32"/>
          <w:highlight w:val="none"/>
        </w:rPr>
        <w:t>推进</w:t>
      </w:r>
      <w:r>
        <w:rPr>
          <w:rFonts w:ascii="Times New Roman" w:hAnsi="Times New Roman" w:eastAsia="仿宋_GB2312"/>
          <w:color w:val="000000"/>
          <w:sz w:val="32"/>
          <w:szCs w:val="32"/>
          <w:highlight w:val="none"/>
        </w:rPr>
        <w:t>高校与企业职称评定</w:t>
      </w:r>
      <w:r>
        <w:rPr>
          <w:rFonts w:hint="eastAsia" w:ascii="Times New Roman" w:hAnsi="Times New Roman" w:eastAsia="仿宋_GB2312"/>
          <w:color w:val="000000"/>
          <w:sz w:val="32"/>
          <w:szCs w:val="32"/>
          <w:highlight w:val="none"/>
        </w:rPr>
        <w:t>制度改革，支持人才兼职兼薪。</w:t>
      </w:r>
      <w:r>
        <w:rPr>
          <w:rFonts w:hint="eastAsia" w:ascii="Times New Roman" w:hAnsi="Times New Roman" w:eastAsia="仿宋_GB2312"/>
          <w:color w:val="000000"/>
          <w:sz w:val="32"/>
          <w:szCs w:val="32"/>
          <w:highlight w:val="none"/>
          <w:lang w:eastAsia="zh-CN"/>
        </w:rPr>
        <w:t>深入实施高校“人才家园”建设工程，建好“人才会客厅”“人才之家”。</w:t>
      </w:r>
      <w:r>
        <w:rPr>
          <w:rFonts w:hint="eastAsia" w:ascii="Times New Roman" w:hAnsi="Times New Roman" w:eastAsia="仿宋_GB2312"/>
          <w:color w:val="000000"/>
          <w:sz w:val="32"/>
          <w:szCs w:val="32"/>
          <w:highlight w:val="none"/>
        </w:rPr>
        <w:t>完善职称评聘标准，将高校教师社会服务能力、企业科研经历及业绩成果作为职称评审的重要内容</w:t>
      </w:r>
      <w:r>
        <w:rPr>
          <w:rFonts w:ascii="Times New Roman" w:hAnsi="Times New Roman" w:eastAsia="仿宋_GB2312"/>
          <w:color w:val="000000"/>
          <w:sz w:val="32"/>
          <w:szCs w:val="32"/>
          <w:highlight w:val="none"/>
        </w:rPr>
        <w:t>。</w:t>
      </w:r>
      <w:r>
        <w:rPr>
          <w:rFonts w:hint="eastAsia" w:ascii="Times New Roman" w:hAnsi="Times New Roman" w:eastAsia="仿宋_GB2312"/>
          <w:b/>
          <w:bCs/>
          <w:color w:val="000000"/>
          <w:sz w:val="32"/>
          <w:szCs w:val="32"/>
          <w:highlight w:val="none"/>
        </w:rPr>
        <w:t>四</w:t>
      </w:r>
      <w:r>
        <w:rPr>
          <w:rFonts w:ascii="Times New Roman" w:hAnsi="Times New Roman" w:eastAsia="仿宋_GB2312"/>
          <w:b/>
          <w:bCs/>
          <w:color w:val="000000"/>
          <w:sz w:val="32"/>
          <w:szCs w:val="32"/>
          <w:highlight w:val="none"/>
        </w:rPr>
        <w:t>是实施导师帮带制度</w:t>
      </w:r>
      <w:r>
        <w:rPr>
          <w:rFonts w:ascii="Times New Roman" w:hAnsi="Times New Roman" w:eastAsia="仿宋_GB2312"/>
          <w:color w:val="000000"/>
          <w:sz w:val="32"/>
          <w:szCs w:val="32"/>
          <w:highlight w:val="none"/>
        </w:rPr>
        <w:t>。推行重点扶持学科专业导师制，选聘一批领军人才、学科带头人、特聘专家、非遗传承人、全国技术能手等为导师，与优秀青年教师结对帮带，促进青年教师快速成长。</w:t>
      </w:r>
    </w:p>
    <w:p w14:paraId="1DF94E73">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五、保障措施</w:t>
      </w:r>
    </w:p>
    <w:p w14:paraId="00D865D7">
      <w:r>
        <w:rPr>
          <w:rFonts w:hint="eastAsia" w:ascii="Times New Roman" w:hAnsi="Times New Roman" w:eastAsia="楷体_GB2312"/>
          <w:color w:val="000000"/>
          <w:sz w:val="32"/>
          <w:szCs w:val="32"/>
          <w:highlight w:val="none"/>
        </w:rPr>
        <w:t>（一）加强组织领导。</w:t>
      </w:r>
      <w:r>
        <w:rPr>
          <w:rFonts w:hint="eastAsia" w:ascii="仿宋_GB2312" w:hAnsi="仿宋_GB2312" w:eastAsia="仿宋_GB2312" w:cs="仿宋_GB2312"/>
          <w:color w:val="000000"/>
          <w:sz w:val="32"/>
          <w:szCs w:val="32"/>
          <w:highlight w:val="none"/>
        </w:rPr>
        <w:t>在市委教育工委的领导下，强化全市高等教育统筹力度，加强顶层设计，促进不同层次、不同类型高校错位发展。</w:t>
      </w:r>
      <w:r>
        <w:rPr>
          <w:rFonts w:ascii="Times New Roman" w:hAnsi="Times New Roman" w:eastAsia="仿宋_GB2312"/>
          <w:color w:val="000000"/>
          <w:sz w:val="32"/>
          <w:szCs w:val="32"/>
          <w:highlight w:val="none"/>
        </w:rPr>
        <w:t>构建目标明确、责任清晰、协作充分的高校办学发展定期调度机制，</w:t>
      </w:r>
      <w:r>
        <w:rPr>
          <w:rFonts w:hint="eastAsia" w:ascii="Times New Roman" w:hAnsi="Times New Roman" w:eastAsia="仿宋_GB2312"/>
          <w:color w:val="000000"/>
          <w:sz w:val="32"/>
          <w:szCs w:val="32"/>
          <w:highlight w:val="none"/>
        </w:rPr>
        <w:t>每年</w:t>
      </w:r>
      <w:r>
        <w:rPr>
          <w:rFonts w:ascii="Times New Roman" w:hAnsi="Times New Roman" w:eastAsia="仿宋_GB2312"/>
          <w:color w:val="000000"/>
          <w:sz w:val="32"/>
          <w:szCs w:val="32"/>
          <w:highlight w:val="none"/>
        </w:rPr>
        <w:t>召开工作例会，探讨解决高等教育高质量发展推进过程中遇到的共性难题，互助共商、合力化解，为高教强市建设夯实高校治理基础。</w:t>
      </w:r>
      <w:r>
        <w:rPr>
          <w:rFonts w:ascii="Times New Roman" w:hAnsi="Times New Roman" w:eastAsia="仿宋_GB2312"/>
          <w:color w:val="000000"/>
          <w:sz w:val="32"/>
          <w:szCs w:val="32"/>
          <w:highlight w:val="none"/>
        </w:rPr>
        <w:br w:type="textWrapping"/>
      </w:r>
      <w:r>
        <w:rPr>
          <w:rFonts w:ascii="Times New Roman" w:hAnsi="Times New Roman" w:eastAsia="仿宋"/>
          <w:color w:val="000000"/>
          <w:sz w:val="32"/>
          <w:szCs w:val="32"/>
          <w:highlight w:val="none"/>
        </w:rPr>
        <w:t>　　</w:t>
      </w:r>
      <w:r>
        <w:rPr>
          <w:rFonts w:hint="eastAsia" w:ascii="Times New Roman" w:hAnsi="Times New Roman" w:eastAsia="楷体_GB2312"/>
          <w:color w:val="000000"/>
          <w:sz w:val="32"/>
          <w:szCs w:val="32"/>
          <w:highlight w:val="none"/>
        </w:rPr>
        <w:t>（二）落实高校主体责任。</w:t>
      </w:r>
      <w:r>
        <w:rPr>
          <w:rFonts w:hint="eastAsia" w:ascii="仿宋_GB2312" w:hAnsi="仿宋_GB2312" w:eastAsia="仿宋_GB2312" w:cs="仿宋_GB2312"/>
          <w:color w:val="000000"/>
          <w:sz w:val="32"/>
          <w:szCs w:val="32"/>
          <w:highlight w:val="none"/>
        </w:rPr>
        <w:t>以重点发展学科专业为抓手，构建以点带面推动高校分类特色推进、错位优质发展格局。落实高校书记院长双负责制，对重点扶持学科专业予以倾斜，集中力量扶特扶强。</w:t>
      </w:r>
      <w:r>
        <w:rPr>
          <w:rFonts w:hint="eastAsia" w:ascii="仿宋_GB2312" w:hAnsi="仿宋_GB2312" w:eastAsia="仿宋_GB2312" w:cs="仿宋_GB2312"/>
          <w:color w:val="000000"/>
          <w:sz w:val="32"/>
          <w:szCs w:val="32"/>
          <w:highlight w:val="none"/>
          <w:lang w:eastAsia="zh-CN"/>
        </w:rPr>
        <w:t>通过“一校一策”，强化对重点高校的支持。</w:t>
      </w:r>
      <w:r>
        <w:rPr>
          <w:rFonts w:hint="eastAsia" w:ascii="仿宋_GB2312" w:hAnsi="仿宋_GB2312" w:eastAsia="仿宋_GB2312" w:cs="仿宋_GB2312"/>
          <w:color w:val="000000"/>
          <w:sz w:val="32"/>
          <w:szCs w:val="32"/>
          <w:highlight w:val="none"/>
        </w:rPr>
        <w:t>规划下发后，各高校要出台</w:t>
      </w:r>
      <w:r>
        <w:rPr>
          <w:rFonts w:hint="eastAsia" w:ascii="仿宋_GB2312" w:hAnsi="仿宋_GB2312" w:eastAsia="仿宋_GB2312" w:cs="仿宋_GB2312"/>
          <w:color w:val="000000"/>
          <w:sz w:val="32"/>
          <w:szCs w:val="32"/>
          <w:highlight w:val="none"/>
          <w:lang w:eastAsia="zh-CN"/>
        </w:rPr>
        <w:t>相应的</w:t>
      </w:r>
      <w:r>
        <w:rPr>
          <w:rFonts w:hint="eastAsia" w:ascii="仿宋_GB2312" w:hAnsi="仿宋_GB2312" w:eastAsia="仿宋_GB2312" w:cs="仿宋_GB2312"/>
          <w:color w:val="000000"/>
          <w:sz w:val="32"/>
          <w:szCs w:val="32"/>
          <w:highlight w:val="none"/>
        </w:rPr>
        <w:t>专业发展实施方案，细化重点扶持学科专业任务书、时间表和路线图。大力支持高校与企业共建重点实验室、科创平台等。</w:t>
      </w:r>
      <w:r>
        <w:rPr>
          <w:rFonts w:hint="eastAsia" w:ascii="仿宋_GB2312" w:hAnsi="仿宋_GB2312" w:eastAsia="仿宋_GB2312" w:cs="仿宋_GB2312"/>
          <w:color w:val="000000"/>
          <w:sz w:val="32"/>
          <w:szCs w:val="32"/>
          <w:highlight w:val="none"/>
        </w:rPr>
        <w:br w:type="textWrapping"/>
      </w:r>
      <w:r>
        <w:rPr>
          <w:rFonts w:ascii="Times New Roman" w:hAnsi="Times New Roman" w:eastAsia="仿宋"/>
          <w:color w:val="000000"/>
          <w:sz w:val="32"/>
          <w:szCs w:val="32"/>
          <w:highlight w:val="none"/>
        </w:rPr>
        <w:t>　　</w:t>
      </w:r>
      <w:r>
        <w:rPr>
          <w:rFonts w:hint="eastAsia" w:ascii="Times New Roman" w:hAnsi="Times New Roman" w:eastAsia="楷体_GB2312"/>
          <w:color w:val="000000"/>
          <w:sz w:val="32"/>
          <w:szCs w:val="32"/>
          <w:highlight w:val="none"/>
        </w:rPr>
        <w:t>（三）强化监督考核。</w:t>
      </w:r>
      <w:r>
        <w:rPr>
          <w:rFonts w:hint="eastAsia" w:ascii="Times New Roman" w:hAnsi="Times New Roman" w:eastAsia="仿宋_GB2312"/>
          <w:color w:val="000000"/>
          <w:sz w:val="32"/>
          <w:szCs w:val="32"/>
          <w:highlight w:val="none"/>
        </w:rPr>
        <w:t>依托</w:t>
      </w:r>
      <w:r>
        <w:rPr>
          <w:rFonts w:ascii="Times New Roman" w:hAnsi="Times New Roman" w:eastAsia="仿宋_GB2312"/>
          <w:color w:val="000000"/>
          <w:sz w:val="32"/>
          <w:szCs w:val="32"/>
          <w:highlight w:val="none"/>
        </w:rPr>
        <w:t>部门和高校数字化平台，集成高校办学规模、学科专业、就业情况、基础设施、项目建设等信息，建立以</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学科专业+科研成果+社会贡献</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为重点的综合投入评价机制，</w:t>
      </w:r>
      <w:r>
        <w:rPr>
          <w:rFonts w:hint="eastAsia" w:ascii="Times New Roman" w:hAnsi="Times New Roman" w:eastAsia="仿宋_GB2312"/>
          <w:color w:val="000000"/>
          <w:sz w:val="32"/>
          <w:szCs w:val="32"/>
          <w:highlight w:val="none"/>
        </w:rPr>
        <w:t>强化督查考核、监测分析和总结评估，</w:t>
      </w:r>
      <w:r>
        <w:rPr>
          <w:rFonts w:ascii="Times New Roman" w:hAnsi="Times New Roman" w:eastAsia="仿宋_GB2312"/>
          <w:color w:val="000000"/>
          <w:sz w:val="32"/>
          <w:szCs w:val="32"/>
          <w:highlight w:val="none"/>
        </w:rPr>
        <w:t>加强评价结果应用。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76531"/>
    <w:rsid w:val="7697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3">
    <w:name w:val="Body Text First Indent"/>
    <w:next w:val="4"/>
    <w:unhideWhenUsed/>
    <w:qFormat/>
    <w:uiPriority w:val="99"/>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4">
    <w:name w:val="Plain Text"/>
    <w:qFormat/>
    <w:uiPriority w:val="0"/>
    <w:pPr>
      <w:widowControl w:val="0"/>
      <w:jc w:val="both"/>
    </w:pPr>
    <w:rPr>
      <w:rFonts w:ascii="宋体" w:hAnsi="Courier New" w:eastAsia="宋体" w:cs="Times New Roman"/>
      <w:kern w:val="2"/>
      <w:sz w:val="21"/>
      <w:szCs w:val="21"/>
      <w:lang w:val="en-US" w:eastAsia="zh-CN" w:bidi="ar-SA"/>
    </w:rPr>
  </w:style>
  <w:style w:type="paragraph" w:styleId="5">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2025-03-07T10:20:00Z</dcterms:created>
  <dc:creator>枯木</dc:creator>
  <cp:lastModifiedBy>枯木</cp:lastModifiedBy>
  <dcterms:modified xsi:type="dcterms:W3CDTF">2025-03-07T10:21:09Z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2217623AEAA348F1BE8B2BD3A4BF3FF8_11</vt:lpwstr>
  </property>
  <property fmtid="{D5CDD505-2E9C-101B-9397-08002B2CF9AE}" pid="4" name="KSOTemplateDocerSaveRecord">
    <vt:lpwstr>eyJoZGlkIjoiOGI1NzAzZWI3YzY0ODE3ZjdjOWY3MTYxN2IzZjFjODAiLCJ1c2VySWQiOiI2MTgyMDI0MjQifQ==</vt:lpwstr>
  </property>
</Properties>
</file>