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  <w:bookmarkStart w:id="0" w:name="_Toc494712120"/>
      <w:bookmarkStart w:id="1" w:name="_GoBack"/>
      <w:bookmarkEnd w:id="1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杭州市未来产业培育行动计划</w:t>
      </w:r>
      <w:bookmarkEnd w:id="0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（2024年-2026年）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楷体" w:hAnsi="楷体" w:eastAsia="楷体" w:cs="楷体"/>
          <w:color w:val="auto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bidi="ar"/>
        </w:rPr>
        <w:t>（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"/>
        </w:rPr>
        <w:t>征求意见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bidi="ar"/>
        </w:rPr>
        <w:t>稿）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楷体" w:hAnsi="楷体" w:eastAsia="楷体" w:cs="楷体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bidi="ar"/>
        </w:rPr>
        <w:t>为深入贯彻国家和浙江省“十四五”国民经济和社会发展规划纲要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eastAsia="zh-CN" w:bidi="ar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bidi="ar"/>
        </w:rPr>
        <w:t>部署，加快培育发展未来产业，推进产业集聚发展，构建现代化产业体系，根据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eastAsia="zh-CN" w:bidi="ar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bidi="ar"/>
        </w:rPr>
        <w:t>工业和信息化部等七部门关于推动未来产业创新发展的实施意见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eastAsia="zh-CN" w:bidi="ar"/>
        </w:rPr>
        <w:t>》《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bidi="ar"/>
        </w:rPr>
        <w:t>浙江省人民政府办公厅关于培育发展未来产业的指导意见》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eastAsia="zh-CN" w:bidi="ar"/>
        </w:rPr>
        <w:t>等文件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bidi="ar"/>
        </w:rPr>
        <w:t>，制定本行动计划。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eastAsia="zh-CN" w:bidi="ar"/>
        </w:rPr>
        <w:t>（一）指导思想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bidi="ar"/>
        </w:rPr>
        <w:t>以习近平新时代中国特色社会主义思想为指导，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深入贯彻党的二十大和二十届三中全会精神，全面落实省委十五届五次全会及市委十三届七次全会部署要求，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eastAsia="zh-CN" w:bidi="ar"/>
        </w:rPr>
        <w:t>加快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bidi="ar"/>
        </w:rPr>
        <w:t>未来产业布局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bidi="ar"/>
        </w:rPr>
        <w:t>以“需求导向、前瞻布局、创新驱动、应用牵引”为原则，重点考虑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eastAsia="zh-CN" w:bidi="ar"/>
        </w:rPr>
        <w:t>我市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bidi="ar"/>
        </w:rPr>
        <w:t>未来5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-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bidi="ar"/>
        </w:rPr>
        <w:t>10年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eastAsia="zh-CN" w:bidi="ar"/>
        </w:rPr>
        <w:t>能够快速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bidi="ar"/>
        </w:rPr>
        <w:t>成长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eastAsia="zh-CN" w:bidi="ar"/>
        </w:rPr>
        <w:t>、兼顾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10年以上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eastAsia="zh-CN" w:bidi="ar"/>
        </w:rPr>
        <w:t>远期有发展潜力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bidi="ar"/>
        </w:rPr>
        <w:t>的产业领域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eastAsia="zh-CN" w:bidi="ar"/>
        </w:rPr>
        <w:t>，围绕</w:t>
      </w:r>
      <w:r>
        <w:rPr>
          <w:rFonts w:hint="default" w:ascii="仿宋_GB2312" w:hAnsi="仿宋_GB2312" w:eastAsia="仿宋_GB2312" w:cs="仿宋_GB2312"/>
          <w:color w:val="auto"/>
          <w:kern w:val="0"/>
          <w:sz w:val="31"/>
          <w:szCs w:val="31"/>
          <w:lang w:eastAsia="zh-CN" w:bidi="ar"/>
        </w:rPr>
        <w:t>生成式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bidi="ar"/>
        </w:rPr>
        <w:t>人工智能、低空经济、人形机器人、类脑智能、合成生物等五大风口潜力产业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以及元宇宙、未来网络、量子科技、先进能源、前沿新材料等X个前沿领域，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bidi="ar"/>
        </w:rPr>
        <w:t>积极抢占产业新领域新赛道，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eastAsia="zh-CN" w:bidi="ar"/>
        </w:rPr>
        <w:t>创建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N个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bidi="ar"/>
        </w:rPr>
        <w:t>国家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eastAsia="zh-CN" w:bidi="ar"/>
        </w:rPr>
        <w:t>级、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bidi="ar"/>
        </w:rPr>
        <w:t>省级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市级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bidi="ar"/>
        </w:rPr>
        <w:t>未来产业先导区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auto"/>
          <w:lang w:val="en-US" w:eastAsia="zh-CN" w:bidi="ar"/>
        </w:rPr>
        <w:t>打造“5+X+N”未来产业培育体系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（二）发展目标。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1"/>
          <w:szCs w:val="31"/>
          <w:lang w:val="en-US" w:eastAsia="zh-CN" w:bidi="ar"/>
        </w:rPr>
        <w:t>——建成核心技术源头供给的创新高地。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lang w:val="en-US" w:eastAsia="zh-CN" w:bidi="ar"/>
        </w:rPr>
        <w:t>到2026年底，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推动形成科研院所与龙头企业双擎联动创新范式，实现基础理论研究、应用研究与产业化双向通道贯通，培育建成10个左右未来产业创新联合体，打造100家左右企业技术中心，攻关100个左右</w:t>
      </w:r>
      <w:r>
        <w:rPr>
          <w:rFonts w:hint="default" w:ascii="仿宋_GB2312" w:hAnsi="仿宋_GB2312" w:eastAsia="仿宋_GB2312" w:cs="仿宋_GB2312"/>
          <w:color w:val="auto"/>
          <w:kern w:val="0"/>
          <w:sz w:val="31"/>
          <w:szCs w:val="31"/>
          <w:lang w:eastAsia="zh-CN" w:bidi="ar"/>
        </w:rPr>
        <w:t>关键技术、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核心部件</w:t>
      </w:r>
      <w:r>
        <w:rPr>
          <w:rFonts w:hint="default" w:ascii="仿宋_GB2312" w:hAnsi="仿宋_GB2312" w:eastAsia="仿宋_GB2312" w:cs="仿宋_GB2312"/>
          <w:color w:val="auto"/>
          <w:kern w:val="0"/>
          <w:sz w:val="31"/>
          <w:szCs w:val="31"/>
          <w:lang w:eastAsia="zh-CN" w:bidi="ar"/>
        </w:rPr>
        <w:t>和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高端产品。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1"/>
          <w:szCs w:val="31"/>
          <w:lang w:val="en-US" w:eastAsia="zh-CN" w:bidi="ar"/>
        </w:rPr>
        <w:t>——做强未来产业集群的关键引擎。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lang w:val="en-US" w:eastAsia="zh-CN" w:bidi="ar"/>
        </w:rPr>
        <w:t>到2026年底，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聚焦优势产业领域，涌现一批链主企业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、专精特新企业，打造“新星”产业集群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eastAsia="zh-CN" w:bidi="ar"/>
        </w:rPr>
        <w:t>，争创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若干个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bidi="ar"/>
        </w:rPr>
        <w:t>国家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eastAsia="zh-CN" w:bidi="ar"/>
        </w:rPr>
        <w:t>级、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bidi="ar"/>
        </w:rPr>
        <w:t>省级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eastAsia="zh-CN" w:bidi="ar"/>
        </w:rPr>
        <w:t>未来产业先导区，建成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10个以上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eastAsia="zh-CN" w:bidi="ar"/>
        </w:rPr>
        <w:t>市级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bidi="ar"/>
        </w:rPr>
        <w:t>未来产业先导区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。实现未来产业战略地位和竞争力在全国显著跃升，发展10家左右生态主导型企业，培育形成1000家左右高新技术企业。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1"/>
          <w:szCs w:val="31"/>
          <w:lang w:val="en-US" w:eastAsia="zh-CN" w:bidi="ar"/>
        </w:rPr>
        <w:t>——形成多领域深度融合应用的赋能格局。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lang w:val="en-US" w:eastAsia="zh-CN" w:bidi="ar"/>
        </w:rPr>
        <w:t>到2026年底，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保持医疗、智慧交通、城市管理等优势领域场景应用全国领先，深化制造业全业务、全流程的智能化场景创新和应用推广，打造10个</w:t>
      </w:r>
      <w:r>
        <w:rPr>
          <w:rFonts w:hint="default" w:ascii="仿宋_GB2312" w:hAnsi="仿宋_GB2312" w:eastAsia="仿宋_GB2312" w:cs="仿宋_GB2312"/>
          <w:color w:val="auto"/>
          <w:kern w:val="0"/>
          <w:sz w:val="31"/>
          <w:szCs w:val="31"/>
          <w:lang w:eastAsia="zh-CN" w:bidi="ar"/>
        </w:rPr>
        <w:t>未来社会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示范样本，形成100项典型应用场景。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1"/>
          <w:szCs w:val="31"/>
          <w:lang w:bidi="ar"/>
        </w:rPr>
        <w:t>——营造要素集聚、开放活跃的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1"/>
          <w:szCs w:val="31"/>
          <w:lang w:eastAsia="zh-CN" w:bidi="ar"/>
        </w:rPr>
        <w:t>产业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1"/>
          <w:szCs w:val="31"/>
          <w:lang w:bidi="ar"/>
        </w:rPr>
        <w:t>生态。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1"/>
          <w:szCs w:val="31"/>
          <w:lang w:val="en-US" w:eastAsia="zh-CN" w:bidi="ar"/>
        </w:rPr>
        <w:t>到2026年底，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eastAsia="zh-CN" w:bidi="ar"/>
        </w:rPr>
        <w:t>未来产业培育基金体系基本完善，形成通过政府引导基金吸引社会资本投资未来产业项目模式。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落成一批未来产业领域的全国性展会活动以及创新创业赛事活动，建成未来产业合作交流平台。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重点领域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eastAsia="zh-CN" w:bidi="ar"/>
        </w:rPr>
        <w:t>发挥杭州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bidi="ar"/>
        </w:rPr>
        <w:t>数字经济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eastAsia="zh-CN" w:bidi="ar"/>
        </w:rPr>
        <w:t>产业优势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u w:val="none"/>
          <w:lang w:eastAsia="zh-CN" w:bidi="ar"/>
        </w:rPr>
        <w:t>围绕五大产业生态圈建设，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eastAsia="zh-CN" w:bidi="ar"/>
        </w:rPr>
        <w:t>优先推动</w:t>
      </w:r>
      <w:r>
        <w:rPr>
          <w:rFonts w:hint="default" w:ascii="仿宋_GB2312" w:hAnsi="仿宋_GB2312" w:eastAsia="仿宋_GB2312" w:cs="仿宋_GB2312"/>
          <w:color w:val="auto"/>
          <w:kern w:val="0"/>
          <w:sz w:val="31"/>
          <w:szCs w:val="31"/>
          <w:lang w:eastAsia="zh-CN" w:bidi="ar"/>
        </w:rPr>
        <w:t>生成式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bidi="ar"/>
        </w:rPr>
        <w:t>人工智能、低空经济、人形机器人、类脑智能、合成生物等五大风口潜力产业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eastAsia="zh-CN" w:bidi="ar"/>
        </w:rPr>
        <w:t>快速成长，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积极谋划布局前沿领域产业发展。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auto"/>
          <w:lang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auto"/>
          <w:lang w:eastAsia="zh-CN" w:bidi="ar"/>
        </w:rPr>
        <w:t>（一）五大风口潜力产业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auto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</w:rPr>
        <w:t>1.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</w:rPr>
        <w:t>生成式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  <w:lang w:eastAsia="zh-CN"/>
        </w:rPr>
        <w:t>人工智能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加快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eastAsia="zh-CN"/>
        </w:rPr>
        <w:t>夯实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大模型、</w:t>
      </w:r>
      <w:r>
        <w:rPr>
          <w:rFonts w:hint="eastAsia" w:ascii="仿宋_GB2312" w:eastAsia="仿宋_GB2312" w:cs="仿宋_GB2312"/>
          <w:color w:val="auto"/>
          <w:kern w:val="0"/>
          <w:sz w:val="31"/>
          <w:szCs w:val="31"/>
          <w:highlight w:val="none"/>
          <w:u w:val="none"/>
          <w:lang w:val="en-US" w:eastAsia="zh-CN" w:bidi="ar"/>
        </w:rPr>
        <w:t>智能算力集群、高质量数据集等核心基础，聚焦模型应用，</w:t>
      </w:r>
      <w:r>
        <w:rPr>
          <w:rFonts w:hint="default" w:ascii="仿宋_GB2312" w:hAnsi="Calibri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突破跨媒体感知、自主无人决策、群体智能构建等关键技术</w:t>
      </w:r>
      <w:r>
        <w:rPr>
          <w:rFonts w:hint="eastAsia" w:asci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2.低空经济。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eastAsia="zh-CN"/>
        </w:rPr>
        <w:t>完善低空基础设施，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固定翼/多旋翼无人机、无人直升机、电动垂直起降飞行器（eVTOL）等整机研发，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主控芯片、三电系统、机载传感器等关键零部件，飞行控制、低空反制、通信导航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管服平台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等核心系统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3.人形机器人。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/>
        </w:rPr>
        <w:t>加快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仿生感知认知、生机电融合、视觉导航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shd w:val="clear" w:color="auto" w:fill="FFFFFF"/>
          <w:lang w:eastAsia="zh-CN"/>
        </w:rPr>
        <w:t>机器脑智能控制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等技术研究与系统集成，重点发展消费级、工业级、服务级高性能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人形机器人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等产品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4.类脑智能。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/>
        </w:rPr>
        <w:t>加快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highlight w:val="none"/>
          <w:lang w:val="en-US" w:eastAsia="zh-CN" w:bidi="ar"/>
        </w:rPr>
        <w:t>脑感知认知、神经网络结构与功能等关键技术突破，推进类脑芯片、类脑计算机、脑机接口等技术产业化落地。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</w:rPr>
        <w:t>.合成生物。</w:t>
      </w:r>
      <w:r>
        <w:rPr>
          <w:rFonts w:hint="eastAsia" w:asci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加快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基因编辑、蛋白质设计、仿生及分子靶向医药、干细胞与再生医学、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</w:rPr>
        <w:t>高通量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>多组学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</w:rPr>
        <w:t>筛选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等技术研发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及产业化。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（二）X个前沿领域产业。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</w:rPr>
        <w:t>.元宇宙。</w:t>
      </w:r>
      <w:r>
        <w:rPr>
          <w:rFonts w:eastAsia="仿宋_GB2312"/>
          <w:color w:val="auto"/>
          <w:sz w:val="32"/>
          <w:szCs w:val="32"/>
        </w:rPr>
        <w:t>基于Linux内核的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增强/虚拟/混合现实（</w:t>
      </w:r>
      <w:r>
        <w:rPr>
          <w:rFonts w:eastAsia="仿宋_GB2312"/>
          <w:color w:val="auto"/>
          <w:sz w:val="32"/>
          <w:szCs w:val="32"/>
        </w:rPr>
        <w:t>AR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/</w:t>
      </w:r>
      <w:r>
        <w:rPr>
          <w:rFonts w:eastAsia="仿宋_GB2312"/>
          <w:color w:val="auto"/>
          <w:sz w:val="32"/>
          <w:szCs w:val="32"/>
        </w:rPr>
        <w:t>VR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/</w:t>
      </w:r>
      <w:r>
        <w:rPr>
          <w:rFonts w:eastAsia="仿宋_GB2312"/>
          <w:color w:val="auto"/>
          <w:sz w:val="32"/>
          <w:szCs w:val="32"/>
        </w:rPr>
        <w:t>MR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eastAsia="仿宋_GB2312"/>
          <w:color w:val="auto"/>
          <w:sz w:val="32"/>
          <w:szCs w:val="32"/>
        </w:rPr>
        <w:t>操</w:t>
      </w:r>
      <w:r>
        <w:rPr>
          <w:rFonts w:hint="eastAsia" w:eastAsia="仿宋_GB2312"/>
          <w:color w:val="auto"/>
          <w:sz w:val="32"/>
          <w:szCs w:val="32"/>
          <w:highlight w:val="none"/>
        </w:rPr>
        <w:t>作</w:t>
      </w:r>
      <w:r>
        <w:rPr>
          <w:rFonts w:eastAsia="仿宋_GB2312"/>
          <w:color w:val="auto"/>
          <w:sz w:val="32"/>
          <w:szCs w:val="32"/>
          <w:highlight w:val="none"/>
        </w:rPr>
        <w:t>系统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实时三维引擎、数字人快速构建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，加快探索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多模态交互、数字孪生、虚拟现实等关键技术研究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与布局。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</w:rPr>
        <w:t>.未来网络。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eastAsia="zh-CN"/>
        </w:rPr>
        <w:t>加快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探索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</w:rPr>
        <w:t>光电太赫兹通信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、高速全光通信、6G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前沿核心技术，重点推进算力网络、低轨卫星互联网、超宽带光通信、高速宽带无线接入等方面研究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与布局。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</w:rPr>
        <w:t>.量子科技。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eastAsia="zh-CN"/>
        </w:rPr>
        <w:t>加快探索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超导量子比特计算、量子密钥分发通信、量子精密测量、量子芯片、量子计算操作系统和云平台等领域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研究与布局。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shd w:val="clear" w:color="auto" w:fill="FFFFFF"/>
        </w:rPr>
        <w:t>.先进能源。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shd w:val="clear" w:color="auto" w:fill="FFFFFF"/>
          <w:lang w:eastAsia="zh-CN"/>
        </w:rPr>
        <w:t>加快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探索高效太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</w:rPr>
        <w:t>阳能电池、新型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>储能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</w:rPr>
        <w:t>、氢能制备及储运、低成本碳捕集利用与封存、可再生能源与核能等重点领域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研究与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</w:rPr>
        <w:t>布局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shd w:val="clear" w:color="auto" w:fill="FFFFFF"/>
        </w:rPr>
        <w:t>.前沿新材料。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加快探索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eastAsia="zh-CN"/>
        </w:rPr>
        <w:t>超材料、单/双壁纳米管、钙钛矿材料、高性能气凝胶隔热材料、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</w:rPr>
        <w:t>石墨烯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、先进3D 打印材料、特种功能高分子材料等重点领域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eastAsia="zh-CN"/>
        </w:rPr>
        <w:t>研究与布局。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主要任务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根据产业培育发展规律，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以场景为牵引，贯通研发与应用，加快产业化进程。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构建“源头创新+应用研究+产品实现+场景应用”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未来产业培育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架构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，实施“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创新策源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、企业培育、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先导集聚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场景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试点、要素保障”五大工程，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推动创新资源向未来产业集聚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（一）原始创新策源工程。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1.源头创新供给行动。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组织开展前沿导向的探索性基础研究，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发挥科研院所和企业两个创新极的作用，夯实“国家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级省级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实验室+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制造业创新中心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技术创新中心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创新策源基础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加强基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础科学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前沿技术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、应用场景之间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的交叉融合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提升从“0到1”原始创新能力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。支持之江实验室、浙江大学、西湖大学等重大创新平台和高校院所自主布局未来产业基础研究，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/>
        </w:rPr>
        <w:t>催生颠覆性的技术和产品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2.科技创新攻关行动。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聚焦“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5+X”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未来产业重点领域，以“抢占未来产业制高点”为目标，系统凝练重大攻关任务，争取纳入市级重点科研计划攻关榜单，支持产业链龙头企业联合科研院所实施关键核心技术攻关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支持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浙江省视觉智能制造业创新中心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中国（浙江）机器人及智能装备创新中心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等省级制造业创新中心加强未来产业领域关键共性技术攻关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在人形机器人、类脑智能、合成生物等细分赛道创建市级制造业创新中心，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提升技术研发、产品开发、工艺改进等公共服务水平。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color w:val="auto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创新载体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建设行动。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对已获批的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合成生物、低空经济、新材料、新型储能未来产业领域的市级概念验证中心，加强建设指导，开展成效评估。</w:t>
      </w:r>
      <w:r>
        <w:rPr>
          <w:rFonts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在未来产业先导区、</w:t>
      </w:r>
      <w:r>
        <w:rPr>
          <w:rFonts w:hint="default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小微企业园等平台园区建设综合性中试公共服务机构，提供技术挖掘、技术熟化、计量测试、成果转化、资源开放共享等服务</w:t>
      </w:r>
      <w:r>
        <w:rPr>
          <w:rFonts w:hint="default" w:ascii="仿宋_GB2312" w:hAnsi="宋体" w:eastAsia="仿宋_GB2312" w:cs="仿宋_GB2312"/>
          <w:color w:val="auto"/>
          <w:kern w:val="0"/>
          <w:sz w:val="31"/>
          <w:szCs w:val="31"/>
          <w:lang w:eastAsia="zh-CN" w:bidi="ar"/>
        </w:rPr>
        <w:t>。</w:t>
      </w:r>
      <w:r>
        <w:rPr>
          <w:rFonts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支持龙头企业、高校院</w:t>
      </w:r>
      <w:r>
        <w:rPr>
          <w:rFonts w:hint="default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所等创新主体及</w:t>
      </w:r>
      <w:r>
        <w:rPr>
          <w:rFonts w:hint="default" w:ascii="仿宋_GB2312" w:hAnsi="宋体" w:eastAsia="仿宋_GB2312" w:cs="仿宋_GB2312"/>
          <w:color w:val="auto"/>
          <w:kern w:val="0"/>
          <w:sz w:val="31"/>
          <w:szCs w:val="31"/>
          <w:lang w:eastAsia="zh-CN" w:bidi="ar"/>
        </w:rPr>
        <w:t>各类</w:t>
      </w:r>
      <w:r>
        <w:rPr>
          <w:rFonts w:hint="default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创新中心、新型研发机构、大科学装置等建设专业化中试公共服务机构，为细分行业、特殊应用场景提供环境搭建、产品试制、工艺创新、试验检测等服务</w:t>
      </w:r>
      <w:r>
        <w:rPr>
          <w:rFonts w:hint="default" w:ascii="仿宋_GB2312" w:hAnsi="宋体" w:eastAsia="仿宋_GB2312" w:cs="仿宋_GB2312"/>
          <w:color w:val="auto"/>
          <w:kern w:val="0"/>
          <w:sz w:val="31"/>
          <w:szCs w:val="31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企业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孵化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培育工程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领军企业引领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行动。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lang w:eastAsia="zh-CN"/>
        </w:rPr>
        <w:t>创新招引方式，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吸引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未来产业领域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总部、研发中心、产业创新中心等落户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。积极布局未来产业，发挥鲲鹏企业、链主企业带动作用，发挥单项冠军企业、专精特新“小巨人”企业、独角兽企业、科技“小巨人”企业、科技型领军企业等在新兴技术和市场开拓方面的作用。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lang w:val="en-US" w:eastAsia="zh-CN"/>
        </w:rPr>
        <w:t>深入实施“凤凰行动”，动态挖掘市内未来产业企业纳入上市培育对象。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lang w:val="en-US" w:eastAsia="zh-CN"/>
        </w:rPr>
        <w:t>5.“高成长性”企业引育行动。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支持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lang w:val="en-US" w:eastAsia="zh-CN"/>
        </w:rPr>
        <w:t>新势力</w:t>
      </w:r>
      <w:r>
        <w:rPr>
          <w:rFonts w:hint="default" w:ascii="Times New Roman" w:hAnsi="Times New Roman" w:eastAsia="仿宋_GB2312" w:cs="宋体"/>
          <w:color w:val="auto"/>
          <w:sz w:val="32"/>
          <w:szCs w:val="32"/>
          <w:highlight w:val="none"/>
          <w:lang w:eastAsia="zh-CN"/>
        </w:rPr>
        <w:t>企业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lang w:val="en-US" w:eastAsia="zh-CN"/>
        </w:rPr>
        <w:t>等“高成长性”企业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主动对接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未来产业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龙头企业、链主企业需求，研发专精尖配套产品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加大对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lang w:val="en-US" w:eastAsia="zh-CN"/>
        </w:rPr>
        <w:t>“高成长性”企业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在平台建设运营、技术攻关应用等方面的支持力度，精准服务企业需求，支持其加快成长为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领军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初创小微企业孵化行动。聚焦科技型中小企业，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lang w:val="en-US" w:eastAsia="zh-CN"/>
        </w:rPr>
        <w:t>将未来产业作为优先孵化培育领域，完善专业化服务，提升精准化孵育能力。鼓励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在杭高校和科研机构</w:t>
      </w:r>
      <w:r>
        <w:rPr>
          <w:rFonts w:hint="eastAsia" w:ascii="Times New Roman" w:hAnsi="Times New Roman" w:eastAsia="仿宋_GB2312" w:cs="宋体"/>
          <w:color w:val="auto"/>
          <w:sz w:val="32"/>
          <w:szCs w:val="32"/>
          <w:highlight w:val="none"/>
          <w:lang w:val="en-US" w:eastAsia="zh-CN"/>
        </w:rPr>
        <w:t>人才自主创新创业，通过创业补贴等形式给予支持。加大对中小微企业的支持力度，向符合条件的中小微企业发放服务券，降低企业创业创新和转型提升成本，激发企业创新动能。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（三）产业先导集聚工程。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7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产业先导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引领行动。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坚持全市统筹、差异布局、协同发展，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依托科教资源优势突出、产业基础雄厚的园区、特色小镇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eastAsia="zh-CN"/>
        </w:rPr>
        <w:t>布局一批市级未来产业先导区、培育一批省级未来产业先导区、积极创建国家级未来产业先导试验（示范）区，构建</w:t>
      </w:r>
      <w:r>
        <w:rPr>
          <w:rFonts w:hint="default" w:ascii="Times New Roman" w:hAnsi="Times New Roman" w:eastAsia="仿宋_GB2312"/>
          <w:color w:val="auto"/>
          <w:sz w:val="32"/>
          <w:szCs w:val="32"/>
          <w:u w:val="none"/>
          <w:lang w:eastAsia="zh-CN"/>
        </w:rPr>
        <w:t>以培育创建先导区为引领，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eastAsia="zh-CN"/>
        </w:rPr>
        <w:t>以需求为导向，以未来科技应用和产业化为目标，</w:t>
      </w:r>
      <w:r>
        <w:rPr>
          <w:rFonts w:hint="default" w:ascii="Times New Roman" w:hAnsi="Times New Roman" w:eastAsia="仿宋_GB2312"/>
          <w:color w:val="auto"/>
          <w:sz w:val="32"/>
          <w:szCs w:val="32"/>
          <w:u w:val="none"/>
          <w:lang w:eastAsia="zh-CN"/>
        </w:rPr>
        <w:t>优化未来产业创新链产业链布局，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eastAsia="zh-CN"/>
        </w:rPr>
        <w:t>创新资源持续汇聚、创新成果高效转化、产业生态迭代完善的高端产业集聚发展平台。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8.产业科技园建设行动。</w:t>
      </w:r>
      <w:r>
        <w:rPr>
          <w:rFonts w:hint="default" w:ascii="Times New Roman" w:hAnsi="Times New Roman" w:eastAsia="仿宋_GB2312"/>
          <w:color w:val="auto"/>
          <w:sz w:val="32"/>
          <w:szCs w:val="32"/>
          <w:u w:val="none"/>
          <w:lang w:eastAsia="zh-CN"/>
        </w:rPr>
        <w:t>实施空间优化布局优化工程，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完善环大学大科创平台创新生态圈建设机制，依托浙江大学国家大学科技园、西湖大学科技园等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>建设未来产业科技园，探索“学科+产业”创新模式，培育发展未来产业。发挥省级以上开发区（园区）产业支撑作用，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u w:val="none"/>
          <w:lang w:val="en-US" w:eastAsia="zh-CN"/>
        </w:rPr>
        <w:t>加强与高校院所或领军企业协同，围绕前沿技术方向建设未来产业科技园，提升专业化科技成果和孵化能力。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基础设施强基行动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。重点布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局多元技术融合的先进算力中心，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市级多云算力调度平台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，形成异构融合、算网协同、绿色低碳的算力支撑体系。以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浙江新型算力中心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建设为牵引，推进优质算力服务未来产业重点领域，提升算力利用效能水平。加快数据要素有效流动和共享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，依托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杭州市数据开放平台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，支持建设城市数据大脑。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场景开放试点工程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未来场景建构行动。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面向未来生产生活方式，打造未来技术应用和未来产业融合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实验场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未来实验室、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未来社区、未来工厂、未来医院、未来商业、未来农业等标杆示范场景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发挥杭州丰富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城市场景资源优势，构建“早期验证—融合试验—综合推广”的场景应用创新体系，以先行试验、融合应用助力技术转化和产品开发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推进新技术新产品应用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  <w:t>通过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幸会·杭州定期发布未来场景清单，开展供需对接。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11.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eastAsia="zh-CN"/>
        </w:rPr>
        <w:t>成果推广行动。针对目前已进入试点阶段、应用场景较为明确、在3-5年内有望实现规模产业化的未来产业方向，鼓励有条件的区域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eastAsia="zh-CN"/>
        </w:rPr>
        <w:t>打造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eastAsia="zh-CN"/>
        </w:rPr>
        <w:t>应用标杆示范，加快形成具有商业价值的示范产品和可复制推广的标杆解决方案。完善市场需求对接机制，在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eastAsia="zh-CN"/>
        </w:rPr>
        <w:t>国际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eastAsia="zh-CN"/>
        </w:rPr>
        <w:t>数贸会、云栖大会等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eastAsia="zh-CN"/>
        </w:rPr>
        <w:t>国际性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eastAsia="zh-CN"/>
        </w:rPr>
        <w:t>平台展示成果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eastAsia="zh-CN"/>
        </w:rPr>
        <w:t>推广</w:t>
      </w:r>
      <w:r>
        <w:rPr>
          <w:rFonts w:hint="default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eastAsia="zh-CN"/>
        </w:rPr>
        <w:t>“车路云一体化”应用试点、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24"/>
          <w:lang w:val="en-US" w:eastAsia="zh-CN" w:bidi="ar-SA"/>
        </w:rPr>
        <w:t>空间智治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eastAsia="zh-CN"/>
        </w:rPr>
        <w:t>平台等综合性和行业类融合应用场景，加快推动创新成果商业价值实现。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1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要素支撑保障工程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12.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人才队伍引培行动。强化智力要素保障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深入实施“鲲鹏行动”“启明计划”等重大人才工程，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未来产业领域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全球顶尖人才、科研团队和创新型企业招引，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构建“科学家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+企业家+投资家”组成的专家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咨询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库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宋体"/>
          <w:color w:val="auto"/>
          <w:kern w:val="2"/>
          <w:sz w:val="32"/>
          <w:szCs w:val="32"/>
          <w:highlight w:val="none"/>
          <w:lang w:eastAsia="zh-CN" w:bidi="ar-SA"/>
        </w:rPr>
        <w:t>落实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“卓越工程师教育培养计划”</w:t>
      </w:r>
      <w:r>
        <w:rPr>
          <w:rFonts w:hint="default" w:ascii="Times New Roman" w:hAnsi="Times New Roman" w:eastAsia="仿宋_GB2312" w:cs="宋体"/>
          <w:color w:val="auto"/>
          <w:kern w:val="2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培养创新能力强、适应经济社会发展需要的高质量工程技术人才</w:t>
      </w:r>
      <w:r>
        <w:rPr>
          <w:rFonts w:hint="default" w:ascii="Times New Roman" w:hAnsi="Times New Roman" w:eastAsia="仿宋_GB2312" w:cs="宋体"/>
          <w:color w:val="auto"/>
          <w:kern w:val="2"/>
          <w:sz w:val="32"/>
          <w:szCs w:val="32"/>
          <w:highlight w:val="none"/>
          <w:lang w:eastAsia="zh-CN" w:bidi="ar-SA"/>
        </w:rPr>
        <w:t>。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形</w:t>
      </w:r>
      <w:r>
        <w:rPr>
          <w:rFonts w:hint="eastAsia" w:ascii="Times New Roman" w:hAnsi="Times New Roman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成以市场化为导向的利益风险分担机制，推动人才（团队）创新研发活动产业化。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13.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专项基金赋能行动。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统筹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资金要素保障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发挥“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3+N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”杭州产业基金集群投资引导作用，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建立覆盖种子期投资、天使投资、风险投资、并购重组投资的未来产业培育基金体系，形成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“一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产业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一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基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”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金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支撑机制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，通过国有资本引导和撬动社会资本、金融资本重点投向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未来产业项目。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14.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开放合作提升行动。聚焦重大活动保障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，搭建未来产业合作交流平台。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举办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国际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性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未来产业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论坛、大会，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“创客中国”等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中小企业创新创业大赛和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颠覆性技术创新大赛，发现遴选一批颠覆性技术项目，开辟全新技术赛道。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支持设立国际合作组织，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促进全球范围内的合作与交流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保障措施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（一）强化组织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推进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建立健全市级层面未来产业推进工作机制，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全面统筹协调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未来产业培育工作，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具体负责组织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行动计划编制、先导区培育创建，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协调解决产业发展和工作推进中的重大问题，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加强部门协同，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指导各区、县（市）相关工作实施。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（二）强化政策支持。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充分发挥省、市各类专项资金引导作用，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引导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项目、资金、人才等各类资源要素向未来产业汇聚。落实研发费用加计扣除、装备首台（套）、科技创新券、创新产品推广等政策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，针对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人工智能、合成生物等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领域出台市级支持政策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，鼓励各区县结合实际出台针对未来产业细分赛道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政策。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="0" w:right="0" w:firstLine="62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1"/>
          <w:szCs w:val="31"/>
          <w:u w:val="none"/>
          <w:lang w:eastAsia="zh-CN" w:bidi="ar"/>
        </w:rPr>
        <w:t>（三）强化跟踪监测。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u w:val="none"/>
          <w:lang w:eastAsia="zh-CN" w:bidi="ar"/>
        </w:rPr>
        <w:t>跟踪全球前沿技术发展趋势和产业化动向，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动态更新未来产业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u w:val="none"/>
          <w:lang w:eastAsia="zh-CN" w:bidi="ar"/>
        </w:rPr>
        <w:t>重点培育领域，持续优化未来产业发展动能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u w:val="none"/>
          <w:lang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u w:val="none"/>
          <w:lang w:eastAsia="zh-CN" w:bidi="ar"/>
        </w:rPr>
        <w:t>梳理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未来产业细分赛道产业图谱（技术方向）、重点园区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、重点企业、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重点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项目、创新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机构、招商方向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生态要素、开放场景等工作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清单，做好未来产业动态监测、评估和调整。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强化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</w:rPr>
        <w:t>改革创新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营造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包容审慎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发展环境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，统筹监管和服务，适当放宽新兴领域产品和服务市场准入。优先在未来产业先导区开展数据等资源要素市场化配置试点，提升对场景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建设及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应用创新支持力度。加强未来产业知识产权创造、储备和保护，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优先鼓励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未来产业领域国际标准、国家标准、行业标准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0"/>
          <w:sz w:val="18"/>
          <w:szCs w:val="1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</w:rPr>
        <w:t> 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</w:rPr>
        <w:t> 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强化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氛围营造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大力营造鼓励创新、尊重人才、尊重创造的社会氛围与创新文化。深化科普教育，让更多未来科学种子孕育发芽，为未来产业持续发展筑牢基础。</w:t>
      </w:r>
    </w:p>
    <w:p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  <w:embedRegular r:id="rId1" w:fontKey="{9E8D06DA-17CD-482C-20B3-2D67E2DA25FA}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5CC2D22E-48AF-B185-20B3-2D67BF4E6D28}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  <w:embedRegular r:id="rId3" w:fontKey="{C4C0B0AF-E60E-674B-20B3-2D6782A0D87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EB3CEB2-5401-9450-20B3-2D673033F2E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left"/>
      <w:outlineLvl w:val="0"/>
    </w:pPr>
    <w:rPr>
      <w:rFonts w:ascii="Times New Roman" w:hAnsi="Times New Roman" w:cs="黑体"/>
      <w:b/>
      <w:kern w:val="44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eastAsia="宋体" w:cs="Times New Roman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8306</Words>
  <Characters>8438</Characters>
  <Lines>1</Lines>
  <Paragraphs>1</Paragraphs>
  <TotalTime>0</TotalTime>
  <ScaleCrop>false</ScaleCrop>
  <LinksUpToDate>false</LinksUpToDate>
  <CharactersWithSpaces>8442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2023-11-14T06:16:00Z</dcterms:created>
  <dc:creator>蔡荣</dc:creator>
  <cp:lastModifiedBy>iPhone</cp:lastModifiedBy>
  <cp:lastPrinted>2024-10-18T09:12:00Z</cp:lastPrinted>
  <dcterms:modified xsi:type="dcterms:W3CDTF">2024-11-08T14:43:44Z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2052-12.18.1</vt:lpwstr>
  </property>
  <property fmtid="{D5CDD505-2E9C-101B-9397-08002B2CF9AE}" pid="3" name="ICV">
    <vt:lpwstr>0138370032E1982820B32D674B75F7E9_33</vt:lpwstr>
  </property>
</Properties>
</file>