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 w:eastAsia="zh-CN" w:bidi="ar-SA"/>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 w:eastAsia="仿宋_GB2312"/>
          <w:spacing w:val="-4"/>
          <w:sz w:val="32"/>
          <w:szCs w:val="32"/>
          <w:lang w:val="en-US" w:eastAsia="zh-CN"/>
        </w:rPr>
      </w:pPr>
      <w:bookmarkStart w:id="0" w:name="_GoBack"/>
      <w:r>
        <w:rPr>
          <w:rFonts w:hint="eastAsia" w:ascii="方正小标宋简体" w:hAnsi="方正小标宋简体" w:eastAsia="方正小标宋简体" w:cs="方正小标宋简体"/>
          <w:color w:val="auto"/>
          <w:kern w:val="2"/>
          <w:sz w:val="36"/>
          <w:szCs w:val="36"/>
          <w:lang w:val="en-US" w:eastAsia="zh-CN" w:bidi="ar-SA"/>
        </w:rPr>
        <w:t>拟废止的规范性文件和一般政策性文件目录（5件）</w:t>
      </w:r>
    </w:p>
    <w:bookmarkEnd w:id="0"/>
    <w:tbl>
      <w:tblPr>
        <w:tblStyle w:val="5"/>
        <w:tblpPr w:leftFromText="180" w:rightFromText="180" w:vertAnchor="text" w:horzAnchor="page" w:tblpX="1590" w:tblpY="592"/>
        <w:tblOverlap w:val="never"/>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043"/>
        <w:gridCol w:w="238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pStyle w:val="7"/>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序号</w:t>
            </w:r>
          </w:p>
        </w:tc>
        <w:tc>
          <w:tcPr>
            <w:tcW w:w="2331" w:type="pct"/>
            <w:noWrap w:val="0"/>
            <w:vAlign w:val="center"/>
          </w:tcPr>
          <w:p>
            <w:pPr>
              <w:pStyle w:val="7"/>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文件名称</w:t>
            </w:r>
          </w:p>
        </w:tc>
        <w:tc>
          <w:tcPr>
            <w:tcW w:w="1377" w:type="pct"/>
            <w:noWrap w:val="0"/>
            <w:vAlign w:val="center"/>
          </w:tcPr>
          <w:p>
            <w:pPr>
              <w:pStyle w:val="7"/>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8"/>
                <w:szCs w:val="28"/>
                <w:vertAlign w:val="baseline"/>
                <w:lang w:val="en-US" w:eastAsia="zh-CN" w:bidi="ar-SA"/>
              </w:rPr>
              <w:t>文号</w:t>
            </w:r>
          </w:p>
        </w:tc>
        <w:tc>
          <w:tcPr>
            <w:tcW w:w="882" w:type="pct"/>
            <w:noWrap w:val="0"/>
            <w:vAlign w:val="center"/>
          </w:tcPr>
          <w:p>
            <w:pPr>
              <w:pStyle w:val="7"/>
              <w:jc w:val="center"/>
              <w:rPr>
                <w:rFonts w:hint="eastAsia" w:ascii="方正黑体_GBK" w:hAnsi="方正黑体_GBK" w:eastAsia="方正黑体_GBK" w:cs="方正黑体_GBK"/>
                <w:color w:val="000000"/>
                <w:spacing w:val="0"/>
                <w:kern w:val="2"/>
                <w:sz w:val="28"/>
                <w:szCs w:val="28"/>
                <w:vertAlign w:val="baseline"/>
                <w:lang w:val="en-US" w:eastAsia="zh-CN" w:bidi="ar-SA"/>
              </w:rPr>
            </w:pPr>
            <w:r>
              <w:rPr>
                <w:rFonts w:hint="eastAsia" w:ascii="方正黑体_GBK" w:hAnsi="方正黑体_GBK" w:eastAsia="方正黑体_GBK" w:cs="方正黑体_GBK"/>
                <w:color w:val="000000"/>
                <w:spacing w:val="0"/>
                <w:kern w:val="2"/>
                <w:sz w:val="24"/>
                <w:szCs w:val="24"/>
                <w:vertAlign w:val="baseline"/>
                <w:lang w:val="en-US" w:eastAsia="zh-CN" w:bidi="ar-SA"/>
              </w:rPr>
              <w:t>是否为行政规范性文件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嘉兴市科技金融支持科技型中小企业发展的实施办法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嘉科综〔2018〕5号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2</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嘉兴市创新类人才项目、公益性科技计划项目经费包干制试点工作方案</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嘉科综〔2022〕73号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3</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嘉兴市科技惠企政策</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嘉科综〔2022〕9号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关于深入实施创新驱动发展战略加快建设面向未来的创新活力新城的若干意见有关内容的操作办法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eastAsia="zh-CN"/>
              </w:rPr>
              <w:t>嘉科综〔2020〕41号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23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嘉兴市人民政府关于进一步推动科技创新的若干政策意见有关内容的操作办法</w:t>
            </w:r>
          </w:p>
        </w:tc>
        <w:tc>
          <w:tcPr>
            <w:tcW w:w="13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嘉科综〔2017〕87号</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2CE0CCD-D5C4-47A2-A75E-EE873050D1EB}"/>
  </w:font>
  <w:font w:name="仿宋_GB2312">
    <w:panose1 w:val="02010609030101010101"/>
    <w:charset w:val="86"/>
    <w:family w:val="modern"/>
    <w:pitch w:val="default"/>
    <w:sig w:usb0="00000001" w:usb1="080E0000" w:usb2="00000000" w:usb3="00000000" w:csb0="00040000" w:csb1="00000000"/>
    <w:embedRegular r:id="rId2" w:fontKey="{25E33262-0B82-4231-B62C-B897485EB071}"/>
  </w:font>
  <w:font w:name="仿宋">
    <w:panose1 w:val="02010609060101010101"/>
    <w:charset w:val="86"/>
    <w:family w:val="auto"/>
    <w:pitch w:val="default"/>
    <w:sig w:usb0="800002BF" w:usb1="38CF7CFA" w:usb2="00000016" w:usb3="00000000" w:csb0="00040001" w:csb1="00000000"/>
    <w:embedRegular r:id="rId3" w:fontKey="{C03EC8B8-128F-48EE-B7C6-BDE0A41F8BC2}"/>
  </w:font>
  <w:font w:name="方正小标宋简体">
    <w:panose1 w:val="02000000000000000000"/>
    <w:charset w:val="86"/>
    <w:family w:val="auto"/>
    <w:pitch w:val="default"/>
    <w:sig w:usb0="00000001" w:usb1="08000000" w:usb2="00000000" w:usb3="00000000" w:csb0="00040000" w:csb1="00000000"/>
    <w:embedRegular r:id="rId4" w:fontKey="{FD38E899-8FB9-4749-9491-9169A50A050C}"/>
  </w:font>
  <w:font w:name="方正黑体_GBK">
    <w:altName w:val="微软雅黑"/>
    <w:panose1 w:val="02000000000000000000"/>
    <w:charset w:val="86"/>
    <w:family w:val="auto"/>
    <w:pitch w:val="default"/>
    <w:sig w:usb0="00000000" w:usb1="00000000" w:usb2="00000000" w:usb3="00000000" w:csb0="00040000" w:csb1="00000000"/>
    <w:embedRegular r:id="rId5" w:fontKey="{C0481BF0-A5C3-4D7F-865D-CF2BF1A8740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MDEzMDk0YTNkNDdlZWVmNzFjYzMwZjc5MzY1NzEifQ=="/>
  </w:docVars>
  <w:rsids>
    <w:rsidRoot w:val="3D6A0BCD"/>
    <w:rsid w:val="3D6A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w:basedOn w:val="1"/>
    <w:semiHidden/>
    <w:qFormat/>
    <w:uiPriority w:val="0"/>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2024-06-11T03:19:00Z</dcterms:created>
  <dc:creator>teny</dc:creator>
  <cp:lastModifiedBy>teny</cp:lastModifiedBy>
  <dcterms:modified xsi:type="dcterms:W3CDTF">2024-06-11T03:20:07Z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0ACAB108644944B3B382C29398AC844E_11</vt:lpwstr>
  </property>
</Properties>
</file>