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6D562">
      <w:pPr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64A4F574">
      <w:pPr>
        <w:jc w:val="center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  <w:sz w:val="40"/>
          <w:szCs w:val="48"/>
        </w:rPr>
        <w:t>关于《乐清市进一步推动经济高质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0"/>
          <w:szCs w:val="48"/>
        </w:rPr>
        <w:t>量发展若干政策》的起草说明</w:t>
      </w:r>
    </w:p>
    <w:p w14:paraId="27694FB7">
      <w:pPr>
        <w:spacing w:line="560" w:lineRule="exact"/>
        <w:ind w:firstLine="640" w:firstLineChars="200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0E23DA8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为全面贯彻落实习近平总书记考察浙江重要讲话精神，认真贯彻中央、省委、市委经济工作会议决策部署，进一步提振市场信心，增强政策取向一致性，推动我市经济高质量发展，根据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bidi="ar"/>
        </w:rPr>
        <w:t>省、温州市“8+4”经济政策体系，结合我市实际，我市起草了</w:t>
      </w:r>
      <w:r>
        <w:rPr>
          <w:rFonts w:hint="eastAsia" w:ascii="仿宋_GB2312" w:hAnsi="方正小标宋简体" w:eastAsia="仿宋_GB2312" w:cs="方正小标宋简体"/>
          <w:kern w:val="0"/>
          <w:sz w:val="32"/>
          <w:szCs w:val="32"/>
        </w:rPr>
        <w:t>《</w:t>
      </w:r>
      <w:r>
        <w:rPr>
          <w:rFonts w:hint="eastAsia" w:ascii="仿宋_GB2312" w:hAnsi="Times New Roman" w:eastAsia="仿宋_GB2312"/>
          <w:sz w:val="32"/>
          <w:szCs w:val="32"/>
        </w:rPr>
        <w:t>乐清市关于进一步推动经济高质量发展若干政策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（送审稿）》</w:t>
      </w:r>
      <w:r>
        <w:rPr>
          <w:rFonts w:hint="eastAsia" w:ascii="仿宋_GB2312" w:hAnsi="Times New Roman" w:eastAsia="仿宋_GB2312"/>
          <w:sz w:val="32"/>
          <w:szCs w:val="32"/>
        </w:rPr>
        <w:t>，现将情况</w:t>
      </w:r>
      <w:r>
        <w:rPr>
          <w:rFonts w:hint="eastAsia" w:ascii="Times New Roman" w:hAnsi="Times New Roman" w:eastAsia="仿宋_GB2312"/>
          <w:sz w:val="32"/>
          <w:szCs w:val="32"/>
        </w:rPr>
        <w:t>简要汇报如下：</w:t>
      </w:r>
    </w:p>
    <w:p w14:paraId="1083259E"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起草背景和过程</w:t>
      </w:r>
    </w:p>
    <w:p w14:paraId="1246D732">
      <w:pPr>
        <w:pStyle w:val="11"/>
        <w:spacing w:line="560" w:lineRule="exact"/>
        <w:ind w:firstLine="64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月30日，省政府召开2024年度经济政策新闻发布会，全面介绍我省2024年“8+4”经济政策体系。2月4日，根据戴市长、林常务批示要求，市发改局第一时间对接温州发改委，了解省、温州“8+4”经济政策起草情况和主要内容，逐条对照省、温州市政策内容并结合我市2023年政策执行情况，研究起草我市2024年政策。2月26日，市府办牵头召开我市2024年度“8+4”政策文件起草协调会。3月4日，向有关部门开展第一轮征求意见并修改完善。3月12日，林益正常务副市长牵头召开专题研究会，要求各部门，</w:t>
      </w:r>
      <w:r>
        <w:rPr>
          <w:rFonts w:hint="eastAsia" w:ascii="Times New Roman" w:hAnsi="Times New Roman" w:eastAsia="仿宋_GB2312"/>
          <w:sz w:val="32"/>
          <w:szCs w:val="32"/>
        </w:rPr>
        <w:t>按照“各要素保障水平不低于温州总量六分之一”要求，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在全面承接上级政策的基础上，结合乐清实际，</w:t>
      </w:r>
      <w:r>
        <w:rPr>
          <w:rFonts w:hint="eastAsia" w:ascii="Times New Roman" w:hAnsi="Times New Roman" w:eastAsia="仿宋_GB2312"/>
          <w:sz w:val="32"/>
          <w:szCs w:val="32"/>
        </w:rPr>
        <w:t>加速修改政策并广泛征求意见，尽快实现政策出台，推动我市经济高质量发展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3月13日－3月21日，在市政府网站公示，公开征求意见，并向有关部门开展第二轮征求意见。其间，市发改局充分对接各有关部门，对文本进行修改完善，形成今天《乐清市关于进一步推动经济高质量发展若干政策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（送审稿）》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</w:p>
    <w:p w14:paraId="42BA66DD">
      <w:pPr>
        <w:pStyle w:val="11"/>
        <w:spacing w:line="560" w:lineRule="exact"/>
        <w:ind w:left="640" w:firstLine="0" w:firstLineChars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二、主要内容</w:t>
      </w:r>
    </w:p>
    <w:p w14:paraId="040913FD">
      <w:pPr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2024年《若干政策》整体继承2023年“8+4”经济政策体系内容，包含扩大有效投资、科技创新、“415X”先进制造业集群培育、现代服务业高质量发展、交通强市和一流强港建设、扩大内需和对外开放、乡村振兴和城乡一体化发展、保障和改善民生等8个领域共65条，剔除交叉重叠部分，预计涉及财政支持总额48.8亿元。主要内容为：</w:t>
      </w:r>
    </w:p>
    <w:p w14:paraId="6B50935F">
      <w:pPr>
        <w:pStyle w:val="2"/>
        <w:spacing w:after="0"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一是扩大有效投资政策</w:t>
      </w:r>
      <w:r>
        <w:rPr>
          <w:rFonts w:hint="eastAsia" w:ascii="仿宋_GB2312" w:eastAsia="仿宋_GB2312"/>
          <w:kern w:val="0"/>
          <w:sz w:val="32"/>
          <w:szCs w:val="32"/>
        </w:rPr>
        <w:t>，主要包括发挥重大建设项目带动支撑作用，加强财政、金融、土地、能源等要素保障，支持民间投资、推动5个领域补短板等，2024年预计安排资金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33.7</w:t>
      </w:r>
      <w:r>
        <w:rPr>
          <w:rFonts w:hint="eastAsia" w:eastAsia="仿宋_GB2312"/>
          <w:snapToGrid w:val="0"/>
          <w:kern w:val="0"/>
          <w:sz w:val="32"/>
          <w:szCs w:val="32"/>
          <w:lang w:bidi="ar"/>
        </w:rPr>
        <w:t>4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亿元</w:t>
      </w:r>
      <w:r>
        <w:rPr>
          <w:rFonts w:hint="eastAsia" w:ascii="仿宋_GB2312" w:eastAsia="仿宋_GB2312"/>
          <w:kern w:val="0"/>
          <w:sz w:val="32"/>
          <w:szCs w:val="32"/>
        </w:rPr>
        <w:t>；</w:t>
      </w:r>
    </w:p>
    <w:p w14:paraId="0D3281C6">
      <w:pPr>
        <w:pStyle w:val="2"/>
        <w:spacing w:after="0"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二是科技创新政策</w:t>
      </w:r>
      <w:r>
        <w:rPr>
          <w:rFonts w:hint="eastAsia" w:ascii="仿宋_GB2312" w:eastAsia="仿宋_GB2312"/>
          <w:kern w:val="0"/>
          <w:sz w:val="32"/>
          <w:szCs w:val="32"/>
        </w:rPr>
        <w:t>，主要包括加强财政、金融、人才等要素保障，加快推进温理工乐清校区建设、开展关键核心技术攻关、推动企业加大研发投入、提升高能级科创平台建设质效、加快科技成果转移转化、完善政府采购制度、优化资源要素配置等，2024年预计安排资金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3.54亿元</w:t>
      </w:r>
      <w:r>
        <w:rPr>
          <w:rFonts w:hint="eastAsia" w:ascii="仿宋_GB2312" w:eastAsia="仿宋_GB2312"/>
          <w:kern w:val="0"/>
          <w:sz w:val="32"/>
          <w:szCs w:val="32"/>
        </w:rPr>
        <w:t>；</w:t>
      </w:r>
    </w:p>
    <w:p w14:paraId="65A94FE3">
      <w:pPr>
        <w:pStyle w:val="2"/>
        <w:spacing w:after="0"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三是“415X”先进制造业集群培育政策</w:t>
      </w:r>
      <w:r>
        <w:rPr>
          <w:rFonts w:hint="eastAsia" w:ascii="仿宋_GB2312" w:eastAsia="仿宋_GB2312"/>
          <w:kern w:val="0"/>
          <w:sz w:val="32"/>
          <w:szCs w:val="32"/>
        </w:rPr>
        <w:t>，主要包括加强财政、金融、土地、人才等要素支持力度、落实税收优惠、强化产业基金撬动作用、支持数字经济创新提质发展、支持企业高质量发展等，2024年预计安排资金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2.</w:t>
      </w:r>
      <w:r>
        <w:rPr>
          <w:rFonts w:hint="eastAsia" w:eastAsia="仿宋_GB2312"/>
          <w:snapToGrid w:val="0"/>
          <w:kern w:val="0"/>
          <w:sz w:val="32"/>
          <w:szCs w:val="32"/>
          <w:lang w:bidi="ar"/>
        </w:rPr>
        <w:t>6</w:t>
      </w:r>
      <w:r>
        <w:rPr>
          <w:rFonts w:eastAsia="仿宋_GB2312"/>
          <w:snapToGrid w:val="0"/>
          <w:kern w:val="0"/>
          <w:sz w:val="32"/>
          <w:szCs w:val="32"/>
          <w:lang w:bidi="ar"/>
        </w:rPr>
        <w:t>7亿元</w:t>
      </w:r>
      <w:r>
        <w:rPr>
          <w:rFonts w:hint="eastAsia" w:ascii="仿宋_GB2312" w:eastAsia="仿宋_GB2312"/>
          <w:kern w:val="0"/>
          <w:sz w:val="32"/>
          <w:szCs w:val="32"/>
        </w:rPr>
        <w:t>；</w:t>
      </w:r>
    </w:p>
    <w:p w14:paraId="2B6A91D4">
      <w:pPr>
        <w:pStyle w:val="2"/>
        <w:spacing w:after="0"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四是现代服务业高质量发展政策</w:t>
      </w:r>
      <w:r>
        <w:rPr>
          <w:rFonts w:hint="eastAsia" w:ascii="仿宋_GB2312" w:eastAsia="仿宋_GB2312"/>
          <w:kern w:val="0"/>
          <w:sz w:val="32"/>
          <w:szCs w:val="32"/>
        </w:rPr>
        <w:t>，主要包括落实财政资金保障、打造服务业重点平台、培育服务业重点企业、支持信息服务业稳进提质、推进文旅融合发展、推动工业设计产业提升发展、推进文化产业高质量发展、推动体育产业高质量发展等，2024年预计安排资金0.37亿元；</w:t>
      </w:r>
    </w:p>
    <w:p w14:paraId="32694E1B">
      <w:pPr>
        <w:pStyle w:val="2"/>
        <w:spacing w:after="0"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五是交通强市和一流强港建设政策</w:t>
      </w:r>
      <w:r>
        <w:rPr>
          <w:rFonts w:hint="eastAsia" w:ascii="仿宋_GB2312" w:eastAsia="仿宋_GB2312"/>
          <w:kern w:val="0"/>
          <w:sz w:val="32"/>
          <w:szCs w:val="32"/>
        </w:rPr>
        <w:t>，主要包括增强财政要素保障、加强交通强省重大项目建设、加快一流强港建设、强化港地协同要素保障、持续落实交通物流助企纾困政策、优化交通服务保障和稳步推进交通惠民等，2024年预计安排资金8.34亿元；</w:t>
      </w:r>
    </w:p>
    <w:p w14:paraId="0CE61E5B">
      <w:pPr>
        <w:pStyle w:val="2"/>
        <w:spacing w:after="0"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六是扩大内需和对外开放政策</w:t>
      </w:r>
      <w:r>
        <w:rPr>
          <w:rFonts w:hint="eastAsia" w:ascii="仿宋_GB2312" w:eastAsia="仿宋_GB2312"/>
          <w:kern w:val="0"/>
          <w:sz w:val="32"/>
          <w:szCs w:val="32"/>
        </w:rPr>
        <w:t>，主要包括强化财政资金支持、改善传统消费、打造消费新场景、打好外贸“稳拓调”组合拳、支持外贸新业态新模式发展、大力吸引和利用高质量外资等，2024年预计安排资金0.44亿元；</w:t>
      </w:r>
    </w:p>
    <w:p w14:paraId="7327338A">
      <w:pPr>
        <w:pStyle w:val="2"/>
        <w:spacing w:after="0"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七是乡村振兴和城乡一体化发展政策</w:t>
      </w:r>
      <w:r>
        <w:rPr>
          <w:rFonts w:hint="eastAsia" w:ascii="仿宋_GB2312" w:eastAsia="仿宋_GB2312"/>
          <w:kern w:val="0"/>
          <w:sz w:val="32"/>
          <w:szCs w:val="32"/>
        </w:rPr>
        <w:t>，主要包括加强财政金融要素保障、加强耕地保护和土地综合整治、抓好粮食与重要农产品生产、加快美丽乡村建设、推进“农业双强”、推进乡村特色农业高质量发展、深化强村富民乡村集成改革、促进县城承载能力全面提升、推进特色小镇高质量发展、推进农业转移人口市民化等，</w:t>
      </w:r>
      <w:r>
        <w:rPr>
          <w:rFonts w:ascii="仿宋_GB2312" w:eastAsia="仿宋_GB2312"/>
          <w:kern w:val="0"/>
          <w:sz w:val="32"/>
          <w:szCs w:val="32"/>
        </w:rPr>
        <w:t>2024年</w:t>
      </w:r>
      <w:r>
        <w:rPr>
          <w:rFonts w:hint="eastAsia" w:ascii="仿宋_GB2312" w:eastAsia="仿宋_GB2312"/>
          <w:kern w:val="0"/>
          <w:sz w:val="32"/>
          <w:szCs w:val="32"/>
        </w:rPr>
        <w:t>预计</w:t>
      </w:r>
      <w:r>
        <w:rPr>
          <w:rFonts w:ascii="仿宋_GB2312" w:eastAsia="仿宋_GB2312"/>
          <w:kern w:val="0"/>
          <w:sz w:val="32"/>
          <w:szCs w:val="32"/>
        </w:rPr>
        <w:t>安排11.38亿元</w:t>
      </w:r>
      <w:r>
        <w:rPr>
          <w:rFonts w:hint="eastAsia" w:ascii="仿宋_GB2312" w:eastAsia="仿宋_GB2312"/>
          <w:kern w:val="0"/>
          <w:sz w:val="32"/>
          <w:szCs w:val="32"/>
        </w:rPr>
        <w:t>；</w:t>
      </w:r>
    </w:p>
    <w:p w14:paraId="41F134F6">
      <w:pPr>
        <w:pStyle w:val="2"/>
        <w:spacing w:after="0"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八是保障和改善民生政策</w:t>
      </w:r>
      <w:r>
        <w:rPr>
          <w:rFonts w:hint="eastAsia" w:ascii="仿宋_GB2312" w:eastAsia="仿宋_GB2312"/>
          <w:kern w:val="0"/>
          <w:sz w:val="32"/>
          <w:szCs w:val="32"/>
        </w:rPr>
        <w:t>，主要包括加强财政要素保障、支持推进“劳有所得”、“幼有善育”、“学有优教”、“病有良医”、“住有宜居”、“老有康养”、“弱有众扶”等</w:t>
      </w:r>
      <w:r>
        <w:rPr>
          <w:rFonts w:hint="eastAsia"/>
          <w:snapToGrid w:val="0"/>
          <w:kern w:val="0"/>
        </w:rPr>
        <w:t>，</w:t>
      </w:r>
      <w:r>
        <w:rPr>
          <w:rFonts w:ascii="仿宋_GB2312" w:eastAsia="仿宋_GB2312"/>
          <w:kern w:val="0"/>
          <w:sz w:val="32"/>
          <w:szCs w:val="32"/>
        </w:rPr>
        <w:t>2024年</w:t>
      </w:r>
      <w:r>
        <w:rPr>
          <w:rFonts w:hint="eastAsia" w:ascii="仿宋_GB2312" w:eastAsia="仿宋_GB2312"/>
          <w:kern w:val="0"/>
          <w:sz w:val="32"/>
          <w:szCs w:val="32"/>
        </w:rPr>
        <w:t>预计</w:t>
      </w:r>
      <w:r>
        <w:rPr>
          <w:rFonts w:ascii="仿宋_GB2312" w:eastAsia="仿宋_GB2312"/>
          <w:kern w:val="0"/>
          <w:sz w:val="32"/>
          <w:szCs w:val="32"/>
        </w:rPr>
        <w:t>安排资金6.84亿元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 w14:paraId="5D8996B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三、征求意见情况</w:t>
      </w:r>
    </w:p>
    <w:p w14:paraId="026799B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先后于3月4日、3月13日，向有关部门开展两轮征求意见；并于3月13日－3月21日，在市政府网站公开征求意见，待征求意见期满后，在3月底前形成送审稿报市政府常务会议审议。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D769C"/>
    <w:multiLevelType w:val="multilevel"/>
    <w:tmpl w:val="4F9D769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N2ZmNzc0ZTZjZjVmZTQ0MTUzZjk0ODdlMDIzYzMifQ=="/>
  </w:docVars>
  <w:rsids>
    <w:rsidRoot w:val="00F47875"/>
    <w:rsid w:val="001311AA"/>
    <w:rsid w:val="00165CE7"/>
    <w:rsid w:val="001D737D"/>
    <w:rsid w:val="00265081"/>
    <w:rsid w:val="002D28C5"/>
    <w:rsid w:val="00353F0C"/>
    <w:rsid w:val="00366986"/>
    <w:rsid w:val="00426CA1"/>
    <w:rsid w:val="00434D13"/>
    <w:rsid w:val="00465695"/>
    <w:rsid w:val="004B34FF"/>
    <w:rsid w:val="00511143"/>
    <w:rsid w:val="00511D66"/>
    <w:rsid w:val="00605B7D"/>
    <w:rsid w:val="00666183"/>
    <w:rsid w:val="006720D4"/>
    <w:rsid w:val="0069379C"/>
    <w:rsid w:val="00725499"/>
    <w:rsid w:val="0072682C"/>
    <w:rsid w:val="007407A2"/>
    <w:rsid w:val="0077043B"/>
    <w:rsid w:val="008220EA"/>
    <w:rsid w:val="0097184D"/>
    <w:rsid w:val="00A1514D"/>
    <w:rsid w:val="00AB13FD"/>
    <w:rsid w:val="00AB6A64"/>
    <w:rsid w:val="00AD25C5"/>
    <w:rsid w:val="00AD3911"/>
    <w:rsid w:val="00B744E6"/>
    <w:rsid w:val="00BB2550"/>
    <w:rsid w:val="00BD2995"/>
    <w:rsid w:val="00BD5459"/>
    <w:rsid w:val="00C63C1F"/>
    <w:rsid w:val="00C929A7"/>
    <w:rsid w:val="00C94C4E"/>
    <w:rsid w:val="00DB20F7"/>
    <w:rsid w:val="00F47875"/>
    <w:rsid w:val="01227474"/>
    <w:rsid w:val="0AF3628F"/>
    <w:rsid w:val="0B2D6772"/>
    <w:rsid w:val="0CC003F3"/>
    <w:rsid w:val="0CE20369"/>
    <w:rsid w:val="0E4722E0"/>
    <w:rsid w:val="162437A1"/>
    <w:rsid w:val="17B00934"/>
    <w:rsid w:val="21596899"/>
    <w:rsid w:val="23DE58D7"/>
    <w:rsid w:val="28650375"/>
    <w:rsid w:val="295D54F0"/>
    <w:rsid w:val="2D6264D4"/>
    <w:rsid w:val="2F68699C"/>
    <w:rsid w:val="3144762C"/>
    <w:rsid w:val="323A4B13"/>
    <w:rsid w:val="34D04F73"/>
    <w:rsid w:val="35162534"/>
    <w:rsid w:val="358E6A31"/>
    <w:rsid w:val="35EC52D8"/>
    <w:rsid w:val="35F24D18"/>
    <w:rsid w:val="37335AE2"/>
    <w:rsid w:val="3B3616FD"/>
    <w:rsid w:val="3CF319A3"/>
    <w:rsid w:val="3EAB0813"/>
    <w:rsid w:val="3EF376E4"/>
    <w:rsid w:val="4FF04118"/>
    <w:rsid w:val="5288688A"/>
    <w:rsid w:val="53966E44"/>
    <w:rsid w:val="5CBA21AB"/>
    <w:rsid w:val="5CFF5AD8"/>
    <w:rsid w:val="5EE4501C"/>
    <w:rsid w:val="60364D22"/>
    <w:rsid w:val="68A91E84"/>
    <w:rsid w:val="6A3F7819"/>
    <w:rsid w:val="764741E2"/>
    <w:rsid w:val="7BEB211F"/>
    <w:rsid w:val="7BEB5610"/>
    <w:rsid w:val="BEFABB58"/>
    <w:rsid w:val="CB9F7DB0"/>
    <w:rsid w:val="D9F96B6A"/>
    <w:rsid w:val="FFD7A8A7"/>
    <w:rsid w:val="FFFF9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next w:val="2"/>
    <w:qFormat/>
    <w:uiPriority w:val="0"/>
    <w:pPr>
      <w:spacing w:after="120"/>
      <w:textAlignment w:val="baseline"/>
    </w:pPr>
    <w:rPr>
      <w:rFonts w:ascii="Times New Roman" w:hAnsi="Times New Roman"/>
      <w:szCs w:val="22"/>
    </w:rPr>
  </w:style>
  <w:style w:type="paragraph" w:styleId="4">
    <w:name w:val="Normal Indent"/>
    <w:basedOn w:val="1"/>
    <w:unhideWhenUsed/>
    <w:qFormat/>
    <w:uiPriority w:val="99"/>
    <w:pPr>
      <w:ind w:firstLine="420"/>
      <w:jc w:val="left"/>
    </w:pPr>
    <w:rPr>
      <w:rFonts w:ascii="宋体" w:hAnsi="宋体" w:eastAsia="Calibri" w:cs="宋体"/>
      <w:kern w:val="0"/>
      <w:sz w:val="24"/>
      <w:szCs w:val="22"/>
      <w:lang w:eastAsia="en-US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1687</Words>
  <Characters>1786</Characters>
  <Lines>12</Lines>
  <Paragraphs>3</Paragraphs>
  <TotalTime>6</TotalTime>
  <ScaleCrop>false</ScaleCrop>
  <LinksUpToDate>false</LinksUpToDate>
  <CharactersWithSpaces>1786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2024-03-20T07:35:00Z</dcterms:created>
  <dc:creator>Administrator</dc:creator>
  <cp:lastModifiedBy>Reaction</cp:lastModifiedBy>
  <cp:lastPrinted>2023-01-17T10:03:00Z</cp:lastPrinted>
  <dcterms:modified xsi:type="dcterms:W3CDTF">2025-04-29T02:34:11Z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woTemplateTypoMode">
    <vt:lpwstr>web</vt:lpwstr>
  </property>
  <property fmtid="{D5CDD505-2E9C-101B-9397-08002B2CF9AE}" pid="4" name="woTemplate">
    <vt:r8>1</vt:r8>
  </property>
  <property fmtid="{D5CDD505-2E9C-101B-9397-08002B2CF9AE}" pid="5" name="ICV">
    <vt:lpwstr>4B3782EC4034456E900470468E72C325</vt:lpwstr>
  </property>
  <property fmtid="{D5CDD505-2E9C-101B-9397-08002B2CF9AE}" pid="6" name="KSOTemplateDocerSaveRecord">
    <vt:lpwstr>eyJoZGlkIjoiY2U2NzBjYjI1MTU2NGE3NjZjMGQ1NGYyOTMwMjhjNzUiLCJ1c2VySWQiOiIyNDA4MTkzMzgifQ==</vt:lpwstr>
  </property>
</Properties>
</file>