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2024年度行政规范性文件清理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工作的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为完善自然资源管理制度，优化营商环境，开展本轮行政规范性文件清理工作。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一、清理依据及清理范围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（一）清理依据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1.《浙江省人民政府行政规范性文件管理规定》（第372号令）；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2.《浙江省行政合法性审查工作规定》（第393号令）；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3.《自然资源规范性文件管理规定》（第2号令）。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（二）清理范围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2023年12月31日以前制定，现行有效的159份厅发行政规范性文件。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二、清理重点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（一）与新《矿产资源法》不符的；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）与《浙江省国土空间规划条例》内容不一致的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与优化营商环境规定不符的；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（四）与其他法律、法规、规章、上位政策规定不符的。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三、清理结果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经研究，拟保留128件，拟废止14件，拟修改5件，拟到期自动失效1件，拟不再作为行政规范性文件管理11件。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XBSJW--GB1-0">
    <w:altName w:val="华康标题宋W9(P)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255BB"/>
    <w:rsid w:val="117A7996"/>
    <w:rsid w:val="1BE239AF"/>
    <w:rsid w:val="22040713"/>
    <w:rsid w:val="22064924"/>
    <w:rsid w:val="3F3F45C1"/>
    <w:rsid w:val="4C146D8B"/>
    <w:rsid w:val="4FE865EF"/>
    <w:rsid w:val="58BC35A8"/>
    <w:rsid w:val="5A980908"/>
    <w:rsid w:val="77C17664"/>
    <w:rsid w:val="789114DE"/>
    <w:rsid w:val="7CC06871"/>
    <w:rsid w:val="89FD1086"/>
    <w:rsid w:val="F6AF1C76"/>
    <w:rsid w:val="FC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kern w:val="2"/>
      <w:szCs w:val="22"/>
    </w:rPr>
  </w:style>
  <w:style w:type="paragraph" w:styleId="3">
    <w:name w:val="toc 8"/>
    <w:next w:val="1"/>
    <w:qFormat/>
    <w:uiPriority w:val="0"/>
    <w:pPr>
      <w:widowControl w:val="0"/>
      <w:suppressAutoHyphens/>
      <w:wordWrap w:val="0"/>
      <w:bidi w:val="0"/>
      <w:ind w:left="12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paragraph" w:customStyle="1" w:styleId="7">
    <w:name w:val="Char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style01"/>
    <w:qFormat/>
    <w:uiPriority w:val="0"/>
    <w:rPr>
      <w:rFonts w:ascii="FZXBSJW--GB1-0" w:hAnsi="FZXBSJW--GB1-0" w:eastAsia="FZXBSJW--GB1-0" w:cs="FZXBSJW--GB1-0"/>
      <w:color w:val="000000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2023-05-06T17:15:00Z</dcterms:created>
  <dc:creator>戴明</dc:creator>
  <cp:lastModifiedBy>D</cp:lastModifiedBy>
  <dcterms:modified xsi:type="dcterms:W3CDTF">2024-11-22T16:23:40Z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09FC85095007F846E13D406790638316</vt:lpwstr>
  </property>
</Properties>
</file>