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B802E">
      <w:pPr>
        <w:autoSpaceDE w:val="0"/>
        <w:autoSpaceDN w:val="0"/>
        <w:adjustRightInd w:val="0"/>
        <w:spacing w:line="64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兰溪市全域土地综合整治与生态修复工程</w:t>
      </w:r>
    </w:p>
    <w:p w14:paraId="20887D4A">
      <w:pPr>
        <w:autoSpaceDE w:val="0"/>
        <w:autoSpaceDN w:val="0"/>
        <w:adjustRightInd w:val="0"/>
        <w:spacing w:line="640" w:lineRule="exact"/>
        <w:jc w:val="center"/>
        <w:rPr>
          <w:rFonts w:hint="eastAsia" w:ascii="方正小标宋简体" w:hAnsi="方正小标宋简体" w:eastAsia="方正小标宋简体" w:cs="方正小标宋简体"/>
          <w:bCs/>
          <w:color w:val="000000"/>
          <w:kern w:val="0"/>
          <w:sz w:val="44"/>
          <w:szCs w:val="44"/>
          <w:lang w:bidi="ar"/>
        </w:rPr>
      </w:pPr>
      <w:r>
        <w:rPr>
          <w:rFonts w:hint="eastAsia" w:ascii="方正小标宋简体" w:hAnsi="方正小标宋简体" w:eastAsia="方正小标宋简体" w:cs="方正小标宋简体"/>
          <w:b/>
          <w:bCs/>
          <w:sz w:val="44"/>
          <w:szCs w:val="44"/>
        </w:rPr>
        <w:t>实施方案</w:t>
      </w:r>
      <w:r>
        <w:rPr>
          <w:rFonts w:hint="eastAsia" w:ascii="方正小标宋简体" w:hAnsi="方正小标宋简体" w:eastAsia="方正小标宋简体" w:cs="方正小标宋简体"/>
          <w:bCs/>
          <w:color w:val="000000"/>
          <w:kern w:val="0"/>
          <w:sz w:val="44"/>
          <w:szCs w:val="44"/>
          <w:lang w:bidi="ar"/>
        </w:rPr>
        <w:t>（试行）</w:t>
      </w:r>
    </w:p>
    <w:p w14:paraId="707830E2">
      <w:pPr>
        <w:autoSpaceDE w:val="0"/>
        <w:autoSpaceDN w:val="0"/>
        <w:adjustRightInd w:val="0"/>
        <w:spacing w:line="640" w:lineRule="exact"/>
        <w:ind w:firstLine="640" w:firstLineChars="200"/>
        <w:jc w:val="center"/>
        <w:rPr>
          <w:rFonts w:ascii="Times New Roman" w:hAnsi="Times New Roman" w:eastAsia="仿宋"/>
          <w:color w:val="000000"/>
          <w:kern w:val="0"/>
          <w:sz w:val="32"/>
          <w:szCs w:val="32"/>
        </w:rPr>
      </w:pPr>
    </w:p>
    <w:p w14:paraId="16AED18A">
      <w:pPr>
        <w:autoSpaceDE w:val="0"/>
        <w:autoSpaceDN w:val="0"/>
        <w:adjustRightInd w:val="0"/>
        <w:spacing w:line="56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bidi="ar"/>
        </w:rPr>
        <w:t>为进一步优化空间格局、整合资源要素、统筹区域发展，加快推进我市全域土地综合整治工作，更好地为我市经济社会发展提供土地要素保障，根据《中共中央关于加强耕地保护和改进占补平衡的意见》</w:t>
      </w:r>
      <w:r>
        <w:rPr>
          <w:rFonts w:hint="eastAsia" w:ascii="仿宋_GB2312" w:hAnsi="宋体" w:eastAsia="仿宋_GB2312"/>
          <w:color w:val="auto"/>
          <w:sz w:val="32"/>
          <w:szCs w:val="32"/>
          <w:highlight w:val="none"/>
        </w:rPr>
        <w:t>（中发</w:t>
      </w:r>
      <w:r>
        <w:rPr>
          <w:rFonts w:hint="eastAsia" w:ascii="仿宋_GB2312" w:hAnsi="仿宋_GB2312" w:eastAsia="仿宋_GB2312" w:cs="仿宋_GB2312"/>
          <w:color w:val="auto"/>
          <w:sz w:val="32"/>
          <w:szCs w:val="32"/>
          <w:highlight w:val="none"/>
        </w:rPr>
        <w:t>〔2017〕</w:t>
      </w:r>
      <w:r>
        <w:rPr>
          <w:rFonts w:hint="eastAsia" w:ascii="仿宋_GB2312" w:hAnsi="宋体" w:eastAsia="仿宋_GB2312"/>
          <w:color w:val="auto"/>
          <w:sz w:val="32"/>
          <w:szCs w:val="32"/>
          <w:highlight w:val="none"/>
        </w:rPr>
        <w:t>4号）、</w:t>
      </w:r>
      <w:r>
        <w:rPr>
          <w:rFonts w:hint="eastAsia" w:ascii="Times New Roman" w:hAnsi="Times New Roman" w:eastAsia="仿宋_GB2312" w:cs="仿宋_GB2312"/>
          <w:color w:val="auto"/>
          <w:kern w:val="0"/>
          <w:sz w:val="32"/>
          <w:szCs w:val="32"/>
          <w:highlight w:val="none"/>
          <w:lang w:bidi="ar"/>
        </w:rPr>
        <w:t>《浙江省土地整治条例》、《中共浙江省委浙江省人民政府关于加强耕地保护和改进占补平衡的实施意见》</w:t>
      </w:r>
      <w:r>
        <w:rPr>
          <w:rFonts w:hint="eastAsia" w:ascii="仿宋_GB2312" w:hAnsi="宋体" w:eastAsia="仿宋_GB2312"/>
          <w:color w:val="auto"/>
          <w:sz w:val="32"/>
          <w:szCs w:val="32"/>
          <w:highlight w:val="none"/>
        </w:rPr>
        <w:t>（浙委发</w:t>
      </w:r>
      <w:r>
        <w:rPr>
          <w:rFonts w:hint="eastAsia" w:ascii="仿宋_GB2312" w:hAnsi="仿宋_GB2312" w:eastAsia="仿宋_GB2312" w:cs="仿宋_GB2312"/>
          <w:color w:val="auto"/>
          <w:sz w:val="32"/>
          <w:szCs w:val="32"/>
          <w:highlight w:val="none"/>
        </w:rPr>
        <w:t>〔2018〕10</w:t>
      </w:r>
      <w:r>
        <w:rPr>
          <w:rFonts w:hint="eastAsia" w:ascii="仿宋_GB2312" w:hAnsi="宋体" w:eastAsia="仿宋_GB2312"/>
          <w:color w:val="auto"/>
          <w:sz w:val="32"/>
          <w:szCs w:val="32"/>
          <w:highlight w:val="none"/>
        </w:rPr>
        <w:t>号）、</w:t>
      </w:r>
      <w:r>
        <w:rPr>
          <w:rFonts w:hint="eastAsia" w:ascii="Times New Roman" w:hAnsi="Times New Roman" w:eastAsia="仿宋_GB2312" w:cs="仿宋_GB2312"/>
          <w:color w:val="auto"/>
          <w:kern w:val="0"/>
          <w:sz w:val="32"/>
          <w:szCs w:val="32"/>
          <w:highlight w:val="none"/>
          <w:lang w:bidi="ar"/>
        </w:rPr>
        <w:t>《 浙江省人民政府关于实施全域土地综合整治与生态修复工程的意见》</w:t>
      </w:r>
      <w:r>
        <w:rPr>
          <w:rFonts w:hint="eastAsia" w:ascii="仿宋_GB2312" w:hAnsi="宋体" w:eastAsia="仿宋_GB2312"/>
          <w:color w:val="auto"/>
          <w:sz w:val="32"/>
          <w:szCs w:val="32"/>
          <w:highlight w:val="none"/>
        </w:rPr>
        <w:t>（浙政办发</w:t>
      </w:r>
      <w:r>
        <w:rPr>
          <w:rFonts w:hint="eastAsia" w:ascii="仿宋_GB2312" w:hAnsi="仿宋_GB2312" w:eastAsia="仿宋_GB2312" w:cs="仿宋_GB2312"/>
          <w:color w:val="auto"/>
          <w:sz w:val="32"/>
          <w:szCs w:val="32"/>
          <w:highlight w:val="none"/>
        </w:rPr>
        <w:t>〔2018〕80</w:t>
      </w:r>
      <w:r>
        <w:rPr>
          <w:rFonts w:hint="eastAsia" w:ascii="仿宋_GB2312" w:hAnsi="宋体" w:eastAsia="仿宋_GB2312"/>
          <w:color w:val="auto"/>
          <w:sz w:val="32"/>
          <w:szCs w:val="32"/>
          <w:highlight w:val="none"/>
        </w:rPr>
        <w:t>号）</w:t>
      </w:r>
      <w:r>
        <w:rPr>
          <w:rFonts w:hint="eastAsia" w:ascii="Times New Roman" w:hAnsi="Times New Roman" w:eastAsia="仿宋_GB2312" w:cs="仿宋_GB2312"/>
          <w:color w:val="auto"/>
          <w:kern w:val="0"/>
          <w:sz w:val="32"/>
          <w:szCs w:val="32"/>
          <w:highlight w:val="none"/>
          <w:lang w:bidi="ar"/>
        </w:rPr>
        <w:t>等文件精神，按照政府主导、简化程序、节约资金的原则，结合我市实际，特制定本方案。</w:t>
      </w:r>
    </w:p>
    <w:p w14:paraId="1D226726">
      <w:pPr>
        <w:autoSpaceDE w:val="0"/>
        <w:autoSpaceDN w:val="0"/>
        <w:adjustRightInd w:val="0"/>
        <w:spacing w:line="560" w:lineRule="exact"/>
        <w:ind w:firstLine="640" w:firstLineChars="200"/>
        <w:rPr>
          <w:rFonts w:hint="eastAsia" w:ascii="黑体" w:hAnsi="宋体" w:eastAsia="黑体" w:cs="黑体"/>
          <w:bCs/>
          <w:color w:val="auto"/>
          <w:kern w:val="0"/>
          <w:sz w:val="32"/>
          <w:szCs w:val="32"/>
          <w:highlight w:val="none"/>
        </w:rPr>
      </w:pPr>
      <w:r>
        <w:rPr>
          <w:rFonts w:hint="eastAsia" w:ascii="黑体" w:hAnsi="宋体" w:eastAsia="黑体" w:cs="黑体"/>
          <w:bCs/>
          <w:color w:val="auto"/>
          <w:kern w:val="0"/>
          <w:sz w:val="32"/>
          <w:szCs w:val="32"/>
          <w:highlight w:val="none"/>
          <w:lang w:bidi="ar"/>
        </w:rPr>
        <w:t>一、实施主体</w:t>
      </w:r>
    </w:p>
    <w:p w14:paraId="7407FDFB">
      <w:pPr>
        <w:pStyle w:val="4"/>
        <w:widowControl/>
        <w:shd w:val="clear" w:color="auto" w:fill="FFFFFF"/>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兰溪市交通建设投资集团有限公司下属兰溪市交投土地整治有限公司（以下简称土整公司）、土整公司与社会资本（包括乡镇、街道）等组建股权结构灵活的项目公司（SPV公司）为我市土地整治项目的实施主体。</w:t>
      </w:r>
    </w:p>
    <w:p w14:paraId="1C17D8A1">
      <w:pPr>
        <w:autoSpaceDE w:val="0"/>
        <w:autoSpaceDN w:val="0"/>
        <w:adjustRightInd w:val="0"/>
        <w:spacing w:line="560" w:lineRule="exact"/>
        <w:ind w:firstLine="640" w:firstLineChars="200"/>
        <w:rPr>
          <w:rFonts w:hint="eastAsia" w:ascii="黑体" w:hAnsi="宋体" w:eastAsia="黑体" w:cs="黑体"/>
          <w:bCs/>
          <w:color w:val="auto"/>
          <w:kern w:val="0"/>
          <w:sz w:val="32"/>
          <w:szCs w:val="32"/>
          <w:highlight w:val="none"/>
        </w:rPr>
      </w:pPr>
      <w:r>
        <w:rPr>
          <w:rFonts w:hint="eastAsia" w:ascii="黑体" w:hAnsi="宋体" w:eastAsia="黑体" w:cs="黑体"/>
          <w:bCs/>
          <w:color w:val="auto"/>
          <w:kern w:val="0"/>
          <w:sz w:val="32"/>
          <w:szCs w:val="32"/>
          <w:highlight w:val="none"/>
          <w:lang w:bidi="ar"/>
        </w:rPr>
        <w:t xml:space="preserve">二、工作内容和要求 </w:t>
      </w:r>
    </w:p>
    <w:p w14:paraId="225C0C65">
      <w:pPr>
        <w:autoSpaceDE w:val="0"/>
        <w:autoSpaceDN w:val="0"/>
        <w:adjustRightInd w:val="0"/>
        <w:spacing w:line="56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bidi="ar"/>
        </w:rPr>
        <w:t>土地整治项目具体包括垦造耕地、旱地改水田、建设用地复垦、耕地质量等级提升、建设占用耕地耕作层剥离再利用和</w:t>
      </w:r>
      <w:r>
        <w:rPr>
          <w:rFonts w:hint="eastAsia" w:ascii="仿宋_GB2312" w:hAnsi="仿宋_GB2312" w:eastAsia="仿宋_GB2312" w:cs="仿宋_GB2312"/>
          <w:color w:val="auto"/>
          <w:sz w:val="32"/>
          <w:szCs w:val="32"/>
          <w:highlight w:val="none"/>
        </w:rPr>
        <w:t>生态环境整治提升工程</w:t>
      </w:r>
      <w:r>
        <w:rPr>
          <w:rFonts w:hint="eastAsia" w:ascii="Times New Roman" w:hAnsi="Times New Roman" w:eastAsia="仿宋_GB2312" w:cs="仿宋_GB2312"/>
          <w:color w:val="auto"/>
          <w:kern w:val="0"/>
          <w:sz w:val="32"/>
          <w:szCs w:val="32"/>
          <w:highlight w:val="none"/>
          <w:lang w:bidi="ar"/>
        </w:rPr>
        <w:t>等内容。</w:t>
      </w:r>
    </w:p>
    <w:p w14:paraId="524EF0D0">
      <w:pPr>
        <w:autoSpaceDE w:val="0"/>
        <w:autoSpaceDN w:val="0"/>
        <w:adjustRightInd w:val="0"/>
        <w:spacing w:line="56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color w:val="auto"/>
          <w:kern w:val="0"/>
          <w:sz w:val="32"/>
          <w:szCs w:val="32"/>
          <w:highlight w:val="none"/>
          <w:lang w:bidi="ar"/>
        </w:rPr>
        <w:t>1.</w:t>
      </w:r>
      <w:r>
        <w:rPr>
          <w:rFonts w:hint="eastAsia" w:ascii="Times New Roman" w:hAnsi="Times New Roman" w:eastAsia="仿宋_GB2312" w:cs="仿宋_GB2312"/>
          <w:b/>
          <w:color w:val="auto"/>
          <w:kern w:val="0"/>
          <w:sz w:val="32"/>
          <w:szCs w:val="32"/>
          <w:highlight w:val="none"/>
          <w:lang w:bidi="ar"/>
        </w:rPr>
        <w:t>垦造耕地。</w:t>
      </w:r>
      <w:r>
        <w:rPr>
          <w:rFonts w:hint="eastAsia" w:ascii="仿宋_GB2312" w:hAnsi="Times New Roman" w:eastAsia="仿宋_GB2312" w:cs="仿宋_GB2312"/>
          <w:color w:val="auto"/>
          <w:kern w:val="0"/>
          <w:sz w:val="32"/>
          <w:szCs w:val="32"/>
          <w:highlight w:val="none"/>
          <w:lang w:bidi="ar"/>
        </w:rPr>
        <w:t>将符合土地利用总体规划和土地整治专项规划，15度坡度以下的荒山、荒坡、园地、未利用地等（按省市有关规定执行）直接垦造为旱地或水田。15-25度坡度的区域，原则上不得新立项实施补充耕地项目，根据农业生产需要和农民群众意愿确需开垦的，应经县级论证评估、省级复核认定具备稳定耕种条件后方可实施。禁止在国土调查认定的林地（不包括标注恢复属性的林地）上垦造耕地。原则上垦造后耕地实行流转，通过验收后，按垦造类型组织耕种旱粮作物或水稻。</w:t>
      </w:r>
    </w:p>
    <w:p w14:paraId="1DA4AD92">
      <w:pPr>
        <w:autoSpaceDE w:val="0"/>
        <w:autoSpaceDN w:val="0"/>
        <w:adjustRightInd w:val="0"/>
        <w:spacing w:line="56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color w:val="auto"/>
          <w:kern w:val="0"/>
          <w:sz w:val="32"/>
          <w:szCs w:val="32"/>
          <w:highlight w:val="none"/>
          <w:lang w:bidi="ar"/>
        </w:rPr>
        <w:t>2.</w:t>
      </w:r>
      <w:r>
        <w:rPr>
          <w:rFonts w:hint="eastAsia" w:ascii="Times New Roman" w:hAnsi="Times New Roman" w:eastAsia="仿宋_GB2312" w:cs="仿宋_GB2312"/>
          <w:b/>
          <w:color w:val="auto"/>
          <w:kern w:val="0"/>
          <w:sz w:val="32"/>
          <w:szCs w:val="32"/>
          <w:highlight w:val="none"/>
          <w:lang w:bidi="ar"/>
        </w:rPr>
        <w:t>旱地改水田。</w:t>
      </w:r>
      <w:r>
        <w:rPr>
          <w:rFonts w:hint="eastAsia" w:ascii="Times New Roman" w:hAnsi="Times New Roman" w:eastAsia="仿宋_GB2312" w:cs="仿宋_GB2312"/>
          <w:color w:val="auto"/>
          <w:kern w:val="0"/>
          <w:sz w:val="32"/>
          <w:szCs w:val="32"/>
          <w:highlight w:val="none"/>
          <w:lang w:bidi="ar"/>
        </w:rPr>
        <w:t>对土地利用现状为旱地的直接改造为水田。原则上垦造后水田实行流转，通过验收后需种植水稻。</w:t>
      </w:r>
    </w:p>
    <w:p w14:paraId="4FD7997D">
      <w:pPr>
        <w:autoSpaceDE w:val="0"/>
        <w:autoSpaceDN w:val="0"/>
        <w:adjustRightInd w:val="0"/>
        <w:spacing w:line="56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color w:val="auto"/>
          <w:kern w:val="0"/>
          <w:sz w:val="32"/>
          <w:szCs w:val="32"/>
          <w:highlight w:val="none"/>
          <w:lang w:bidi="ar"/>
        </w:rPr>
        <w:t>3.</w:t>
      </w:r>
      <w:r>
        <w:rPr>
          <w:rFonts w:hint="eastAsia" w:ascii="Times New Roman" w:hAnsi="Times New Roman" w:eastAsia="仿宋_GB2312" w:cs="仿宋_GB2312"/>
          <w:b/>
          <w:color w:val="auto"/>
          <w:kern w:val="0"/>
          <w:sz w:val="32"/>
          <w:szCs w:val="32"/>
          <w:highlight w:val="none"/>
          <w:lang w:bidi="ar"/>
        </w:rPr>
        <w:t>建设用地复垦。</w:t>
      </w:r>
      <w:r>
        <w:rPr>
          <w:rFonts w:hint="eastAsia" w:ascii="Times New Roman" w:hAnsi="Times New Roman" w:eastAsia="仿宋_GB2312" w:cs="仿宋_GB2312"/>
          <w:color w:val="auto"/>
          <w:kern w:val="0"/>
          <w:sz w:val="32"/>
          <w:szCs w:val="32"/>
          <w:highlight w:val="none"/>
          <w:lang w:bidi="ar"/>
        </w:rPr>
        <w:t>拟复垦地块需符合土地利用总体规划、村庄建设规划且经土壤污染状况调查可以复垦为耕地的。主要是对农村配置不当、利用不合理的分散、闲置、废弃、拆除建筑物的宅基地，或低效用地企业、废弃厂房，或关停砖瓦窑、矿山等建设用地进行整治，直接垦造为旱地或水田。结合下山脱贫、地质灾害搬迁等新农村建设工程，鼓励通过整村搬迁的方式对原旧村宅基地实行连片整治复垦，通过验收后耕种旱粮作物或水稻。</w:t>
      </w:r>
    </w:p>
    <w:p w14:paraId="4E0167EE">
      <w:pPr>
        <w:autoSpaceDE w:val="0"/>
        <w:autoSpaceDN w:val="0"/>
        <w:adjustRightInd w:val="0"/>
        <w:spacing w:line="56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color w:val="auto"/>
          <w:kern w:val="0"/>
          <w:sz w:val="32"/>
          <w:szCs w:val="32"/>
          <w:highlight w:val="none"/>
          <w:lang w:bidi="ar"/>
        </w:rPr>
        <w:t>4.</w:t>
      </w:r>
      <w:r>
        <w:rPr>
          <w:rFonts w:hint="eastAsia" w:ascii="Times New Roman" w:hAnsi="Times New Roman" w:eastAsia="仿宋_GB2312" w:cs="仿宋_GB2312"/>
          <w:b/>
          <w:color w:val="auto"/>
          <w:kern w:val="0"/>
          <w:sz w:val="32"/>
          <w:szCs w:val="32"/>
          <w:highlight w:val="none"/>
          <w:lang w:bidi="ar"/>
        </w:rPr>
        <w:t>耕地质量提升。</w:t>
      </w:r>
      <w:r>
        <w:rPr>
          <w:rFonts w:hint="eastAsia" w:ascii="Times New Roman" w:hAnsi="Times New Roman" w:eastAsia="仿宋_GB2312" w:cs="仿宋_GB2312"/>
          <w:color w:val="auto"/>
          <w:kern w:val="0"/>
          <w:sz w:val="32"/>
          <w:szCs w:val="32"/>
          <w:highlight w:val="none"/>
          <w:lang w:bidi="ar"/>
        </w:rPr>
        <w:t>对现有耕地的有机质、耕作层厚度等要素进行改造，使其提升一个或若干等级。</w:t>
      </w:r>
    </w:p>
    <w:p w14:paraId="3727519D">
      <w:pPr>
        <w:autoSpaceDE w:val="0"/>
        <w:autoSpaceDN w:val="0"/>
        <w:adjustRightInd w:val="0"/>
        <w:spacing w:line="560" w:lineRule="exact"/>
        <w:ind w:firstLine="643" w:firstLineChars="200"/>
        <w:rPr>
          <w:rFonts w:hint="eastAsia" w:ascii="Times New Roman" w:hAnsi="Times New Roman" w:eastAsia="仿宋_GB2312" w:cs="仿宋_GB2312"/>
          <w:color w:val="auto"/>
          <w:kern w:val="0"/>
          <w:sz w:val="32"/>
          <w:szCs w:val="32"/>
          <w:highlight w:val="none"/>
          <w:lang w:bidi="ar"/>
        </w:rPr>
      </w:pPr>
      <w:r>
        <w:rPr>
          <w:rFonts w:ascii="Times New Roman" w:hAnsi="Times New Roman" w:eastAsia="仿宋_GB2312"/>
          <w:b/>
          <w:color w:val="auto"/>
          <w:kern w:val="0"/>
          <w:sz w:val="32"/>
          <w:szCs w:val="32"/>
          <w:highlight w:val="none"/>
          <w:lang w:bidi="ar"/>
        </w:rPr>
        <w:t>5.</w:t>
      </w:r>
      <w:r>
        <w:rPr>
          <w:rFonts w:hint="eastAsia" w:ascii="Times New Roman" w:hAnsi="Times New Roman" w:eastAsia="仿宋_GB2312" w:cs="仿宋_GB2312"/>
          <w:b/>
          <w:color w:val="auto"/>
          <w:kern w:val="0"/>
          <w:sz w:val="32"/>
          <w:szCs w:val="32"/>
          <w:highlight w:val="none"/>
          <w:lang w:bidi="ar"/>
        </w:rPr>
        <w:t>耕作层剥离再利用。</w:t>
      </w:r>
      <w:r>
        <w:rPr>
          <w:rFonts w:hint="eastAsia" w:ascii="Times New Roman" w:hAnsi="Times New Roman" w:eastAsia="仿宋_GB2312" w:cs="仿宋_GB2312"/>
          <w:color w:val="auto"/>
          <w:kern w:val="0"/>
          <w:sz w:val="32"/>
          <w:szCs w:val="32"/>
          <w:highlight w:val="none"/>
          <w:lang w:bidi="ar"/>
        </w:rPr>
        <w:t>建设项目涉及占用耕地的，需实施耕作层剥离。剥离的耕作层应优先用于项目所在乡镇（街道）或市域范围内垦造耕地、旱地改水田、建设用地复垦、耕地质量提升等项目。</w:t>
      </w:r>
    </w:p>
    <w:p w14:paraId="13E8CFCC">
      <w:pPr>
        <w:pStyle w:val="2"/>
        <w:spacing w:line="560" w:lineRule="exact"/>
        <w:ind w:firstLine="643" w:firstLineChars="200"/>
        <w:rPr>
          <w:rFonts w:ascii="Times New Roman" w:hAnsi="Times New Roman"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6.</w:t>
      </w:r>
      <w:r>
        <w:rPr>
          <w:rFonts w:hint="eastAsia" w:ascii="仿宋_GB2312" w:hAnsi="仿宋_GB2312" w:eastAsia="仿宋_GB2312" w:cs="仿宋_GB2312"/>
          <w:b/>
          <w:bCs/>
          <w:color w:val="auto"/>
          <w:sz w:val="32"/>
          <w:szCs w:val="32"/>
          <w:highlight w:val="none"/>
        </w:rPr>
        <w:t>生态环境整治</w:t>
      </w:r>
      <w:r>
        <w:rPr>
          <w:rFonts w:hint="eastAsia" w:ascii="仿宋_GB2312" w:hAnsi="仿宋_GB2312" w:eastAsia="仿宋_GB2312" w:cs="仿宋_GB2312"/>
          <w:color w:val="auto"/>
          <w:sz w:val="32"/>
          <w:szCs w:val="32"/>
          <w:highlight w:val="none"/>
        </w:rPr>
        <w:t>提升工程</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结合美丽乡村建设、四好农村公路建设，以及农村人居环境整治，对整治区域实施生态环境整治修复。</w:t>
      </w:r>
    </w:p>
    <w:p w14:paraId="2DB810D1">
      <w:pPr>
        <w:autoSpaceDE w:val="0"/>
        <w:autoSpaceDN w:val="0"/>
        <w:adjustRightInd w:val="0"/>
        <w:spacing w:line="560" w:lineRule="exact"/>
        <w:ind w:firstLine="640" w:firstLineChars="200"/>
        <w:rPr>
          <w:rFonts w:hint="eastAsia" w:ascii="黑体" w:hAnsi="宋体" w:eastAsia="黑体" w:cs="黑体"/>
          <w:bCs/>
          <w:color w:val="auto"/>
          <w:kern w:val="0"/>
          <w:sz w:val="32"/>
          <w:szCs w:val="32"/>
          <w:highlight w:val="none"/>
        </w:rPr>
      </w:pPr>
      <w:r>
        <w:rPr>
          <w:rFonts w:hint="eastAsia" w:ascii="黑体" w:hAnsi="宋体" w:eastAsia="黑体" w:cs="黑体"/>
          <w:bCs/>
          <w:color w:val="auto"/>
          <w:kern w:val="0"/>
          <w:sz w:val="32"/>
          <w:szCs w:val="32"/>
          <w:highlight w:val="none"/>
          <w:lang w:bidi="ar"/>
        </w:rPr>
        <w:t>三、项目管理</w:t>
      </w:r>
    </w:p>
    <w:p w14:paraId="2DB519A3">
      <w:pPr>
        <w:autoSpaceDE w:val="0"/>
        <w:autoSpaceDN w:val="0"/>
        <w:adjustRightInd w:val="0"/>
        <w:spacing w:line="560" w:lineRule="exact"/>
        <w:ind w:firstLine="643" w:firstLineChars="200"/>
        <w:rPr>
          <w:rFonts w:ascii="Times New Roman" w:hAnsi="Times New Roman" w:eastAsia="仿宋_GB2312"/>
          <w:bCs/>
          <w:color w:val="auto"/>
          <w:kern w:val="0"/>
          <w:sz w:val="32"/>
          <w:szCs w:val="32"/>
          <w:highlight w:val="none"/>
        </w:rPr>
      </w:pPr>
      <w:r>
        <w:rPr>
          <w:rFonts w:ascii="Times New Roman" w:hAnsi="Times New Roman" w:eastAsia="仿宋_GB2312"/>
          <w:b/>
          <w:color w:val="auto"/>
          <w:kern w:val="0"/>
          <w:sz w:val="32"/>
          <w:szCs w:val="32"/>
          <w:highlight w:val="none"/>
          <w:lang w:bidi="ar"/>
        </w:rPr>
        <w:t>1.</w:t>
      </w:r>
      <w:r>
        <w:rPr>
          <w:rFonts w:hint="eastAsia" w:ascii="Times New Roman" w:hAnsi="Times New Roman" w:eastAsia="仿宋_GB2312" w:cs="仿宋_GB2312"/>
          <w:b/>
          <w:color w:val="auto"/>
          <w:kern w:val="0"/>
          <w:sz w:val="32"/>
          <w:szCs w:val="32"/>
          <w:highlight w:val="none"/>
          <w:lang w:bidi="ar"/>
        </w:rPr>
        <w:t>调查摸底。</w:t>
      </w:r>
      <w:r>
        <w:rPr>
          <w:rFonts w:hint="eastAsia" w:ascii="Times New Roman" w:hAnsi="Times New Roman" w:eastAsia="仿宋_GB2312" w:cs="仿宋_GB2312"/>
          <w:bCs/>
          <w:color w:val="auto"/>
          <w:kern w:val="0"/>
          <w:sz w:val="32"/>
          <w:szCs w:val="32"/>
          <w:highlight w:val="none"/>
          <w:lang w:bidi="ar"/>
        </w:rPr>
        <w:t>由兰溪市</w:t>
      </w:r>
      <w:r>
        <w:rPr>
          <w:rFonts w:hint="eastAsia" w:ascii="仿宋_GB2312" w:hAnsi="仿宋_GB2312" w:eastAsia="仿宋_GB2312" w:cs="仿宋_GB2312"/>
          <w:color w:val="auto"/>
          <w:sz w:val="32"/>
          <w:szCs w:val="32"/>
          <w:highlight w:val="none"/>
        </w:rPr>
        <w:t>全域土地综合整治</w:t>
      </w:r>
      <w:r>
        <w:rPr>
          <w:rFonts w:hint="eastAsia" w:ascii="仿宋_GB2312" w:hAnsi="仿宋_GB2312" w:eastAsia="仿宋_GB2312" w:cs="仿宋_GB2312"/>
          <w:color w:val="auto"/>
          <w:sz w:val="32"/>
          <w:szCs w:val="32"/>
          <w:highlight w:val="none"/>
          <w:lang w:eastAsia="zh-CN"/>
        </w:rPr>
        <w:t>专班</w:t>
      </w:r>
      <w:r>
        <w:rPr>
          <w:rFonts w:hint="eastAsia" w:ascii="Times New Roman" w:hAnsi="Times New Roman" w:eastAsia="仿宋_GB2312" w:cs="仿宋_GB2312"/>
          <w:bCs/>
          <w:color w:val="auto"/>
          <w:kern w:val="0"/>
          <w:sz w:val="32"/>
          <w:szCs w:val="32"/>
          <w:highlight w:val="none"/>
          <w:lang w:bidi="ar"/>
        </w:rPr>
        <w:t>（以下简称</w:t>
      </w:r>
      <w:r>
        <w:rPr>
          <w:rFonts w:hint="eastAsia" w:ascii="Times New Roman" w:hAnsi="Times New Roman" w:eastAsia="仿宋_GB2312" w:cs="仿宋_GB2312"/>
          <w:bCs/>
          <w:color w:val="auto"/>
          <w:kern w:val="0"/>
          <w:sz w:val="32"/>
          <w:szCs w:val="32"/>
          <w:highlight w:val="none"/>
          <w:lang w:eastAsia="zh-CN" w:bidi="ar"/>
        </w:rPr>
        <w:t>专班</w:t>
      </w:r>
      <w:r>
        <w:rPr>
          <w:rFonts w:hint="eastAsia" w:ascii="Times New Roman" w:hAnsi="Times New Roman" w:eastAsia="仿宋_GB2312" w:cs="仿宋_GB2312"/>
          <w:bCs/>
          <w:color w:val="auto"/>
          <w:kern w:val="0"/>
          <w:sz w:val="32"/>
          <w:szCs w:val="32"/>
          <w:highlight w:val="none"/>
          <w:lang w:bidi="ar"/>
        </w:rPr>
        <w:t>）牵头，资规局、各乡镇（街道）具体负责，对全市范围内可垦造耕地的后备资源进行调查，形成各乡镇（街道）可垦造耕地资源</w:t>
      </w:r>
      <w:r>
        <w:rPr>
          <w:rFonts w:ascii="Times New Roman" w:hAnsi="Times New Roman" w:eastAsia="仿宋_GB2312"/>
          <w:bCs/>
          <w:color w:val="auto"/>
          <w:kern w:val="0"/>
          <w:sz w:val="32"/>
          <w:szCs w:val="32"/>
          <w:highlight w:val="none"/>
          <w:lang w:bidi="ar"/>
        </w:rPr>
        <w:t>“</w:t>
      </w:r>
      <w:r>
        <w:rPr>
          <w:rFonts w:hint="eastAsia" w:ascii="Times New Roman" w:hAnsi="Times New Roman" w:eastAsia="仿宋_GB2312" w:cs="仿宋_GB2312"/>
          <w:bCs/>
          <w:color w:val="auto"/>
          <w:kern w:val="0"/>
          <w:sz w:val="32"/>
          <w:szCs w:val="32"/>
          <w:highlight w:val="none"/>
          <w:lang w:bidi="ar"/>
        </w:rPr>
        <w:t>一张图</w:t>
      </w:r>
      <w:r>
        <w:rPr>
          <w:rFonts w:ascii="Times New Roman" w:hAnsi="Times New Roman" w:eastAsia="仿宋_GB2312"/>
          <w:bCs/>
          <w:color w:val="auto"/>
          <w:kern w:val="0"/>
          <w:sz w:val="32"/>
          <w:szCs w:val="32"/>
          <w:highlight w:val="none"/>
          <w:lang w:bidi="ar"/>
        </w:rPr>
        <w:t>”</w:t>
      </w:r>
      <w:r>
        <w:rPr>
          <w:rFonts w:hint="eastAsia" w:ascii="Times New Roman" w:hAnsi="Times New Roman" w:eastAsia="仿宋_GB2312" w:cs="仿宋_GB2312"/>
          <w:bCs/>
          <w:color w:val="auto"/>
          <w:kern w:val="0"/>
          <w:sz w:val="32"/>
          <w:szCs w:val="32"/>
          <w:highlight w:val="none"/>
          <w:lang w:bidi="ar"/>
        </w:rPr>
        <w:t>。根据调查摸底情况，由资规局提出年度土地整治工作计划，提交市政府下达任务。</w:t>
      </w:r>
    </w:p>
    <w:p w14:paraId="16D21FC2">
      <w:pPr>
        <w:widowControl/>
        <w:spacing w:line="56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color w:val="auto"/>
          <w:kern w:val="0"/>
          <w:sz w:val="32"/>
          <w:szCs w:val="32"/>
          <w:highlight w:val="none"/>
          <w:lang w:bidi="ar"/>
        </w:rPr>
        <w:t>2.</w:t>
      </w:r>
      <w:r>
        <w:rPr>
          <w:rFonts w:hint="eastAsia" w:ascii="Times New Roman" w:hAnsi="Times New Roman" w:eastAsia="仿宋_GB2312" w:cs="仿宋_GB2312"/>
          <w:b/>
          <w:color w:val="auto"/>
          <w:kern w:val="0"/>
          <w:sz w:val="32"/>
          <w:szCs w:val="32"/>
          <w:highlight w:val="none"/>
          <w:lang w:bidi="ar"/>
        </w:rPr>
        <w:t>立项申报。</w:t>
      </w:r>
      <w:r>
        <w:rPr>
          <w:rFonts w:hint="eastAsia" w:ascii="Times New Roman" w:hAnsi="Times New Roman" w:eastAsia="仿宋_GB2312" w:cs="仿宋_GB2312"/>
          <w:color w:val="auto"/>
          <w:sz w:val="32"/>
          <w:szCs w:val="32"/>
          <w:highlight w:val="none"/>
          <w:lang w:bidi="ar"/>
        </w:rPr>
        <w:t>乡镇（街道）根据市政府下达的年度工作计划，结合辖区</w:t>
      </w:r>
      <w:r>
        <w:rPr>
          <w:rFonts w:hint="eastAsia" w:ascii="Times New Roman" w:hAnsi="Times New Roman" w:eastAsia="仿宋_GB2312" w:cs="仿宋_GB2312"/>
          <w:bCs/>
          <w:color w:val="auto"/>
          <w:kern w:val="0"/>
          <w:sz w:val="32"/>
          <w:szCs w:val="32"/>
          <w:highlight w:val="none"/>
          <w:lang w:bidi="ar"/>
        </w:rPr>
        <w:t>可垦造耕地资源情况，做好项目立项前的各项准备工作，并向</w:t>
      </w:r>
      <w:r>
        <w:rPr>
          <w:rFonts w:hint="eastAsia" w:ascii="Times New Roman" w:hAnsi="Times New Roman" w:eastAsia="仿宋_GB2312" w:cs="仿宋_GB2312"/>
          <w:bCs/>
          <w:color w:val="auto"/>
          <w:kern w:val="0"/>
          <w:sz w:val="32"/>
          <w:szCs w:val="32"/>
          <w:highlight w:val="none"/>
          <w:lang w:eastAsia="zh-CN" w:bidi="ar"/>
        </w:rPr>
        <w:t>专班</w:t>
      </w:r>
      <w:r>
        <w:rPr>
          <w:rFonts w:hint="eastAsia" w:ascii="Times New Roman" w:hAnsi="Times New Roman" w:eastAsia="仿宋_GB2312" w:cs="仿宋_GB2312"/>
          <w:bCs/>
          <w:color w:val="auto"/>
          <w:kern w:val="0"/>
          <w:sz w:val="32"/>
          <w:szCs w:val="32"/>
          <w:highlight w:val="none"/>
          <w:lang w:bidi="ar"/>
        </w:rPr>
        <w:t>提出</w:t>
      </w:r>
      <w:r>
        <w:rPr>
          <w:rFonts w:hint="eastAsia" w:ascii="Times New Roman" w:hAnsi="Times New Roman" w:eastAsia="仿宋_GB2312" w:cs="仿宋_GB2312"/>
          <w:color w:val="auto"/>
          <w:kern w:val="0"/>
          <w:sz w:val="32"/>
          <w:szCs w:val="32"/>
          <w:highlight w:val="none"/>
          <w:lang w:bidi="ar"/>
        </w:rPr>
        <w:t>立项申请，立项申请须一并提交土地整治工程质保期结束后的修缮管护方案、形成耕地的后续耕种管护方案。</w:t>
      </w:r>
      <w:r>
        <w:rPr>
          <w:rFonts w:ascii="Times New Roman" w:hAnsi="Times New Roman" w:eastAsia="仿宋_GB2312"/>
          <w:color w:val="auto"/>
          <w:kern w:val="0"/>
          <w:sz w:val="32"/>
          <w:szCs w:val="32"/>
          <w:highlight w:val="none"/>
          <w:lang w:bidi="ar"/>
        </w:rPr>
        <w:t xml:space="preserve"> </w:t>
      </w:r>
    </w:p>
    <w:p w14:paraId="113ECB12">
      <w:pPr>
        <w:autoSpaceDE w:val="0"/>
        <w:autoSpaceDN w:val="0"/>
        <w:adjustRightInd w:val="0"/>
        <w:spacing w:line="56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bidi="ar"/>
        </w:rPr>
        <w:t>土地整治工程涉及国有土地的，应当征得土地使用权人的同意；涉及合法建筑物搬迁或拆除的，应当征求建筑物所有权人的同意；涉及集体所有土地的，应当征求土地承包经营权人的同意，并经所在村村民（经济合作社社员）代表会议三分之二以上成员同意。</w:t>
      </w:r>
    </w:p>
    <w:p w14:paraId="3F8A2153">
      <w:pPr>
        <w:widowControl/>
        <w:spacing w:line="56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color w:val="auto"/>
          <w:kern w:val="0"/>
          <w:sz w:val="32"/>
          <w:szCs w:val="32"/>
          <w:highlight w:val="none"/>
          <w:lang w:bidi="ar"/>
        </w:rPr>
        <w:t>3.</w:t>
      </w:r>
      <w:r>
        <w:rPr>
          <w:rFonts w:hint="eastAsia" w:ascii="Times New Roman" w:hAnsi="Times New Roman" w:eastAsia="仿宋_GB2312" w:cs="仿宋_GB2312"/>
          <w:b/>
          <w:color w:val="auto"/>
          <w:kern w:val="0"/>
          <w:sz w:val="32"/>
          <w:szCs w:val="32"/>
          <w:highlight w:val="none"/>
          <w:lang w:bidi="ar"/>
        </w:rPr>
        <w:t>踏勘论证。</w:t>
      </w:r>
      <w:r>
        <w:rPr>
          <w:rFonts w:hint="eastAsia" w:ascii="Times New Roman" w:hAnsi="Times New Roman" w:eastAsia="仿宋_GB2312" w:cs="仿宋_GB2312"/>
          <w:color w:val="auto"/>
          <w:kern w:val="0"/>
          <w:sz w:val="32"/>
          <w:szCs w:val="32"/>
          <w:highlight w:val="none"/>
          <w:lang w:bidi="ar"/>
        </w:rPr>
        <w:t>收到立项申请后，</w:t>
      </w:r>
      <w:r>
        <w:rPr>
          <w:rFonts w:hint="eastAsia" w:ascii="Times New Roman" w:hAnsi="Times New Roman" w:eastAsia="仿宋_GB2312" w:cs="仿宋_GB2312"/>
          <w:color w:val="auto"/>
          <w:kern w:val="0"/>
          <w:sz w:val="32"/>
          <w:szCs w:val="32"/>
          <w:highlight w:val="none"/>
          <w:lang w:eastAsia="zh-CN" w:bidi="ar"/>
        </w:rPr>
        <w:t>专班</w:t>
      </w:r>
      <w:r>
        <w:rPr>
          <w:rFonts w:hint="eastAsia" w:ascii="Times New Roman" w:hAnsi="Times New Roman" w:eastAsia="仿宋_GB2312" w:cs="仿宋_GB2312"/>
          <w:color w:val="auto"/>
          <w:kern w:val="0"/>
          <w:sz w:val="32"/>
          <w:szCs w:val="32"/>
          <w:highlight w:val="none"/>
          <w:lang w:bidi="ar"/>
        </w:rPr>
        <w:t>召集有关部门进行实地踏勘和可行性评估论证。</w:t>
      </w:r>
    </w:p>
    <w:p w14:paraId="44B07441">
      <w:pPr>
        <w:widowControl/>
        <w:spacing w:line="56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color w:val="auto"/>
          <w:kern w:val="0"/>
          <w:sz w:val="32"/>
          <w:szCs w:val="32"/>
          <w:highlight w:val="none"/>
          <w:lang w:bidi="ar"/>
        </w:rPr>
        <w:t>4.</w:t>
      </w:r>
      <w:r>
        <w:rPr>
          <w:rFonts w:hint="eastAsia" w:ascii="Times New Roman" w:hAnsi="Times New Roman" w:eastAsia="仿宋_GB2312" w:cs="仿宋_GB2312"/>
          <w:b/>
          <w:color w:val="auto"/>
          <w:kern w:val="0"/>
          <w:sz w:val="32"/>
          <w:szCs w:val="32"/>
          <w:highlight w:val="none"/>
          <w:lang w:bidi="ar"/>
        </w:rPr>
        <w:t>立项审批。</w:t>
      </w:r>
      <w:r>
        <w:rPr>
          <w:rFonts w:hint="eastAsia" w:ascii="Times New Roman" w:hAnsi="Times New Roman" w:eastAsia="仿宋_GB2312" w:cs="仿宋_GB2312"/>
          <w:color w:val="auto"/>
          <w:kern w:val="0"/>
          <w:sz w:val="32"/>
          <w:szCs w:val="32"/>
          <w:highlight w:val="none"/>
          <w:lang w:eastAsia="zh-CN" w:bidi="ar"/>
        </w:rPr>
        <w:t>专班</w:t>
      </w:r>
      <w:r>
        <w:rPr>
          <w:rFonts w:hint="eastAsia" w:ascii="Times New Roman" w:hAnsi="Times New Roman" w:eastAsia="仿宋_GB2312" w:cs="仿宋_GB2312"/>
          <w:color w:val="auto"/>
          <w:kern w:val="0"/>
          <w:sz w:val="32"/>
          <w:szCs w:val="32"/>
          <w:highlight w:val="none"/>
          <w:lang w:bidi="ar"/>
        </w:rPr>
        <w:t>对符合立项条件的土地整治工程，完成踏勘论证、方案设计、资金估算等审核后，交由</w:t>
      </w:r>
      <w:r>
        <w:rPr>
          <w:rFonts w:hint="eastAsia" w:ascii="Times New Roman" w:hAnsi="Times New Roman" w:eastAsia="仿宋_GB2312" w:cs="仿宋_GB2312"/>
          <w:color w:val="auto"/>
          <w:sz w:val="32"/>
          <w:szCs w:val="32"/>
          <w:highlight w:val="none"/>
          <w:lang w:bidi="ar"/>
        </w:rPr>
        <w:t>资规局</w:t>
      </w:r>
      <w:r>
        <w:rPr>
          <w:rFonts w:hint="eastAsia" w:ascii="Times New Roman" w:hAnsi="Times New Roman" w:eastAsia="仿宋_GB2312" w:cs="仿宋_GB2312"/>
          <w:color w:val="auto"/>
          <w:kern w:val="0"/>
          <w:sz w:val="32"/>
          <w:szCs w:val="32"/>
          <w:highlight w:val="none"/>
          <w:lang w:bidi="ar"/>
        </w:rPr>
        <w:t>上报市政府审批立项。</w:t>
      </w:r>
    </w:p>
    <w:p w14:paraId="4ED37D34">
      <w:pPr>
        <w:widowControl/>
        <w:spacing w:line="56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color w:val="auto"/>
          <w:kern w:val="0"/>
          <w:sz w:val="32"/>
          <w:szCs w:val="32"/>
          <w:highlight w:val="none"/>
          <w:lang w:bidi="ar"/>
        </w:rPr>
        <w:t>5.</w:t>
      </w:r>
      <w:r>
        <w:rPr>
          <w:rFonts w:hint="eastAsia" w:ascii="Times New Roman" w:hAnsi="Times New Roman" w:eastAsia="仿宋_GB2312" w:cs="仿宋_GB2312"/>
          <w:b/>
          <w:color w:val="auto"/>
          <w:kern w:val="0"/>
          <w:sz w:val="32"/>
          <w:szCs w:val="32"/>
          <w:highlight w:val="none"/>
          <w:lang w:bidi="ar"/>
        </w:rPr>
        <w:t>组织实施。</w:t>
      </w:r>
      <w:r>
        <w:rPr>
          <w:rFonts w:hint="eastAsia" w:ascii="Times New Roman" w:hAnsi="Times New Roman" w:eastAsia="仿宋_GB2312" w:cs="仿宋_GB2312"/>
          <w:color w:val="auto"/>
          <w:kern w:val="0"/>
          <w:sz w:val="32"/>
          <w:szCs w:val="32"/>
          <w:highlight w:val="none"/>
          <w:lang w:bidi="ar"/>
        </w:rPr>
        <w:t>土地整治工程由实施主体按照招投标法律、法规和程序要求，确定施工设计、预算编制、工程监理、审计、工程施工等单位。其中施工设计、预算编制、工程监理单位由办公室统一管理（相关经费支付需经</w:t>
      </w:r>
      <w:r>
        <w:rPr>
          <w:rFonts w:hint="eastAsia" w:ascii="Times New Roman" w:hAnsi="Times New Roman" w:eastAsia="仿宋_GB2312" w:cs="仿宋_GB2312"/>
          <w:color w:val="auto"/>
          <w:kern w:val="0"/>
          <w:sz w:val="32"/>
          <w:szCs w:val="32"/>
          <w:highlight w:val="none"/>
          <w:lang w:eastAsia="zh-CN" w:bidi="ar"/>
        </w:rPr>
        <w:t>专班</w:t>
      </w:r>
      <w:r>
        <w:rPr>
          <w:rFonts w:hint="eastAsia" w:ascii="Times New Roman" w:hAnsi="Times New Roman" w:eastAsia="仿宋_GB2312" w:cs="仿宋_GB2312"/>
          <w:color w:val="auto"/>
          <w:kern w:val="0"/>
          <w:sz w:val="32"/>
          <w:szCs w:val="32"/>
          <w:highlight w:val="none"/>
          <w:lang w:bidi="ar"/>
        </w:rPr>
        <w:t>专职副组长审核签字）；预算、决算由财政审价中心审核（备案）；报备入库单位由资规局管理。</w:t>
      </w:r>
    </w:p>
    <w:p w14:paraId="3B1A585A">
      <w:pPr>
        <w:widowControl/>
        <w:spacing w:line="56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color w:val="auto"/>
          <w:kern w:val="0"/>
          <w:sz w:val="32"/>
          <w:szCs w:val="32"/>
          <w:highlight w:val="none"/>
          <w:lang w:bidi="ar"/>
        </w:rPr>
        <w:t>6.</w:t>
      </w:r>
      <w:r>
        <w:rPr>
          <w:rFonts w:hint="eastAsia" w:ascii="Times New Roman" w:hAnsi="Times New Roman" w:eastAsia="仿宋_GB2312" w:cs="仿宋_GB2312"/>
          <w:b/>
          <w:color w:val="auto"/>
          <w:kern w:val="0"/>
          <w:sz w:val="32"/>
          <w:szCs w:val="32"/>
          <w:highlight w:val="none"/>
          <w:lang w:bidi="ar"/>
        </w:rPr>
        <w:t>施工管理。</w:t>
      </w:r>
      <w:r>
        <w:rPr>
          <w:rFonts w:hint="eastAsia" w:ascii="Times New Roman" w:hAnsi="Times New Roman" w:eastAsia="仿宋_GB2312" w:cs="仿宋_GB2312"/>
          <w:color w:val="auto"/>
          <w:kern w:val="0"/>
          <w:sz w:val="32"/>
          <w:szCs w:val="32"/>
          <w:highlight w:val="none"/>
          <w:lang w:bidi="ar"/>
        </w:rPr>
        <w:t>实施主体</w:t>
      </w:r>
      <w:r>
        <w:rPr>
          <w:rFonts w:hint="eastAsia" w:ascii="Times New Roman" w:hAnsi="Times New Roman" w:eastAsia="仿宋_GB2312" w:cs="仿宋_GB2312"/>
          <w:color w:val="auto"/>
          <w:sz w:val="32"/>
          <w:szCs w:val="32"/>
          <w:highlight w:val="none"/>
          <w:lang w:bidi="ar"/>
        </w:rPr>
        <w:t>负责土地整治工程管理，</w:t>
      </w:r>
      <w:r>
        <w:rPr>
          <w:rFonts w:hint="eastAsia" w:ascii="Times New Roman" w:hAnsi="Times New Roman" w:eastAsia="仿宋_GB2312" w:cs="仿宋_GB2312"/>
          <w:color w:val="auto"/>
          <w:kern w:val="0"/>
          <w:sz w:val="32"/>
          <w:szCs w:val="32"/>
          <w:highlight w:val="none"/>
          <w:lang w:bidi="ar"/>
        </w:rPr>
        <w:t>乡镇（街道）指派专人协助，项目村可选派村民代表参与工程质量监督，人员名单报工作专班备案。</w:t>
      </w:r>
    </w:p>
    <w:p w14:paraId="6D6200A9">
      <w:pPr>
        <w:widowControl/>
        <w:spacing w:line="560" w:lineRule="exact"/>
        <w:ind w:firstLine="643" w:firstLineChars="200"/>
        <w:rPr>
          <w:rFonts w:hint="eastAsia" w:ascii="仿宋_GB2312" w:hAnsi="Times New Roman" w:eastAsia="仿宋_GB2312" w:cs="仿宋_GB2312"/>
          <w:color w:val="auto"/>
          <w:kern w:val="0"/>
          <w:sz w:val="32"/>
          <w:szCs w:val="32"/>
          <w:highlight w:val="none"/>
        </w:rPr>
      </w:pPr>
      <w:r>
        <w:rPr>
          <w:rFonts w:ascii="Times New Roman" w:hAnsi="Times New Roman" w:eastAsia="仿宋_GB2312"/>
          <w:b/>
          <w:color w:val="auto"/>
          <w:kern w:val="0"/>
          <w:sz w:val="32"/>
          <w:szCs w:val="32"/>
          <w:highlight w:val="none"/>
          <w:lang w:bidi="ar"/>
        </w:rPr>
        <w:t>7.</w:t>
      </w:r>
      <w:r>
        <w:rPr>
          <w:rFonts w:hint="eastAsia" w:ascii="Times New Roman" w:hAnsi="Times New Roman" w:eastAsia="仿宋_GB2312" w:cs="仿宋_GB2312"/>
          <w:b/>
          <w:color w:val="auto"/>
          <w:kern w:val="0"/>
          <w:sz w:val="32"/>
          <w:szCs w:val="32"/>
          <w:highlight w:val="none"/>
          <w:lang w:bidi="ar"/>
        </w:rPr>
        <w:t>工程变更。</w:t>
      </w:r>
      <w:r>
        <w:rPr>
          <w:rFonts w:hint="eastAsia" w:ascii="仿宋_GB2312" w:hAnsi="Times New Roman" w:eastAsia="仿宋_GB2312" w:cs="仿宋_GB2312"/>
          <w:color w:val="auto"/>
          <w:kern w:val="0"/>
          <w:sz w:val="32"/>
          <w:szCs w:val="32"/>
          <w:highlight w:val="none"/>
          <w:lang w:bidi="ar"/>
        </w:rPr>
        <w:t>土地整治工程实施过程中，原则上不得变更项目的规划设计。确需变更的，按工程变更程序报相关部门批准。</w:t>
      </w:r>
    </w:p>
    <w:p w14:paraId="728431A2">
      <w:pPr>
        <w:widowControl/>
        <w:spacing w:line="56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color w:val="auto"/>
          <w:kern w:val="0"/>
          <w:sz w:val="32"/>
          <w:szCs w:val="32"/>
          <w:highlight w:val="none"/>
          <w:lang w:bidi="ar"/>
        </w:rPr>
        <w:t>8.</w:t>
      </w:r>
      <w:r>
        <w:rPr>
          <w:rFonts w:hint="eastAsia" w:ascii="Times New Roman" w:hAnsi="Times New Roman" w:eastAsia="仿宋_GB2312" w:cs="仿宋_GB2312"/>
          <w:b/>
          <w:color w:val="auto"/>
          <w:kern w:val="0"/>
          <w:sz w:val="32"/>
          <w:szCs w:val="32"/>
          <w:highlight w:val="none"/>
          <w:lang w:bidi="ar"/>
        </w:rPr>
        <w:t>工程验收。</w:t>
      </w:r>
      <w:r>
        <w:rPr>
          <w:rFonts w:hint="eastAsia" w:ascii="Times New Roman" w:hAnsi="Times New Roman" w:eastAsia="仿宋_GB2312" w:cs="仿宋_GB2312"/>
          <w:color w:val="auto"/>
          <w:kern w:val="0"/>
          <w:sz w:val="32"/>
          <w:szCs w:val="32"/>
          <w:highlight w:val="none"/>
          <w:lang w:bidi="ar"/>
        </w:rPr>
        <w:t>项目竣工后，由乡镇（街道）、实施主体组织项目村、监理及施工等单位对项目进行初验，并向</w:t>
      </w:r>
      <w:r>
        <w:rPr>
          <w:rFonts w:hint="eastAsia" w:ascii="Times New Roman" w:hAnsi="Times New Roman" w:eastAsia="仿宋_GB2312" w:cs="仿宋_GB2312"/>
          <w:color w:val="auto"/>
          <w:kern w:val="0"/>
          <w:sz w:val="32"/>
          <w:szCs w:val="32"/>
          <w:highlight w:val="none"/>
          <w:lang w:eastAsia="zh-CN" w:bidi="ar"/>
        </w:rPr>
        <w:t>专班</w:t>
      </w:r>
      <w:r>
        <w:rPr>
          <w:rFonts w:hint="eastAsia" w:ascii="Times New Roman" w:hAnsi="Times New Roman" w:eastAsia="仿宋_GB2312" w:cs="仿宋_GB2312"/>
          <w:color w:val="auto"/>
          <w:kern w:val="0"/>
          <w:sz w:val="32"/>
          <w:szCs w:val="32"/>
          <w:highlight w:val="none"/>
          <w:lang w:bidi="ar"/>
        </w:rPr>
        <w:t>提出正式验收申请。</w:t>
      </w:r>
      <w:r>
        <w:rPr>
          <w:rFonts w:hint="eastAsia" w:ascii="Times New Roman" w:hAnsi="Times New Roman" w:eastAsia="仿宋_GB2312" w:cs="仿宋_GB2312"/>
          <w:color w:val="auto"/>
          <w:kern w:val="0"/>
          <w:sz w:val="32"/>
          <w:szCs w:val="32"/>
          <w:highlight w:val="none"/>
          <w:lang w:eastAsia="zh-CN" w:bidi="ar"/>
        </w:rPr>
        <w:t>专班</w:t>
      </w:r>
      <w:r>
        <w:rPr>
          <w:rFonts w:hint="eastAsia" w:ascii="Times New Roman" w:hAnsi="Times New Roman" w:eastAsia="仿宋_GB2312" w:cs="仿宋_GB2312"/>
          <w:color w:val="auto"/>
          <w:kern w:val="0"/>
          <w:sz w:val="32"/>
          <w:szCs w:val="32"/>
          <w:highlight w:val="none"/>
          <w:lang w:bidi="ar"/>
        </w:rPr>
        <w:t>牵头进行正式验收合格后，</w:t>
      </w:r>
      <w:r>
        <w:rPr>
          <w:rFonts w:hint="eastAsia" w:ascii="Times New Roman" w:hAnsi="Times New Roman" w:eastAsia="仿宋_GB2312" w:cs="仿宋_GB2312"/>
          <w:color w:val="auto"/>
          <w:kern w:val="0"/>
          <w:sz w:val="32"/>
          <w:szCs w:val="32"/>
          <w:highlight w:val="none"/>
          <w:lang w:eastAsia="zh-CN" w:bidi="ar"/>
        </w:rPr>
        <w:t>资规局</w:t>
      </w:r>
      <w:r>
        <w:rPr>
          <w:rFonts w:hint="eastAsia" w:ascii="Times New Roman" w:hAnsi="Times New Roman" w:eastAsia="仿宋_GB2312" w:cs="仿宋_GB2312"/>
          <w:color w:val="auto"/>
          <w:kern w:val="0"/>
          <w:sz w:val="32"/>
          <w:szCs w:val="32"/>
          <w:highlight w:val="none"/>
          <w:lang w:bidi="ar"/>
        </w:rPr>
        <w:t>将验收材料组件及时报金华市、省复核。</w:t>
      </w:r>
    </w:p>
    <w:p w14:paraId="5B24E692">
      <w:pPr>
        <w:widowControl/>
        <w:spacing w:line="56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color w:val="auto"/>
          <w:kern w:val="0"/>
          <w:sz w:val="32"/>
          <w:szCs w:val="32"/>
          <w:highlight w:val="none"/>
          <w:lang w:bidi="ar"/>
        </w:rPr>
        <w:t>9.</w:t>
      </w:r>
      <w:r>
        <w:rPr>
          <w:rFonts w:hint="eastAsia" w:ascii="Times New Roman" w:hAnsi="Times New Roman" w:eastAsia="仿宋_GB2312" w:cs="仿宋_GB2312"/>
          <w:b/>
          <w:color w:val="auto"/>
          <w:kern w:val="0"/>
          <w:sz w:val="32"/>
          <w:szCs w:val="32"/>
          <w:highlight w:val="none"/>
          <w:lang w:bidi="ar"/>
        </w:rPr>
        <w:t>后期管护。</w:t>
      </w:r>
      <w:r>
        <w:rPr>
          <w:rFonts w:hint="eastAsia" w:ascii="Times New Roman" w:hAnsi="Times New Roman" w:eastAsia="仿宋_GB2312" w:cs="仿宋_GB2312"/>
          <w:bCs/>
          <w:color w:val="auto"/>
          <w:kern w:val="0"/>
          <w:sz w:val="32"/>
          <w:szCs w:val="32"/>
          <w:highlight w:val="none"/>
          <w:lang w:bidi="ar"/>
        </w:rPr>
        <w:t>项目竣工验收合格后，</w:t>
      </w:r>
      <w:r>
        <w:rPr>
          <w:rFonts w:hint="eastAsia" w:ascii="Times New Roman" w:hAnsi="Times New Roman" w:eastAsia="仿宋_GB2312" w:cs="仿宋_GB2312"/>
          <w:bCs/>
          <w:color w:val="auto"/>
          <w:kern w:val="0"/>
          <w:sz w:val="32"/>
          <w:szCs w:val="32"/>
          <w:highlight w:val="none"/>
          <w:lang w:eastAsia="zh-CN" w:bidi="ar"/>
        </w:rPr>
        <w:t>专班</w:t>
      </w:r>
      <w:r>
        <w:rPr>
          <w:rFonts w:hint="eastAsia" w:ascii="Times New Roman" w:hAnsi="Times New Roman" w:eastAsia="仿宋_GB2312" w:cs="仿宋_GB2312"/>
          <w:bCs/>
          <w:color w:val="auto"/>
          <w:kern w:val="0"/>
          <w:sz w:val="32"/>
          <w:szCs w:val="32"/>
          <w:highlight w:val="none"/>
          <w:lang w:bidi="ar"/>
        </w:rPr>
        <w:t>督促项目实施单位做好项目后续管护和种植利用工作，管护期限为</w:t>
      </w:r>
      <w:r>
        <w:rPr>
          <w:rFonts w:ascii="Times New Roman" w:hAnsi="Times New Roman" w:eastAsia="仿宋_GB2312" w:cs="仿宋_GB2312"/>
          <w:bCs/>
          <w:color w:val="auto"/>
          <w:kern w:val="0"/>
          <w:sz w:val="32"/>
          <w:szCs w:val="32"/>
          <w:highlight w:val="none"/>
          <w:lang w:bidi="ar"/>
        </w:rPr>
        <w:t>5</w:t>
      </w:r>
      <w:r>
        <w:rPr>
          <w:rFonts w:hint="eastAsia" w:ascii="Times New Roman" w:hAnsi="Times New Roman" w:eastAsia="仿宋_GB2312" w:cs="仿宋_GB2312"/>
          <w:bCs/>
          <w:color w:val="auto"/>
          <w:kern w:val="0"/>
          <w:sz w:val="32"/>
          <w:szCs w:val="32"/>
          <w:highlight w:val="none"/>
          <w:lang w:bidi="ar"/>
        </w:rPr>
        <w:t>年，管护经费</w:t>
      </w:r>
      <w:r>
        <w:rPr>
          <w:rFonts w:hint="eastAsia" w:ascii="Times New Roman" w:hAnsi="Times New Roman" w:eastAsia="仿宋_GB2312" w:cs="仿宋_GB2312"/>
          <w:bCs/>
          <w:color w:val="auto"/>
          <w:kern w:val="0"/>
          <w:sz w:val="32"/>
          <w:szCs w:val="32"/>
          <w:highlight w:val="none"/>
          <w:lang w:val="en-US" w:eastAsia="zh-CN" w:bidi="ar"/>
        </w:rPr>
        <w:t>指导价</w:t>
      </w:r>
      <w:r>
        <w:rPr>
          <w:rFonts w:hint="eastAsia" w:ascii="Times New Roman" w:hAnsi="Times New Roman" w:eastAsia="仿宋_GB2312" w:cs="仿宋_GB2312"/>
          <w:bCs/>
          <w:color w:val="auto"/>
          <w:kern w:val="0"/>
          <w:sz w:val="32"/>
          <w:szCs w:val="32"/>
          <w:highlight w:val="none"/>
          <w:lang w:bidi="ar"/>
        </w:rPr>
        <w:t>水田1</w:t>
      </w:r>
      <w:r>
        <w:rPr>
          <w:rFonts w:hint="eastAsia" w:ascii="Times New Roman" w:hAnsi="Times New Roman" w:eastAsia="仿宋_GB2312" w:cs="仿宋_GB2312"/>
          <w:bCs/>
          <w:color w:val="auto"/>
          <w:kern w:val="0"/>
          <w:sz w:val="32"/>
          <w:szCs w:val="32"/>
          <w:highlight w:val="none"/>
          <w:lang w:val="en-US" w:eastAsia="zh-CN" w:bidi="ar"/>
        </w:rPr>
        <w:t>0</w:t>
      </w:r>
      <w:r>
        <w:rPr>
          <w:rFonts w:hint="eastAsia" w:ascii="Times New Roman" w:hAnsi="Times New Roman" w:eastAsia="仿宋_GB2312" w:cs="仿宋_GB2312"/>
          <w:bCs/>
          <w:color w:val="auto"/>
          <w:kern w:val="0"/>
          <w:sz w:val="32"/>
          <w:szCs w:val="32"/>
          <w:highlight w:val="none"/>
          <w:lang w:bidi="ar"/>
        </w:rPr>
        <w:t>00元/亩/年，旱地500元/亩/年</w:t>
      </w:r>
      <w:r>
        <w:rPr>
          <w:rFonts w:hint="eastAsia" w:ascii="Times New Roman" w:hAnsi="Times New Roman" w:eastAsia="仿宋_GB2312" w:cs="仿宋_GB2312"/>
          <w:bCs/>
          <w:color w:val="auto"/>
          <w:kern w:val="0"/>
          <w:sz w:val="32"/>
          <w:szCs w:val="32"/>
          <w:highlight w:val="none"/>
          <w:lang w:val="en-US" w:eastAsia="zh-CN" w:bidi="ar"/>
        </w:rPr>
        <w:t>（可由实施单位根据实际地块情况调节）</w:t>
      </w:r>
      <w:r>
        <w:rPr>
          <w:rFonts w:hint="eastAsia" w:ascii="Times New Roman" w:hAnsi="Times New Roman" w:eastAsia="仿宋_GB2312" w:cs="仿宋_GB2312"/>
          <w:bCs/>
          <w:color w:val="auto"/>
          <w:kern w:val="0"/>
          <w:sz w:val="32"/>
          <w:szCs w:val="32"/>
          <w:highlight w:val="none"/>
          <w:lang w:bidi="ar"/>
        </w:rPr>
        <w:t>。管护期间落实管护资金和耕种利用单位或个人，签订管护协议和土地承包经营责任书。</w:t>
      </w:r>
      <w:r>
        <w:rPr>
          <w:rFonts w:hint="eastAsia" w:ascii="Times New Roman" w:hAnsi="Times New Roman" w:eastAsia="仿宋_GB2312" w:cs="仿宋_GB2312"/>
          <w:color w:val="auto"/>
          <w:kern w:val="0"/>
          <w:sz w:val="32"/>
          <w:szCs w:val="32"/>
          <w:highlight w:val="none"/>
          <w:lang w:bidi="ar"/>
        </w:rPr>
        <w:t>新增水田的，每年至少种植一季水稻；新增旱地的须种植旱粮作物，严禁抛荒。</w:t>
      </w:r>
    </w:p>
    <w:p w14:paraId="557CA7E4">
      <w:pPr>
        <w:widowControl/>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s="仿宋_GB2312"/>
          <w:color w:val="auto"/>
          <w:kern w:val="0"/>
          <w:sz w:val="32"/>
          <w:szCs w:val="32"/>
          <w:highlight w:val="none"/>
          <w:lang w:bidi="ar"/>
        </w:rPr>
        <w:t>项目土地性质属国有的，由市政府将国有资产（土地）划拨（确定）给实施项目的国资公司持有。</w:t>
      </w:r>
    </w:p>
    <w:p w14:paraId="4D666512">
      <w:pPr>
        <w:autoSpaceDE w:val="0"/>
        <w:autoSpaceDN w:val="0"/>
        <w:adjustRightInd w:val="0"/>
        <w:spacing w:line="560" w:lineRule="exact"/>
        <w:ind w:firstLine="640" w:firstLineChars="200"/>
        <w:rPr>
          <w:rFonts w:hint="eastAsia" w:ascii="黑体" w:hAnsi="宋体" w:eastAsia="黑体" w:cs="黑体"/>
          <w:bCs/>
          <w:color w:val="auto"/>
          <w:kern w:val="0"/>
          <w:sz w:val="32"/>
          <w:szCs w:val="32"/>
          <w:highlight w:val="none"/>
        </w:rPr>
      </w:pPr>
      <w:r>
        <w:rPr>
          <w:rFonts w:hint="eastAsia" w:ascii="黑体" w:hAnsi="宋体" w:eastAsia="黑体" w:cs="黑体"/>
          <w:bCs/>
          <w:color w:val="auto"/>
          <w:kern w:val="0"/>
          <w:sz w:val="32"/>
          <w:szCs w:val="32"/>
          <w:highlight w:val="none"/>
          <w:lang w:bidi="ar"/>
        </w:rPr>
        <w:t>四、项目资金的筹措、使用与管理</w:t>
      </w:r>
    </w:p>
    <w:p w14:paraId="09784B2D">
      <w:pPr>
        <w:autoSpaceDE w:val="0"/>
        <w:autoSpaceDN w:val="0"/>
        <w:adjustRightInd w:val="0"/>
        <w:spacing w:line="560" w:lineRule="exact"/>
        <w:ind w:firstLine="640" w:firstLineChars="200"/>
        <w:rPr>
          <w:rFonts w:hint="eastAsia" w:ascii="仿宋_GB2312" w:hAnsi="Times New Roman" w:eastAsia="仿宋_GB2312" w:cs="仿宋_GB2312"/>
          <w:color w:val="auto"/>
          <w:kern w:val="0"/>
          <w:sz w:val="32"/>
          <w:szCs w:val="32"/>
          <w:highlight w:val="none"/>
        </w:rPr>
      </w:pPr>
      <w:r>
        <w:rPr>
          <w:rFonts w:hint="eastAsia" w:ascii="仿宋_GB2312" w:hAnsi="Times New Roman" w:eastAsia="仿宋_GB2312" w:cs="仿宋_GB2312"/>
          <w:color w:val="auto"/>
          <w:kern w:val="0"/>
          <w:sz w:val="32"/>
          <w:szCs w:val="32"/>
          <w:highlight w:val="none"/>
          <w:lang w:bidi="ar"/>
        </w:rPr>
        <w:t>1.全域土地整治项目所涉及资金由实施主体自筹解决。</w:t>
      </w:r>
    </w:p>
    <w:p w14:paraId="27977907">
      <w:pPr>
        <w:autoSpaceDE w:val="0"/>
        <w:autoSpaceDN w:val="0"/>
        <w:adjustRightInd w:val="0"/>
        <w:spacing w:line="560" w:lineRule="exact"/>
        <w:ind w:firstLine="640" w:firstLineChars="200"/>
        <w:rPr>
          <w:rFonts w:hint="eastAsia" w:ascii="仿宋_GB2312" w:hAnsi="Times New Roman" w:eastAsia="仿宋_GB2312" w:cs="仿宋_GB2312"/>
          <w:color w:val="auto"/>
          <w:kern w:val="0"/>
          <w:sz w:val="32"/>
          <w:szCs w:val="32"/>
          <w:highlight w:val="none"/>
        </w:rPr>
      </w:pPr>
      <w:r>
        <w:rPr>
          <w:rFonts w:hint="eastAsia" w:ascii="仿宋_GB2312" w:hAnsi="Times New Roman" w:eastAsia="仿宋_GB2312" w:cs="仿宋_GB2312"/>
          <w:color w:val="auto"/>
          <w:kern w:val="0"/>
          <w:sz w:val="32"/>
          <w:szCs w:val="32"/>
          <w:highlight w:val="none"/>
          <w:lang w:bidi="ar"/>
        </w:rPr>
        <w:t>2.实施主体实施土地整治产生的各类土地指标，由市政府统一进行回购。回购价为：垦造水田 25万元/亩；垦造旱地 15万元/亩；旱改水13 万元/亩；宅基地复垦新增水田70万元/亩、旱地40万元/亩；低效用地复垦新增水田100万元/亩、旱地</w:t>
      </w:r>
      <w:r>
        <w:rPr>
          <w:rFonts w:ascii="仿宋_GB2312" w:hAnsi="Times New Roman" w:eastAsia="仿宋_GB2312" w:cs="仿宋_GB2312"/>
          <w:color w:val="auto"/>
          <w:kern w:val="0"/>
          <w:sz w:val="32"/>
          <w:szCs w:val="32"/>
          <w:highlight w:val="none"/>
          <w:lang w:bidi="ar"/>
        </w:rPr>
        <w:t>6</w:t>
      </w:r>
      <w:r>
        <w:rPr>
          <w:rFonts w:hint="eastAsia" w:ascii="仿宋_GB2312" w:hAnsi="Times New Roman" w:eastAsia="仿宋_GB2312" w:cs="仿宋_GB2312"/>
          <w:color w:val="auto"/>
          <w:kern w:val="0"/>
          <w:sz w:val="32"/>
          <w:szCs w:val="32"/>
          <w:highlight w:val="none"/>
          <w:lang w:bidi="ar"/>
        </w:rPr>
        <w:t>0万元/亩。以9等新增耕地为</w:t>
      </w:r>
      <w:r>
        <w:rPr>
          <w:rFonts w:hint="eastAsia" w:ascii="仿宋_GB2312" w:hAnsi="Times New Roman" w:eastAsia="仿宋_GB2312" w:cs="仿宋_GB2312"/>
          <w:color w:val="auto"/>
          <w:kern w:val="0"/>
          <w:sz w:val="32"/>
          <w:szCs w:val="32"/>
          <w:highlight w:val="none"/>
          <w:lang w:eastAsia="zh-CN" w:bidi="ar"/>
        </w:rPr>
        <w:t>基数</w:t>
      </w:r>
      <w:r>
        <w:rPr>
          <w:rFonts w:hint="eastAsia" w:ascii="仿宋_GB2312" w:hAnsi="Times New Roman" w:eastAsia="仿宋_GB2312" w:cs="仿宋_GB2312"/>
          <w:color w:val="auto"/>
          <w:kern w:val="0"/>
          <w:sz w:val="32"/>
          <w:szCs w:val="32"/>
          <w:highlight w:val="none"/>
          <w:lang w:bidi="ar"/>
        </w:rPr>
        <w:t>，耕地等级每增加或减少1等加或减3万。</w:t>
      </w:r>
      <w:r>
        <w:rPr>
          <w:rFonts w:hint="eastAsia" w:ascii="仿宋_GB2312" w:hAnsi="Times New Roman" w:eastAsia="仿宋_GB2312" w:cs="仿宋_GB2312"/>
          <w:color w:val="auto"/>
          <w:kern w:val="0"/>
          <w:sz w:val="32"/>
          <w:szCs w:val="32"/>
          <w:highlight w:val="none"/>
          <w:lang w:val="en-US" w:eastAsia="zh-CN" w:bidi="ar"/>
        </w:rPr>
        <w:t>回购价</w:t>
      </w:r>
      <w:r>
        <w:rPr>
          <w:rFonts w:hint="eastAsia" w:ascii="仿宋_GB2312" w:hAnsi="Times New Roman" w:eastAsia="仿宋_GB2312" w:cs="仿宋_GB2312"/>
          <w:color w:val="auto"/>
          <w:kern w:val="0"/>
          <w:sz w:val="32"/>
          <w:szCs w:val="32"/>
          <w:highlight w:val="none"/>
          <w:lang w:bidi="ar"/>
        </w:rPr>
        <w:t>可根据成本变化情况采取“一事一议”适时调整。回购资金在项目验收合格入库后支付</w:t>
      </w:r>
      <w:r>
        <w:rPr>
          <w:rFonts w:hint="eastAsia" w:ascii="仿宋_GB2312" w:hAnsi="Times New Roman" w:eastAsia="仿宋_GB2312" w:cs="仿宋_GB2312"/>
          <w:color w:val="auto"/>
          <w:kern w:val="0"/>
          <w:sz w:val="32"/>
          <w:szCs w:val="32"/>
          <w:highlight w:val="none"/>
          <w:lang w:eastAsia="zh-CN" w:bidi="ar"/>
        </w:rPr>
        <w:t>，回购价含管护经费</w:t>
      </w:r>
      <w:r>
        <w:rPr>
          <w:rFonts w:hint="eastAsia" w:ascii="仿宋_GB2312" w:hAnsi="Times New Roman" w:eastAsia="仿宋_GB2312" w:cs="仿宋_GB2312"/>
          <w:color w:val="auto"/>
          <w:kern w:val="0"/>
          <w:sz w:val="32"/>
          <w:szCs w:val="32"/>
          <w:highlight w:val="none"/>
          <w:lang w:bidi="ar"/>
        </w:rPr>
        <w:t>。</w:t>
      </w:r>
    </w:p>
    <w:p w14:paraId="2278A43F">
      <w:pPr>
        <w:autoSpaceDE w:val="0"/>
        <w:autoSpaceDN w:val="0"/>
        <w:adjustRightInd w:val="0"/>
        <w:spacing w:line="560" w:lineRule="exact"/>
        <w:ind w:firstLine="640" w:firstLineChars="200"/>
        <w:rPr>
          <w:rFonts w:hint="eastAsia" w:ascii="黑体" w:hAnsi="宋体" w:eastAsia="黑体" w:cs="黑体"/>
          <w:bCs/>
          <w:color w:val="auto"/>
          <w:kern w:val="0"/>
          <w:sz w:val="32"/>
          <w:szCs w:val="32"/>
          <w:highlight w:val="none"/>
        </w:rPr>
      </w:pPr>
      <w:r>
        <w:rPr>
          <w:rFonts w:hint="eastAsia" w:ascii="黑体" w:hAnsi="宋体" w:eastAsia="黑体" w:cs="黑体"/>
          <w:bCs/>
          <w:color w:val="auto"/>
          <w:kern w:val="0"/>
          <w:sz w:val="32"/>
          <w:szCs w:val="32"/>
          <w:highlight w:val="none"/>
          <w:lang w:bidi="ar"/>
        </w:rPr>
        <w:t>五、部门和乡镇（街道）工作职责</w:t>
      </w:r>
    </w:p>
    <w:p w14:paraId="2654E557">
      <w:pPr>
        <w:autoSpaceDE w:val="0"/>
        <w:autoSpaceDN w:val="0"/>
        <w:adjustRightInd w:val="0"/>
        <w:spacing w:line="56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bidi="ar"/>
        </w:rPr>
        <w:t>全域土地整治工作由市政府统一领导。办公室落实具体工作，负责组织土地整治工程踏勘、项目评审、立项报批、监督指导、项目验收等工作。</w:t>
      </w:r>
    </w:p>
    <w:p w14:paraId="5EADE8A6">
      <w:pPr>
        <w:autoSpaceDE w:val="0"/>
        <w:autoSpaceDN w:val="0"/>
        <w:adjustRightInd w:val="0"/>
        <w:spacing w:line="56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bidi="ar"/>
        </w:rPr>
        <w:t>市资规局负责土地整治相关业务指导，提供技术支撑；审查项目的合法、合规性；负责新增耕地质量的评定；负责对接指标交易等相关工作。</w:t>
      </w:r>
    </w:p>
    <w:p w14:paraId="16B1EA03">
      <w:pPr>
        <w:autoSpaceDE w:val="0"/>
        <w:autoSpaceDN w:val="0"/>
        <w:adjustRightInd w:val="0"/>
        <w:spacing w:line="56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bidi="ar"/>
        </w:rPr>
        <w:t>财政（国资）、农业农村、水务、环保等职能部门按各自职能做好相关工作。</w:t>
      </w:r>
    </w:p>
    <w:p w14:paraId="1B18900C">
      <w:pPr>
        <w:autoSpaceDE w:val="0"/>
        <w:autoSpaceDN w:val="0"/>
        <w:adjustRightInd w:val="0"/>
        <w:spacing w:line="56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bidi="ar"/>
        </w:rPr>
        <w:t>实施主体负责项目实施、项目验收等全过程管理、乡镇（街道）政策补助及奖励资金拨付、新增耕地种植管护（运营招商）等工作。</w:t>
      </w:r>
    </w:p>
    <w:p w14:paraId="723AD98A">
      <w:pPr>
        <w:autoSpaceDE w:val="0"/>
        <w:autoSpaceDN w:val="0"/>
        <w:adjustRightInd w:val="0"/>
        <w:spacing w:line="560" w:lineRule="exact"/>
        <w:ind w:firstLine="640" w:firstLineChars="200"/>
        <w:rPr>
          <w:rFonts w:hint="eastAsia" w:ascii="Times New Roman" w:hAnsi="Times New Roman" w:eastAsia="仿宋_GB2312" w:cs="仿宋_GB2312"/>
          <w:color w:val="auto"/>
          <w:kern w:val="0"/>
          <w:sz w:val="32"/>
          <w:szCs w:val="32"/>
          <w:highlight w:val="none"/>
          <w:lang w:bidi="ar"/>
        </w:rPr>
      </w:pPr>
      <w:r>
        <w:rPr>
          <w:rFonts w:hint="eastAsia" w:ascii="Times New Roman" w:hAnsi="Times New Roman" w:eastAsia="仿宋_GB2312" w:cs="仿宋_GB2312"/>
          <w:color w:val="auto"/>
          <w:kern w:val="0"/>
          <w:sz w:val="32"/>
          <w:szCs w:val="32"/>
          <w:highlight w:val="none"/>
          <w:lang w:bidi="ar"/>
        </w:rPr>
        <w:t>乡镇（街道）负责土地整治项目的选址、政策处理、土地流转、矛盾调解等工作。</w:t>
      </w:r>
    </w:p>
    <w:p w14:paraId="70AA2390">
      <w:pPr>
        <w:autoSpaceDE w:val="0"/>
        <w:autoSpaceDN w:val="0"/>
        <w:adjustRightInd w:val="0"/>
        <w:spacing w:line="560" w:lineRule="exact"/>
        <w:ind w:firstLine="643" w:firstLineChars="200"/>
        <w:rPr>
          <w:rFonts w:hint="eastAsia" w:ascii="Times New Roman" w:hAnsi="Times New Roman" w:eastAsia="仿宋_GB2312" w:cs="仿宋_GB2312"/>
          <w:b/>
          <w:bCs/>
          <w:color w:val="auto"/>
          <w:kern w:val="0"/>
          <w:sz w:val="32"/>
          <w:szCs w:val="32"/>
          <w:highlight w:val="none"/>
          <w:lang w:eastAsia="zh-CN" w:bidi="ar"/>
        </w:rPr>
      </w:pPr>
      <w:r>
        <w:rPr>
          <w:rFonts w:hint="eastAsia" w:ascii="Times New Roman" w:hAnsi="Times New Roman" w:eastAsia="仿宋_GB2312" w:cs="仿宋_GB2312"/>
          <w:b/>
          <w:bCs/>
          <w:color w:val="auto"/>
          <w:kern w:val="0"/>
          <w:sz w:val="32"/>
          <w:szCs w:val="32"/>
          <w:highlight w:val="none"/>
          <w:lang w:val="en-US" w:eastAsia="zh-CN" w:bidi="ar"/>
        </w:rPr>
        <w:t>六、</w:t>
      </w:r>
      <w:r>
        <w:rPr>
          <w:rFonts w:hint="eastAsia" w:ascii="Times New Roman" w:hAnsi="Times New Roman" w:eastAsia="仿宋_GB2312" w:cs="仿宋_GB2312"/>
          <w:b/>
          <w:bCs/>
          <w:color w:val="auto"/>
          <w:kern w:val="0"/>
          <w:sz w:val="32"/>
          <w:szCs w:val="32"/>
          <w:highlight w:val="none"/>
          <w:lang w:eastAsia="zh-CN" w:bidi="ar"/>
        </w:rPr>
        <w:t>全域土地综合整治与生态修复工作绩效考核</w:t>
      </w:r>
    </w:p>
    <w:p w14:paraId="73E4C6D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为加强全域土地综合整治与生态修复项目管理，有效推进项目实施，将此项工作纳入市委市政府年度综合考核内容，具体考核办法按照综合考核有关规定制定。</w:t>
      </w:r>
    </w:p>
    <w:p w14:paraId="6BF4738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实施主体拨付乡镇（街道）的奖励资金与项目实施进度相挂钩，原则上</w:t>
      </w:r>
      <w:r>
        <w:rPr>
          <w:rFonts w:hint="eastAsia" w:ascii="仿宋_GB2312" w:hAnsi="Times New Roman" w:eastAsia="仿宋_GB2312" w:cs="仿宋_GB2312"/>
          <w:kern w:val="0"/>
          <w:sz w:val="32"/>
          <w:szCs w:val="32"/>
          <w:lang w:val="en-US" w:eastAsia="zh-CN" w:bidi="ar"/>
        </w:rPr>
        <w:t>按兰政办发【2020】27号文件执行。对未能按约定时间完成政策处理等工作的乡镇（街道）相应扣减奖励资金。</w:t>
      </w:r>
    </w:p>
    <w:p w14:paraId="1D473004">
      <w:pPr>
        <w:autoSpaceDE w:val="0"/>
        <w:autoSpaceDN w:val="0"/>
        <w:adjustRightInd w:val="0"/>
        <w:spacing w:line="560" w:lineRule="exact"/>
        <w:ind w:firstLine="640" w:firstLineChars="200"/>
        <w:rPr>
          <w:rFonts w:hint="eastAsia" w:ascii="黑体" w:hAnsi="宋体" w:eastAsia="黑体" w:cs="黑体"/>
          <w:bCs/>
          <w:color w:val="auto"/>
          <w:kern w:val="0"/>
          <w:sz w:val="32"/>
          <w:szCs w:val="32"/>
          <w:highlight w:val="none"/>
        </w:rPr>
      </w:pPr>
      <w:r>
        <w:rPr>
          <w:rFonts w:hint="eastAsia" w:ascii="黑体" w:hAnsi="宋体" w:eastAsia="黑体" w:cs="黑体"/>
          <w:bCs/>
          <w:color w:val="auto"/>
          <w:kern w:val="0"/>
          <w:sz w:val="32"/>
          <w:szCs w:val="32"/>
          <w:highlight w:val="none"/>
          <w:lang w:eastAsia="zh-CN" w:bidi="ar"/>
        </w:rPr>
        <w:t>七</w:t>
      </w:r>
      <w:r>
        <w:rPr>
          <w:rFonts w:hint="eastAsia" w:ascii="黑体" w:hAnsi="宋体" w:eastAsia="黑体" w:cs="黑体"/>
          <w:bCs/>
          <w:color w:val="auto"/>
          <w:kern w:val="0"/>
          <w:sz w:val="32"/>
          <w:szCs w:val="32"/>
          <w:highlight w:val="none"/>
          <w:lang w:bidi="ar"/>
        </w:rPr>
        <w:t>、实施时间</w:t>
      </w:r>
    </w:p>
    <w:p w14:paraId="348E8127">
      <w:pPr>
        <w:spacing w:line="560" w:lineRule="exact"/>
        <w:ind w:firstLine="640" w:firstLineChars="200"/>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color w:val="auto"/>
          <w:sz w:val="32"/>
          <w:szCs w:val="32"/>
          <w:highlight w:val="none"/>
          <w:lang w:bidi="ar"/>
        </w:rPr>
        <w:t>本《</w:t>
      </w:r>
      <w:r>
        <w:rPr>
          <w:rFonts w:hint="eastAsia" w:ascii="Times New Roman" w:hAnsi="Times New Roman" w:eastAsia="仿宋_GB2312" w:cs="仿宋_GB2312"/>
          <w:color w:val="auto"/>
          <w:sz w:val="32"/>
          <w:szCs w:val="32"/>
          <w:highlight w:val="none"/>
          <w:lang w:bidi="ar"/>
        </w:rPr>
        <w:t>方案（试行）》</w:t>
      </w:r>
      <w:r>
        <w:rPr>
          <w:rFonts w:hint="eastAsia" w:ascii="仿宋_GB2312" w:hAnsi="仿宋_GB2312" w:eastAsia="仿宋_GB2312" w:cs="仿宋_GB2312"/>
          <w:color w:val="auto"/>
          <w:sz w:val="32"/>
          <w:szCs w:val="32"/>
          <w:highlight w:val="none"/>
          <w:lang w:bidi="ar"/>
        </w:rPr>
        <w:t>自2023年</w:t>
      </w:r>
      <w:r>
        <w:rPr>
          <w:rFonts w:ascii="仿宋_GB2312" w:hAnsi="仿宋_GB2312" w:eastAsia="仿宋_GB2312" w:cs="仿宋_GB2312"/>
          <w:color w:val="auto"/>
          <w:sz w:val="32"/>
          <w:szCs w:val="32"/>
          <w:highlight w:val="none"/>
          <w:lang w:bidi="ar"/>
        </w:rPr>
        <w:t xml:space="preserve">  </w:t>
      </w:r>
      <w:r>
        <w:rPr>
          <w:rFonts w:hint="eastAsia" w:ascii="仿宋_GB2312" w:hAnsi="仿宋_GB2312" w:eastAsia="仿宋_GB2312" w:cs="仿宋_GB2312"/>
          <w:color w:val="auto"/>
          <w:sz w:val="32"/>
          <w:szCs w:val="32"/>
          <w:highlight w:val="none"/>
          <w:lang w:bidi="ar"/>
        </w:rPr>
        <w:t xml:space="preserve">月 </w:t>
      </w:r>
      <w:r>
        <w:rPr>
          <w:rFonts w:ascii="仿宋_GB2312" w:hAnsi="仿宋_GB2312" w:eastAsia="仿宋_GB2312" w:cs="仿宋_GB2312"/>
          <w:color w:val="auto"/>
          <w:sz w:val="32"/>
          <w:szCs w:val="32"/>
          <w:highlight w:val="none"/>
          <w:lang w:bidi="ar"/>
        </w:rPr>
        <w:t xml:space="preserve"> </w:t>
      </w:r>
      <w:r>
        <w:rPr>
          <w:rFonts w:hint="eastAsia" w:ascii="仿宋_GB2312" w:hAnsi="仿宋_GB2312" w:eastAsia="仿宋_GB2312" w:cs="仿宋_GB2312"/>
          <w:color w:val="auto"/>
          <w:sz w:val="32"/>
          <w:szCs w:val="32"/>
          <w:highlight w:val="none"/>
          <w:lang w:bidi="ar"/>
        </w:rPr>
        <w:t>日起施行。2023年1月1日前立项项目按原政策执行。</w:t>
      </w:r>
    </w:p>
    <w:p w14:paraId="27417801">
      <w:pPr>
        <w:pStyle w:val="4"/>
        <w:widowControl/>
        <w:spacing w:beforeAutospacing="0" w:afterAutospacing="0" w:line="525"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兰溪市非农建设指标交易管理办法（试行）</w:t>
      </w:r>
    </w:p>
    <w:p w14:paraId="40D46E33">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规范我市非农建设指标交易行为，发挥市场配置土地资源的基础作用，根据《土地管理法》《浙江省委浙江省人民政府关于加强耕地保护和改进占补平衡的实施意见》（浙委发〔2018〕10号）、《省国土资源厅省财政厅省物价局关于进一步做好补充耕地指标标准农田指标调剂和省统筹补充耕地的通知》（浙土资发〔2018〕20号）和《浙江省国土资源厅关于做好城乡建设用地增减挂钩结余指标调剂使用管理工作的通知》（浙土资规〔2018〕11号）等有关规定，制定本办法。</w:t>
      </w:r>
    </w:p>
    <w:p w14:paraId="6890B049">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一、指标类型</w:t>
      </w:r>
    </w:p>
    <w:p w14:paraId="5FE8E301">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本办法所称非农建设指标包含补充耕地指标和</w:t>
      </w:r>
      <w:r>
        <w:rPr>
          <w:rFonts w:hint="eastAsia" w:ascii="仿宋_GB2312" w:hAnsi="仿宋_GB2312" w:eastAsia="仿宋_GB2312" w:cs="仿宋_GB2312"/>
          <w:color w:val="auto"/>
          <w:sz w:val="32"/>
          <w:szCs w:val="32"/>
          <w:highlight w:val="none"/>
        </w:rPr>
        <w:t>城乡建设用地增减挂钩</w:t>
      </w:r>
      <w:r>
        <w:rPr>
          <w:rFonts w:hint="eastAsia" w:ascii="仿宋_GB2312" w:hAnsi="仿宋_GB2312" w:eastAsia="仿宋_GB2312" w:cs="仿宋_GB2312"/>
          <w:color w:val="auto"/>
          <w:sz w:val="32"/>
          <w:szCs w:val="32"/>
          <w:highlight w:val="none"/>
          <w:lang w:eastAsia="zh-CN"/>
        </w:rPr>
        <w:t>节余</w:t>
      </w:r>
      <w:r>
        <w:rPr>
          <w:rFonts w:hint="eastAsia" w:ascii="仿宋_GB2312" w:hAnsi="仿宋_GB2312" w:eastAsia="仿宋_GB2312" w:cs="仿宋_GB2312"/>
          <w:color w:val="auto"/>
          <w:sz w:val="32"/>
          <w:szCs w:val="32"/>
          <w:highlight w:val="none"/>
        </w:rPr>
        <w:t>指标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补充耕地指标是指通过实施补充耕地项目并经省自然资源厅核查确认后，可用于农用地转用和土地征收报批的耕地指标。城乡建设用地增减挂钩</w:t>
      </w:r>
      <w:r>
        <w:rPr>
          <w:rFonts w:hint="eastAsia" w:ascii="仿宋_GB2312" w:hAnsi="仿宋_GB2312" w:eastAsia="仿宋_GB2312" w:cs="仿宋_GB2312"/>
          <w:color w:val="auto"/>
          <w:sz w:val="32"/>
          <w:szCs w:val="32"/>
          <w:highlight w:val="none"/>
          <w:lang w:eastAsia="zh-CN"/>
        </w:rPr>
        <w:t>节余</w:t>
      </w:r>
      <w:r>
        <w:rPr>
          <w:rFonts w:hint="eastAsia" w:ascii="仿宋_GB2312" w:hAnsi="仿宋_GB2312" w:eastAsia="仿宋_GB2312" w:cs="仿宋_GB2312"/>
          <w:color w:val="auto"/>
          <w:sz w:val="32"/>
          <w:szCs w:val="32"/>
          <w:highlight w:val="none"/>
        </w:rPr>
        <w:t>指标是指通过实施建设用地复垦项目并经省自然资源厅核查确认后，可用于城乡建设用地增减挂钩建设项目用地报批的指标。</w:t>
      </w:r>
    </w:p>
    <w:p w14:paraId="2C2DC9F2">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Style w:val="7"/>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kern w:val="0"/>
          <w:sz w:val="32"/>
          <w:szCs w:val="32"/>
          <w:lang w:val="en-US" w:eastAsia="zh-CN" w:bidi="ar-SA"/>
        </w:rPr>
        <w:t>二、</w:t>
      </w:r>
      <w:r>
        <w:rPr>
          <w:rFonts w:hint="eastAsia" w:ascii="仿宋_GB2312" w:hAnsi="仿宋_GB2312" w:eastAsia="仿宋_GB2312" w:cs="仿宋_GB2312"/>
          <w:b/>
          <w:bCs/>
          <w:sz w:val="32"/>
          <w:szCs w:val="32"/>
        </w:rPr>
        <w:t>指标交易</w:t>
      </w:r>
      <w:r>
        <w:rPr>
          <w:rStyle w:val="7"/>
          <w:rFonts w:hint="eastAsia" w:ascii="仿宋_GB2312" w:hAnsi="仿宋_GB2312" w:eastAsia="仿宋_GB2312" w:cs="仿宋_GB2312"/>
          <w:bCs/>
          <w:color w:val="auto"/>
          <w:sz w:val="32"/>
          <w:szCs w:val="32"/>
          <w:highlight w:val="none"/>
        </w:rPr>
        <w:t>原则、</w:t>
      </w:r>
      <w:r>
        <w:rPr>
          <w:rFonts w:hint="eastAsia" w:ascii="仿宋_GB2312" w:hAnsi="仿宋_GB2312" w:eastAsia="仿宋_GB2312" w:cs="仿宋_GB2312"/>
          <w:b/>
          <w:bCs/>
          <w:sz w:val="32"/>
          <w:szCs w:val="32"/>
          <w:lang w:eastAsia="zh-CN"/>
        </w:rPr>
        <w:t>方式、</w:t>
      </w:r>
      <w:r>
        <w:rPr>
          <w:rStyle w:val="7"/>
          <w:rFonts w:hint="eastAsia" w:ascii="仿宋_GB2312" w:hAnsi="仿宋_GB2312" w:eastAsia="仿宋_GB2312" w:cs="仿宋_GB2312"/>
          <w:bCs/>
          <w:color w:val="auto"/>
          <w:sz w:val="32"/>
          <w:szCs w:val="32"/>
          <w:highlight w:val="none"/>
        </w:rPr>
        <w:t>程序</w:t>
      </w:r>
    </w:p>
    <w:p w14:paraId="775576EE">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（一）指标交易原则：公开、公平、公正、诚实、守信。</w:t>
      </w:r>
    </w:p>
    <w:p w14:paraId="3DC26A30">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二）指标交易方式：</w:t>
      </w:r>
      <w:r>
        <w:rPr>
          <w:rFonts w:hint="eastAsia" w:ascii="仿宋_GB2312" w:hAnsi="仿宋_GB2312" w:eastAsia="仿宋_GB2312" w:cs="仿宋_GB2312"/>
          <w:color w:val="auto"/>
          <w:sz w:val="32"/>
          <w:szCs w:val="32"/>
          <w:highlight w:val="none"/>
        </w:rPr>
        <w:t>市政府委托市资规局实施搭建非农建设指标交易平台，具体实施非农建设指标交易，全市所有非农建设</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rPr>
        <w:t>补充耕地指标和城乡建设用地增减挂钩</w:t>
      </w:r>
      <w:r>
        <w:rPr>
          <w:rFonts w:hint="eastAsia" w:ascii="仿宋_GB2312" w:hAnsi="仿宋_GB2312" w:eastAsia="仿宋_GB2312" w:cs="仿宋_GB2312"/>
          <w:color w:val="auto"/>
          <w:sz w:val="32"/>
          <w:szCs w:val="32"/>
          <w:highlight w:val="none"/>
          <w:lang w:eastAsia="zh-CN"/>
        </w:rPr>
        <w:t>节余</w:t>
      </w:r>
      <w:r>
        <w:rPr>
          <w:rFonts w:hint="eastAsia" w:ascii="仿宋_GB2312" w:hAnsi="仿宋_GB2312" w:eastAsia="仿宋_GB2312" w:cs="仿宋_GB2312"/>
          <w:color w:val="auto"/>
          <w:sz w:val="32"/>
          <w:szCs w:val="32"/>
          <w:highlight w:val="none"/>
        </w:rPr>
        <w:t>指标统一纳入非农建设指标交易平台管理。非农建设指标购买方向市资规局申请，经市资规局审核上报市政府批准同意后进行公开交易。市资规局定期开展指标供求分析，分析指标交易情况，拟订非农建设指标交易方案，负责指标管理和指标统筹协调。</w:t>
      </w:r>
    </w:p>
    <w:p w14:paraId="2BE8982E">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）指标交易</w:t>
      </w:r>
      <w:r>
        <w:rPr>
          <w:rFonts w:hint="eastAsia" w:ascii="仿宋_GB2312" w:hAnsi="仿宋_GB2312" w:eastAsia="仿宋_GB2312" w:cs="仿宋_GB2312"/>
          <w:color w:val="auto"/>
          <w:sz w:val="32"/>
          <w:szCs w:val="32"/>
          <w:highlight w:val="none"/>
          <w:lang w:eastAsia="zh-CN"/>
        </w:rPr>
        <w:t>程序</w:t>
      </w:r>
    </w:p>
    <w:p w14:paraId="7010739E">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指标购买方向市资规局递交《补充耕地指标购买申请</w:t>
      </w:r>
      <w:r>
        <w:rPr>
          <w:rFonts w:hint="eastAsia" w:ascii="仿宋_GB2312" w:hAnsi="仿宋_GB2312" w:eastAsia="仿宋_GB2312" w:cs="仿宋_GB2312"/>
          <w:b w:val="0"/>
          <w:bCs w:val="0"/>
          <w:color w:val="auto"/>
          <w:sz w:val="32"/>
          <w:szCs w:val="32"/>
          <w:highlight w:val="none"/>
          <w:lang w:eastAsia="zh-CN"/>
        </w:rPr>
        <w:t>表</w:t>
      </w:r>
      <w:r>
        <w:rPr>
          <w:rFonts w:hint="eastAsia" w:ascii="仿宋_GB2312" w:hAnsi="仿宋_GB2312" w:eastAsia="仿宋_GB2312" w:cs="仿宋_GB2312"/>
          <w:b w:val="0"/>
          <w:bCs w:val="0"/>
          <w:color w:val="auto"/>
          <w:sz w:val="32"/>
          <w:szCs w:val="32"/>
          <w:highlight w:val="none"/>
        </w:rPr>
        <w:t>》或《城乡建设用地增减挂钩</w:t>
      </w:r>
      <w:r>
        <w:rPr>
          <w:rFonts w:hint="eastAsia" w:ascii="仿宋_GB2312" w:hAnsi="仿宋_GB2312" w:eastAsia="仿宋_GB2312" w:cs="仿宋_GB2312"/>
          <w:b w:val="0"/>
          <w:bCs w:val="0"/>
          <w:color w:val="auto"/>
          <w:sz w:val="32"/>
          <w:szCs w:val="32"/>
          <w:highlight w:val="none"/>
          <w:lang w:eastAsia="zh-CN"/>
        </w:rPr>
        <w:t>节余</w:t>
      </w:r>
      <w:r>
        <w:rPr>
          <w:rFonts w:hint="eastAsia" w:ascii="仿宋_GB2312" w:hAnsi="仿宋_GB2312" w:eastAsia="仿宋_GB2312" w:cs="仿宋_GB2312"/>
          <w:b w:val="0"/>
          <w:bCs w:val="0"/>
          <w:color w:val="auto"/>
          <w:sz w:val="32"/>
          <w:szCs w:val="32"/>
          <w:highlight w:val="none"/>
        </w:rPr>
        <w:t>指标购买申请</w:t>
      </w:r>
      <w:r>
        <w:rPr>
          <w:rFonts w:hint="eastAsia" w:ascii="仿宋_GB2312" w:hAnsi="仿宋_GB2312" w:eastAsia="仿宋_GB2312" w:cs="仿宋_GB2312"/>
          <w:b w:val="0"/>
          <w:bCs w:val="0"/>
          <w:color w:val="auto"/>
          <w:sz w:val="32"/>
          <w:szCs w:val="32"/>
          <w:highlight w:val="none"/>
          <w:lang w:eastAsia="zh-CN"/>
        </w:rPr>
        <w:t>表</w:t>
      </w:r>
      <w:r>
        <w:rPr>
          <w:rFonts w:hint="eastAsia" w:ascii="仿宋_GB2312" w:hAnsi="仿宋_GB2312" w:eastAsia="仿宋_GB2312" w:cs="仿宋_GB2312"/>
          <w:b w:val="0"/>
          <w:bCs w:val="0"/>
          <w:color w:val="auto"/>
          <w:sz w:val="32"/>
          <w:szCs w:val="32"/>
          <w:highlight w:val="none"/>
        </w:rPr>
        <w:t>》（详见附件，下同）。</w:t>
      </w:r>
    </w:p>
    <w:p w14:paraId="2F7DD47F">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2.资规局审核后报市政府批准。</w:t>
      </w:r>
    </w:p>
    <w:p w14:paraId="666BDB3F">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3.市政府批准后，</w:t>
      </w:r>
      <w:r>
        <w:rPr>
          <w:rFonts w:hint="eastAsia" w:ascii="仿宋_GB2312" w:hAnsi="仿宋_GB2312" w:eastAsia="仿宋_GB2312" w:cs="仿宋_GB2312"/>
          <w:b w:val="0"/>
          <w:bCs w:val="0"/>
          <w:color w:val="auto"/>
          <w:sz w:val="32"/>
          <w:szCs w:val="32"/>
          <w:highlight w:val="none"/>
        </w:rPr>
        <w:t>市资规局</w:t>
      </w:r>
      <w:r>
        <w:rPr>
          <w:rFonts w:hint="eastAsia" w:ascii="仿宋_GB2312" w:hAnsi="仿宋_GB2312" w:eastAsia="仿宋_GB2312" w:cs="仿宋_GB2312"/>
          <w:b w:val="0"/>
          <w:bCs w:val="0"/>
          <w:color w:val="auto"/>
          <w:sz w:val="32"/>
          <w:szCs w:val="32"/>
          <w:highlight w:val="none"/>
          <w:lang w:eastAsia="zh-CN"/>
        </w:rPr>
        <w:t>通知</w:t>
      </w:r>
      <w:r>
        <w:rPr>
          <w:rFonts w:hint="eastAsia" w:ascii="仿宋_GB2312" w:hAnsi="仿宋_GB2312" w:eastAsia="仿宋_GB2312" w:cs="仿宋_GB2312"/>
          <w:b w:val="0"/>
          <w:bCs w:val="0"/>
          <w:color w:val="auto"/>
          <w:sz w:val="32"/>
          <w:szCs w:val="32"/>
          <w:highlight w:val="none"/>
        </w:rPr>
        <w:t>指标购买方根据指标类型、等级和数量缴纳</w:t>
      </w:r>
      <w:r>
        <w:rPr>
          <w:rFonts w:hint="eastAsia" w:ascii="仿宋_GB2312" w:hAnsi="仿宋_GB2312" w:eastAsia="仿宋_GB2312" w:cs="仿宋_GB2312"/>
          <w:b w:val="0"/>
          <w:bCs w:val="0"/>
          <w:color w:val="auto"/>
          <w:sz w:val="32"/>
          <w:szCs w:val="32"/>
          <w:highlight w:val="none"/>
          <w:lang w:eastAsia="zh-CN"/>
        </w:rPr>
        <w:t>相应</w:t>
      </w:r>
      <w:r>
        <w:rPr>
          <w:rFonts w:hint="eastAsia" w:ascii="仿宋_GB2312" w:hAnsi="仿宋_GB2312" w:eastAsia="仿宋_GB2312" w:cs="仿宋_GB2312"/>
          <w:b w:val="0"/>
          <w:bCs w:val="0"/>
          <w:color w:val="auto"/>
          <w:sz w:val="32"/>
          <w:szCs w:val="32"/>
          <w:highlight w:val="none"/>
        </w:rPr>
        <w:t>资金，</w:t>
      </w:r>
      <w:r>
        <w:rPr>
          <w:rFonts w:hint="eastAsia" w:ascii="仿宋_GB2312" w:hAnsi="仿宋_GB2312" w:eastAsia="仿宋_GB2312" w:cs="仿宋_GB2312"/>
          <w:b w:val="0"/>
          <w:bCs w:val="0"/>
          <w:color w:val="auto"/>
          <w:sz w:val="32"/>
          <w:szCs w:val="32"/>
          <w:highlight w:val="none"/>
          <w:lang w:eastAsia="zh-CN"/>
        </w:rPr>
        <w:t>并</w:t>
      </w:r>
      <w:r>
        <w:rPr>
          <w:rFonts w:hint="eastAsia" w:ascii="仿宋_GB2312" w:hAnsi="仿宋_GB2312" w:eastAsia="仿宋_GB2312" w:cs="仿宋_GB2312"/>
          <w:b w:val="0"/>
          <w:bCs w:val="0"/>
          <w:color w:val="auto"/>
          <w:sz w:val="32"/>
          <w:szCs w:val="32"/>
          <w:highlight w:val="none"/>
        </w:rPr>
        <w:t>出具《补充耕地指标下达通知书》或《城乡建设用地增减挂钩指标下达通知书》。</w:t>
      </w:r>
    </w:p>
    <w:p w14:paraId="7905A46C">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Style w:val="7"/>
          <w:rFonts w:ascii="仿宋_GB2312" w:hAnsi="仿宋_GB2312" w:eastAsia="仿宋_GB2312" w:cs="仿宋_GB2312"/>
          <w:bCs/>
          <w:color w:val="auto"/>
          <w:sz w:val="32"/>
          <w:szCs w:val="32"/>
          <w:highlight w:val="none"/>
        </w:rPr>
      </w:pPr>
      <w:r>
        <w:rPr>
          <w:rStyle w:val="7"/>
          <w:rFonts w:hint="eastAsia" w:ascii="仿宋_GB2312" w:hAnsi="仿宋_GB2312" w:eastAsia="仿宋_GB2312" w:cs="仿宋_GB2312"/>
          <w:bCs/>
          <w:color w:val="auto"/>
          <w:sz w:val="32"/>
          <w:szCs w:val="32"/>
          <w:highlight w:val="none"/>
          <w:lang w:eastAsia="zh-CN"/>
        </w:rPr>
        <w:t>三</w:t>
      </w:r>
      <w:r>
        <w:rPr>
          <w:rStyle w:val="7"/>
          <w:rFonts w:hint="eastAsia" w:ascii="仿宋_GB2312" w:hAnsi="仿宋_GB2312" w:eastAsia="仿宋_GB2312" w:cs="仿宋_GB2312"/>
          <w:bCs/>
          <w:color w:val="auto"/>
          <w:sz w:val="32"/>
          <w:szCs w:val="32"/>
          <w:highlight w:val="none"/>
        </w:rPr>
        <w:t>、指标交易价格标准</w:t>
      </w:r>
    </w:p>
    <w:p w14:paraId="722F09A1">
      <w:pPr>
        <w:pStyle w:val="4"/>
        <w:widowControl/>
        <w:spacing w:beforeAutospacing="0" w:afterAutospacing="0"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（一）使用</w:t>
      </w:r>
      <w:r>
        <w:rPr>
          <w:rFonts w:hint="eastAsia" w:ascii="仿宋_GB2312" w:hAnsi="仿宋_GB2312" w:eastAsia="仿宋_GB2312" w:cs="仿宋_GB2312"/>
          <w:color w:val="auto"/>
          <w:sz w:val="32"/>
          <w:szCs w:val="32"/>
          <w:highlight w:val="none"/>
        </w:rPr>
        <w:t>城乡建设用地增减挂钩</w:t>
      </w:r>
      <w:r>
        <w:rPr>
          <w:rFonts w:hint="eastAsia" w:ascii="仿宋_GB2312" w:hAnsi="仿宋_GB2312" w:eastAsia="仿宋_GB2312" w:cs="仿宋_GB2312"/>
          <w:color w:val="auto"/>
          <w:sz w:val="32"/>
          <w:szCs w:val="32"/>
          <w:highlight w:val="none"/>
          <w:lang w:eastAsia="zh-CN"/>
        </w:rPr>
        <w:t>节余</w:t>
      </w:r>
      <w:r>
        <w:rPr>
          <w:rFonts w:hint="eastAsia" w:ascii="仿宋_GB2312" w:hAnsi="仿宋_GB2312" w:eastAsia="仿宋_GB2312" w:cs="仿宋_GB2312"/>
          <w:color w:val="auto"/>
          <w:sz w:val="32"/>
          <w:szCs w:val="32"/>
          <w:highlight w:val="none"/>
        </w:rPr>
        <w:t>指标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参照省级增减挂钩指标交易指导价，按100万元/亩标准收取（含空间指标）。</w:t>
      </w:r>
    </w:p>
    <w:p w14:paraId="514314D2">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rPr>
        <w:t>补充耕地指标</w:t>
      </w:r>
      <w:r>
        <w:rPr>
          <w:rFonts w:hint="eastAsia" w:ascii="仿宋_GB2312" w:hAnsi="仿宋_GB2312" w:eastAsia="仿宋_GB2312" w:cs="仿宋_GB2312"/>
          <w:color w:val="auto"/>
          <w:sz w:val="32"/>
          <w:szCs w:val="32"/>
          <w:highlight w:val="none"/>
          <w:lang w:eastAsia="zh-CN"/>
        </w:rPr>
        <w:t>，交易指导价</w:t>
      </w:r>
      <w:r>
        <w:rPr>
          <w:rFonts w:hint="eastAsia" w:ascii="仿宋_GB2312" w:hAnsi="仿宋_GB2312" w:eastAsia="仿宋_GB2312" w:cs="仿宋_GB2312"/>
          <w:color w:val="auto"/>
          <w:sz w:val="32"/>
          <w:szCs w:val="32"/>
          <w:highlight w:val="none"/>
        </w:rPr>
        <w:t>按耕地等级确定，</w:t>
      </w:r>
      <w:r>
        <w:rPr>
          <w:rFonts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t>等水田</w:t>
      </w:r>
      <w:r>
        <w:rPr>
          <w:rFonts w:ascii="仿宋_GB2312" w:hAnsi="仿宋_GB2312" w:eastAsia="仿宋_GB2312" w:cs="仿宋_GB2312"/>
          <w:color w:val="auto"/>
          <w:sz w:val="32"/>
          <w:szCs w:val="32"/>
          <w:highlight w:val="none"/>
        </w:rPr>
        <w:t>40</w:t>
      </w:r>
      <w:r>
        <w:rPr>
          <w:rFonts w:hint="eastAsia" w:ascii="仿宋_GB2312" w:hAnsi="仿宋_GB2312" w:eastAsia="仿宋_GB2312" w:cs="仿宋_GB2312"/>
          <w:color w:val="auto"/>
          <w:sz w:val="32"/>
          <w:szCs w:val="32"/>
          <w:highlight w:val="none"/>
        </w:rPr>
        <w:t>万元/亩，每增加或减少1等加或减5万；</w:t>
      </w:r>
      <w:r>
        <w:rPr>
          <w:rFonts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t>等旱地20万元/亩，每增加或减少1等加或减5万；其他地类参照</w:t>
      </w:r>
      <w:r>
        <w:rPr>
          <w:rFonts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t>等旱地标准收取。</w:t>
      </w:r>
      <w:r>
        <w:rPr>
          <w:rFonts w:hint="eastAsia" w:ascii="仿宋_GB2312" w:hAnsi="仿宋_GB2312" w:eastAsia="仿宋_GB2312" w:cs="仿宋_GB2312"/>
          <w:color w:val="auto"/>
          <w:sz w:val="32"/>
          <w:szCs w:val="32"/>
          <w:highlight w:val="none"/>
          <w:lang w:eastAsia="zh-CN"/>
        </w:rPr>
        <w:t>根据项目类型可按下列标准收取。</w:t>
      </w:r>
    </w:p>
    <w:p w14:paraId="4E0BDF96">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1.非营利性的交通、文旅、教育、卫生、养老、军事用地等公建、公益类用地涉及占用的按补充耕地指标</w:t>
      </w:r>
      <w:r>
        <w:rPr>
          <w:rFonts w:hint="eastAsia" w:ascii="仿宋_GB2312" w:hAnsi="仿宋_GB2312" w:eastAsia="仿宋_GB2312" w:cs="仿宋_GB2312"/>
          <w:color w:val="auto"/>
          <w:sz w:val="32"/>
          <w:szCs w:val="32"/>
          <w:highlight w:val="none"/>
          <w:lang w:eastAsia="zh-CN"/>
        </w:rPr>
        <w:t>交易指导价</w:t>
      </w:r>
      <w:r>
        <w:rPr>
          <w:rFonts w:hint="eastAsia" w:ascii="仿宋_GB2312" w:hAnsi="仿宋_GB2312" w:eastAsia="仿宋_GB2312" w:cs="仿宋_GB2312"/>
          <w:color w:val="auto"/>
          <w:sz w:val="32"/>
          <w:szCs w:val="32"/>
          <w:highlight w:val="none"/>
        </w:rPr>
        <w:t>的50%收取；</w:t>
      </w:r>
    </w:p>
    <w:p w14:paraId="606E2028">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2.营利性的商业住宅、交通、教育、卫生、养老用地涉及占用的按补充耕地指标</w:t>
      </w:r>
      <w:r>
        <w:rPr>
          <w:rFonts w:hint="eastAsia" w:ascii="仿宋_GB2312" w:hAnsi="仿宋_GB2312" w:eastAsia="仿宋_GB2312" w:cs="仿宋_GB2312"/>
          <w:color w:val="auto"/>
          <w:sz w:val="32"/>
          <w:szCs w:val="32"/>
          <w:highlight w:val="none"/>
          <w:lang w:eastAsia="zh-CN"/>
        </w:rPr>
        <w:t>交易指导价</w:t>
      </w:r>
      <w:r>
        <w:rPr>
          <w:rFonts w:hint="eastAsia" w:ascii="仿宋_GB2312" w:hAnsi="仿宋_GB2312" w:eastAsia="仿宋_GB2312" w:cs="仿宋_GB2312"/>
          <w:color w:val="auto"/>
          <w:sz w:val="32"/>
          <w:szCs w:val="32"/>
          <w:highlight w:val="none"/>
        </w:rPr>
        <w:t>的100%收取；</w:t>
      </w:r>
    </w:p>
    <w:p w14:paraId="18ECC918">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3.保障安置房、农户建房、省重大产业项目用地及工业用地涉及占用的按补充耕地指标</w:t>
      </w:r>
      <w:r>
        <w:rPr>
          <w:rFonts w:hint="eastAsia" w:ascii="仿宋_GB2312" w:hAnsi="仿宋_GB2312" w:eastAsia="仿宋_GB2312" w:cs="仿宋_GB2312"/>
          <w:color w:val="auto"/>
          <w:sz w:val="32"/>
          <w:szCs w:val="32"/>
          <w:highlight w:val="none"/>
          <w:lang w:eastAsia="zh-CN"/>
        </w:rPr>
        <w:t>交易指导价</w:t>
      </w:r>
      <w:r>
        <w:rPr>
          <w:rFonts w:hint="eastAsia" w:ascii="仿宋_GB2312" w:hAnsi="仿宋_GB2312" w:eastAsia="仿宋_GB2312" w:cs="仿宋_GB2312"/>
          <w:color w:val="auto"/>
          <w:sz w:val="32"/>
          <w:szCs w:val="32"/>
          <w:highlight w:val="none"/>
        </w:rPr>
        <w:t>的25%收取</w:t>
      </w:r>
      <w:r>
        <w:rPr>
          <w:rFonts w:hint="eastAsia" w:ascii="仿宋_GB2312" w:hAnsi="仿宋_GB2312" w:eastAsia="仿宋_GB2312" w:cs="仿宋_GB2312"/>
          <w:color w:val="auto"/>
          <w:sz w:val="32"/>
          <w:szCs w:val="32"/>
          <w:highlight w:val="none"/>
          <w:lang w:eastAsia="zh-CN"/>
        </w:rPr>
        <w:t>。</w:t>
      </w:r>
    </w:p>
    <w:p w14:paraId="62AE9C0F">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_GB2312" w:hAnsi="仿宋_GB2312" w:eastAsia="仿宋_GB2312" w:cs="仿宋_GB2312"/>
          <w:color w:val="auto"/>
          <w:sz w:val="32"/>
          <w:szCs w:val="32"/>
          <w:highlight w:val="none"/>
        </w:rPr>
      </w:pPr>
      <w:r>
        <w:rPr>
          <w:rStyle w:val="7"/>
          <w:rFonts w:hint="eastAsia" w:ascii="仿宋_GB2312" w:hAnsi="仿宋_GB2312" w:eastAsia="仿宋_GB2312" w:cs="仿宋_GB2312"/>
          <w:bCs/>
          <w:color w:val="auto"/>
          <w:sz w:val="32"/>
          <w:szCs w:val="32"/>
          <w:highlight w:val="none"/>
        </w:rPr>
        <w:t>四、附则</w:t>
      </w:r>
    </w:p>
    <w:p w14:paraId="6467B410">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（一）本办法所称非农建设指标购买方是指各镇乡人民政府、街道办事处、经济开发区、高新区以及在兰溪市行政区域内的单独选址建设项目和其它建设项目的业主单位。</w:t>
      </w:r>
    </w:p>
    <w:p w14:paraId="5221B2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）指标购买方持有的《补充耕地指标下达通知书》或《城乡建设用地增减挂钩指标下达通知书》载明的指标数量在一年内未使用完的，市资规局不再与其进行新的指标交易。</w:t>
      </w:r>
    </w:p>
    <w:p w14:paraId="3BE4DB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）重点建设项目、廉租房等保障性住房项目需要使用非农建设指标的，经市政府同意，可采取一事一议的办法，由市资规局、市财政局和市国资办共同研究方案上报市政府批准。</w:t>
      </w:r>
    </w:p>
    <w:p w14:paraId="777166C8">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）本办法自发文之日起试行。</w:t>
      </w:r>
    </w:p>
    <w:p w14:paraId="589A4B79">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highlight w:val="none"/>
        </w:rPr>
      </w:pPr>
    </w:p>
    <w:p w14:paraId="00082A6F">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1.补充耕地指标购买申请</w:t>
      </w:r>
      <w:r>
        <w:rPr>
          <w:rFonts w:hint="eastAsia" w:ascii="仿宋_GB2312" w:hAnsi="仿宋_GB2312" w:eastAsia="仿宋_GB2312" w:cs="仿宋_GB2312"/>
          <w:color w:val="auto"/>
          <w:sz w:val="32"/>
          <w:szCs w:val="32"/>
          <w:highlight w:val="none"/>
          <w:lang w:eastAsia="zh-CN"/>
        </w:rPr>
        <w:t>表</w:t>
      </w:r>
    </w:p>
    <w:p w14:paraId="55511F0D">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960" w:firstLineChars="3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补充耕地指标缴款通知书</w:t>
      </w:r>
    </w:p>
    <w:p w14:paraId="374A1554">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960" w:firstLineChars="3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补充耕地指标下达通知书</w:t>
      </w:r>
    </w:p>
    <w:p w14:paraId="6428C4DC">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960" w:firstLineChars="3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城乡建设用地增减挂钩</w:t>
      </w:r>
      <w:r>
        <w:rPr>
          <w:rFonts w:hint="eastAsia" w:ascii="仿宋_GB2312" w:hAnsi="仿宋_GB2312" w:eastAsia="仿宋_GB2312" w:cs="仿宋_GB2312"/>
          <w:color w:val="auto"/>
          <w:sz w:val="32"/>
          <w:szCs w:val="32"/>
          <w:highlight w:val="none"/>
          <w:lang w:eastAsia="zh-CN"/>
        </w:rPr>
        <w:t>节余</w:t>
      </w:r>
      <w:r>
        <w:rPr>
          <w:rFonts w:hint="eastAsia" w:ascii="仿宋_GB2312" w:hAnsi="仿宋_GB2312" w:eastAsia="仿宋_GB2312" w:cs="仿宋_GB2312"/>
          <w:color w:val="auto"/>
          <w:sz w:val="32"/>
          <w:szCs w:val="32"/>
          <w:highlight w:val="none"/>
        </w:rPr>
        <w:t>指标购买申请</w:t>
      </w:r>
      <w:r>
        <w:rPr>
          <w:rFonts w:hint="eastAsia" w:ascii="仿宋_GB2312" w:hAnsi="仿宋_GB2312" w:eastAsia="仿宋_GB2312" w:cs="仿宋_GB2312"/>
          <w:color w:val="auto"/>
          <w:sz w:val="32"/>
          <w:szCs w:val="32"/>
          <w:highlight w:val="none"/>
          <w:lang w:eastAsia="zh-CN"/>
        </w:rPr>
        <w:t>表</w:t>
      </w:r>
    </w:p>
    <w:p w14:paraId="0F027B86">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960" w:firstLineChars="3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城乡建设用地增减挂钩</w:t>
      </w:r>
      <w:r>
        <w:rPr>
          <w:rFonts w:hint="eastAsia" w:ascii="仿宋_GB2312" w:hAnsi="仿宋_GB2312" w:eastAsia="仿宋_GB2312" w:cs="仿宋_GB2312"/>
          <w:color w:val="auto"/>
          <w:sz w:val="32"/>
          <w:szCs w:val="32"/>
          <w:highlight w:val="none"/>
          <w:lang w:eastAsia="zh-CN"/>
        </w:rPr>
        <w:t>节余</w:t>
      </w:r>
      <w:r>
        <w:rPr>
          <w:rFonts w:hint="eastAsia" w:ascii="仿宋_GB2312" w:hAnsi="仿宋_GB2312" w:eastAsia="仿宋_GB2312" w:cs="仿宋_GB2312"/>
          <w:color w:val="auto"/>
          <w:sz w:val="32"/>
          <w:szCs w:val="32"/>
          <w:highlight w:val="none"/>
        </w:rPr>
        <w:t>指标</w:t>
      </w:r>
      <w:r>
        <w:rPr>
          <w:rFonts w:hint="eastAsia" w:ascii="仿宋_GB2312" w:hAnsi="仿宋_GB2312" w:eastAsia="仿宋_GB2312" w:cs="仿宋_GB2312"/>
          <w:color w:val="auto"/>
          <w:sz w:val="32"/>
          <w:szCs w:val="32"/>
          <w:highlight w:val="none"/>
          <w:lang w:eastAsia="zh-CN"/>
        </w:rPr>
        <w:t>缴款通知书</w:t>
      </w:r>
    </w:p>
    <w:p w14:paraId="06C9E8B2">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.城乡建设用地增减挂钩</w:t>
      </w:r>
      <w:r>
        <w:rPr>
          <w:rFonts w:hint="eastAsia" w:ascii="仿宋_GB2312" w:hAnsi="仿宋_GB2312" w:eastAsia="仿宋_GB2312" w:cs="仿宋_GB2312"/>
          <w:color w:val="auto"/>
          <w:sz w:val="32"/>
          <w:szCs w:val="32"/>
          <w:highlight w:val="none"/>
          <w:lang w:eastAsia="zh-CN"/>
        </w:rPr>
        <w:t>节余</w:t>
      </w:r>
      <w:r>
        <w:rPr>
          <w:rFonts w:hint="eastAsia" w:ascii="仿宋_GB2312" w:hAnsi="仿宋_GB2312" w:eastAsia="仿宋_GB2312" w:cs="仿宋_GB2312"/>
          <w:color w:val="auto"/>
          <w:sz w:val="32"/>
          <w:szCs w:val="32"/>
          <w:highlight w:val="none"/>
        </w:rPr>
        <w:t>指标下达通知书</w:t>
      </w:r>
    </w:p>
    <w:p w14:paraId="60B0AC34">
      <w:pPr>
        <w:widowControl/>
        <w:spacing w:line="520" w:lineRule="exact"/>
        <w:ind w:right="-624" w:rightChars="-297"/>
        <w:jc w:val="both"/>
        <w:rPr>
          <w:rFonts w:hint="eastAsia" w:ascii="仿宋_GB2312" w:hAnsi="仿宋_GB2312" w:eastAsia="仿宋_GB2312" w:cs="仿宋_GB2312"/>
          <w:color w:val="FF0000"/>
          <w:sz w:val="32"/>
          <w:szCs w:val="32"/>
        </w:rPr>
      </w:pPr>
    </w:p>
    <w:p w14:paraId="1F92E167">
      <w:pPr>
        <w:widowControl/>
        <w:spacing w:line="520" w:lineRule="exact"/>
        <w:ind w:right="-624" w:rightChars="-297"/>
        <w:jc w:val="both"/>
        <w:rPr>
          <w:rFonts w:hint="eastAsia" w:ascii="仿宋_GB2312" w:hAnsi="仿宋_GB2312" w:eastAsia="仿宋_GB2312" w:cs="仿宋_GB2312"/>
          <w:color w:val="FF0000"/>
          <w:sz w:val="32"/>
          <w:szCs w:val="32"/>
        </w:rPr>
      </w:pPr>
    </w:p>
    <w:p w14:paraId="27F93100">
      <w:pPr>
        <w:widowControl/>
        <w:spacing w:line="520" w:lineRule="exact"/>
        <w:ind w:right="-624" w:rightChars="-297"/>
        <w:jc w:val="both"/>
        <w:rPr>
          <w:rFonts w:hint="eastAsia" w:ascii="仿宋_GB2312" w:hAnsi="仿宋_GB2312" w:eastAsia="仿宋_GB2312" w:cs="仿宋_GB2312"/>
          <w:color w:val="FF0000"/>
          <w:sz w:val="32"/>
          <w:szCs w:val="32"/>
        </w:rPr>
      </w:pPr>
    </w:p>
    <w:p w14:paraId="347AEE61">
      <w:pPr>
        <w:widowControl/>
        <w:spacing w:line="520" w:lineRule="exact"/>
        <w:ind w:right="-624" w:rightChars="-29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1</w:t>
      </w:r>
    </w:p>
    <w:p w14:paraId="325DD2D0">
      <w:pPr>
        <w:widowControl/>
        <w:spacing w:line="520" w:lineRule="exact"/>
        <w:ind w:right="-624" w:rightChars="-297" w:firstLine="360" w:firstLineChars="100"/>
        <w:jc w:val="center"/>
        <w:rPr>
          <w:rFonts w:eastAsia="方正小标宋简体"/>
          <w:color w:val="auto"/>
          <w:kern w:val="0"/>
          <w:sz w:val="36"/>
          <w:szCs w:val="36"/>
        </w:rPr>
      </w:pPr>
      <w:r>
        <w:rPr>
          <w:rFonts w:hint="eastAsia" w:eastAsia="方正小标宋简体"/>
          <w:color w:val="auto"/>
          <w:kern w:val="0"/>
          <w:sz w:val="36"/>
          <w:szCs w:val="36"/>
          <w:lang w:eastAsia="zh-CN"/>
        </w:rPr>
        <w:t>补充耕地指标购买申请</w:t>
      </w:r>
      <w:r>
        <w:rPr>
          <w:rFonts w:eastAsia="方正小标宋简体"/>
          <w:color w:val="auto"/>
          <w:kern w:val="0"/>
          <w:sz w:val="36"/>
          <w:szCs w:val="36"/>
        </w:rPr>
        <w:t>表</w:t>
      </w:r>
    </w:p>
    <w:p w14:paraId="6E6C06D6">
      <w:pPr>
        <w:widowControl/>
        <w:spacing w:line="400" w:lineRule="exact"/>
        <w:ind w:firstLine="880"/>
        <w:jc w:val="center"/>
        <w:rPr>
          <w:rFonts w:eastAsia="方正小标宋简体"/>
          <w:color w:val="auto"/>
          <w:kern w:val="0"/>
          <w:sz w:val="36"/>
          <w:szCs w:val="36"/>
        </w:rPr>
      </w:pPr>
    </w:p>
    <w:p w14:paraId="221D23E3">
      <w:pPr>
        <w:widowControl/>
        <w:spacing w:line="380" w:lineRule="exact"/>
        <w:ind w:right="-764" w:rightChars="-364"/>
        <w:rPr>
          <w:rFonts w:hint="eastAsia" w:eastAsia="楷体_GB2312"/>
          <w:color w:val="auto"/>
          <w:kern w:val="0"/>
          <w:sz w:val="28"/>
          <w:szCs w:val="28"/>
          <w:lang w:eastAsia="zh-CN"/>
        </w:rPr>
      </w:pPr>
      <w:r>
        <w:rPr>
          <w:rFonts w:eastAsia="楷体_GB2312"/>
          <w:color w:val="auto"/>
          <w:kern w:val="0"/>
          <w:sz w:val="28"/>
          <w:szCs w:val="28"/>
        </w:rPr>
        <w:t xml:space="preserve">          </w:t>
      </w:r>
      <w:r>
        <w:rPr>
          <w:rFonts w:eastAsia="楷体_GB2312"/>
          <w:color w:val="auto"/>
          <w:kern w:val="0"/>
          <w:sz w:val="28"/>
          <w:szCs w:val="28"/>
        </w:rPr>
        <w:tab/>
      </w:r>
      <w:r>
        <w:rPr>
          <w:rFonts w:eastAsia="楷体_GB2312"/>
          <w:color w:val="auto"/>
          <w:kern w:val="0"/>
          <w:sz w:val="28"/>
          <w:szCs w:val="28"/>
        </w:rPr>
        <w:tab/>
      </w:r>
      <w:r>
        <w:rPr>
          <w:rFonts w:eastAsia="楷体_GB2312"/>
          <w:color w:val="auto"/>
          <w:kern w:val="0"/>
          <w:sz w:val="28"/>
          <w:szCs w:val="28"/>
        </w:rPr>
        <w:t xml:space="preserve">     </w:t>
      </w:r>
      <w:r>
        <w:rPr>
          <w:rFonts w:hint="eastAsia" w:eastAsia="楷体_GB2312"/>
          <w:color w:val="auto"/>
          <w:kern w:val="0"/>
          <w:sz w:val="28"/>
          <w:szCs w:val="28"/>
          <w:lang w:val="en-US" w:eastAsia="zh-CN"/>
        </w:rPr>
        <w:t xml:space="preserve">                        20   </w:t>
      </w:r>
      <w:r>
        <w:rPr>
          <w:rFonts w:hint="eastAsia" w:eastAsia="楷体_GB2312"/>
          <w:color w:val="auto"/>
          <w:kern w:val="0"/>
          <w:sz w:val="28"/>
          <w:szCs w:val="28"/>
          <w:lang w:eastAsia="zh-CN"/>
        </w:rPr>
        <w:t>年</w:t>
      </w:r>
      <w:r>
        <w:rPr>
          <w:rFonts w:hint="eastAsia" w:eastAsia="楷体_GB2312"/>
          <w:color w:val="auto"/>
          <w:kern w:val="0"/>
          <w:sz w:val="28"/>
          <w:szCs w:val="28"/>
          <w:lang w:val="en-US" w:eastAsia="zh-CN"/>
        </w:rPr>
        <w:t xml:space="preserve">    </w:t>
      </w:r>
      <w:r>
        <w:rPr>
          <w:rFonts w:hint="eastAsia" w:eastAsia="楷体_GB2312"/>
          <w:color w:val="auto"/>
          <w:kern w:val="0"/>
          <w:sz w:val="28"/>
          <w:szCs w:val="28"/>
          <w:lang w:eastAsia="zh-CN"/>
        </w:rPr>
        <w:t>月</w:t>
      </w:r>
      <w:r>
        <w:rPr>
          <w:rFonts w:hint="eastAsia" w:eastAsia="楷体_GB2312"/>
          <w:color w:val="auto"/>
          <w:kern w:val="0"/>
          <w:sz w:val="28"/>
          <w:szCs w:val="28"/>
          <w:lang w:val="en-US" w:eastAsia="zh-CN"/>
        </w:rPr>
        <w:t xml:space="preserve">    </w:t>
      </w:r>
      <w:r>
        <w:rPr>
          <w:rFonts w:hint="eastAsia" w:eastAsia="楷体_GB2312"/>
          <w:color w:val="auto"/>
          <w:kern w:val="0"/>
          <w:sz w:val="28"/>
          <w:szCs w:val="28"/>
          <w:lang w:eastAsia="zh-CN"/>
        </w:rPr>
        <w:t>日</w:t>
      </w:r>
    </w:p>
    <w:tbl>
      <w:tblPr>
        <w:tblStyle w:val="5"/>
        <w:tblW w:w="0" w:type="auto"/>
        <w:jc w:val="center"/>
        <w:tblLayout w:type="fixed"/>
        <w:tblCellMar>
          <w:top w:w="0" w:type="dxa"/>
          <w:left w:w="28" w:type="dxa"/>
          <w:bottom w:w="0" w:type="dxa"/>
          <w:right w:w="28" w:type="dxa"/>
        </w:tblCellMar>
      </w:tblPr>
      <w:tblGrid>
        <w:gridCol w:w="1649"/>
        <w:gridCol w:w="1095"/>
        <w:gridCol w:w="2505"/>
        <w:gridCol w:w="1500"/>
        <w:gridCol w:w="1125"/>
        <w:gridCol w:w="1603"/>
      </w:tblGrid>
      <w:tr w14:paraId="1715491B">
        <w:tblPrEx>
          <w:tblCellMar>
            <w:top w:w="0" w:type="dxa"/>
            <w:left w:w="28" w:type="dxa"/>
            <w:bottom w:w="0" w:type="dxa"/>
            <w:right w:w="28" w:type="dxa"/>
          </w:tblCellMar>
        </w:tblPrEx>
        <w:trPr>
          <w:trHeight w:val="1052" w:hRule="atLeast"/>
          <w:jc w:val="center"/>
        </w:trPr>
        <w:tc>
          <w:tcPr>
            <w:tcW w:w="1649" w:type="dxa"/>
            <w:vMerge w:val="restart"/>
            <w:tcBorders>
              <w:top w:val="single" w:color="auto" w:sz="12" w:space="0"/>
              <w:left w:val="single" w:color="auto" w:sz="12" w:space="0"/>
              <w:right w:val="single" w:color="auto" w:sz="6" w:space="0"/>
            </w:tcBorders>
            <w:noWrap w:val="0"/>
            <w:vAlign w:val="center"/>
          </w:tcPr>
          <w:p w14:paraId="6477A166">
            <w:pPr>
              <w:widowControl/>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申请单位</w:t>
            </w:r>
          </w:p>
          <w:p w14:paraId="2D5A42D3">
            <w:pPr>
              <w:widowControl/>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（盖章）</w:t>
            </w:r>
          </w:p>
        </w:tc>
        <w:tc>
          <w:tcPr>
            <w:tcW w:w="3600" w:type="dxa"/>
            <w:gridSpan w:val="2"/>
            <w:tcBorders>
              <w:top w:val="single" w:color="auto" w:sz="12" w:space="0"/>
              <w:left w:val="single" w:color="auto" w:sz="6" w:space="0"/>
              <w:bottom w:val="single" w:color="auto" w:sz="6" w:space="0"/>
              <w:right w:val="single" w:color="auto" w:sz="4" w:space="0"/>
            </w:tcBorders>
            <w:noWrap w:val="0"/>
            <w:vAlign w:val="center"/>
          </w:tcPr>
          <w:p w14:paraId="2D073AFB">
            <w:pPr>
              <w:spacing w:line="320" w:lineRule="exact"/>
              <w:jc w:val="center"/>
              <w:rPr>
                <w:rFonts w:hint="eastAsia" w:ascii="宋体" w:hAnsi="宋体" w:eastAsia="宋体" w:cs="宋体"/>
                <w:color w:val="auto"/>
                <w:kern w:val="0"/>
                <w:sz w:val="28"/>
                <w:szCs w:val="28"/>
                <w:lang w:eastAsia="zh-CN"/>
              </w:rPr>
            </w:pPr>
          </w:p>
        </w:tc>
        <w:tc>
          <w:tcPr>
            <w:tcW w:w="1500" w:type="dxa"/>
            <w:tcBorders>
              <w:top w:val="single" w:color="auto" w:sz="12" w:space="0"/>
              <w:left w:val="single" w:color="auto" w:sz="4" w:space="0"/>
              <w:bottom w:val="single" w:color="auto" w:sz="6" w:space="0"/>
              <w:right w:val="single" w:color="auto" w:sz="4" w:space="0"/>
            </w:tcBorders>
            <w:noWrap w:val="0"/>
            <w:vAlign w:val="center"/>
          </w:tcPr>
          <w:p w14:paraId="0D05C077">
            <w:pPr>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地址</w:t>
            </w:r>
          </w:p>
        </w:tc>
        <w:tc>
          <w:tcPr>
            <w:tcW w:w="2728" w:type="dxa"/>
            <w:gridSpan w:val="2"/>
            <w:tcBorders>
              <w:top w:val="single" w:color="auto" w:sz="12" w:space="0"/>
              <w:left w:val="single" w:color="auto" w:sz="4" w:space="0"/>
              <w:bottom w:val="single" w:color="auto" w:sz="6" w:space="0"/>
              <w:right w:val="single" w:color="auto" w:sz="12" w:space="0"/>
            </w:tcBorders>
            <w:noWrap w:val="0"/>
            <w:vAlign w:val="center"/>
          </w:tcPr>
          <w:p w14:paraId="6E575FBB">
            <w:pPr>
              <w:spacing w:line="320" w:lineRule="exact"/>
              <w:jc w:val="center"/>
              <w:rPr>
                <w:rFonts w:hint="eastAsia" w:ascii="宋体" w:hAnsi="宋体" w:eastAsia="宋体" w:cs="宋体"/>
                <w:color w:val="auto"/>
                <w:kern w:val="0"/>
                <w:sz w:val="28"/>
                <w:szCs w:val="28"/>
                <w:lang w:eastAsia="zh-CN"/>
              </w:rPr>
            </w:pPr>
          </w:p>
        </w:tc>
      </w:tr>
      <w:tr w14:paraId="25822DA2">
        <w:tblPrEx>
          <w:tblCellMar>
            <w:top w:w="0" w:type="dxa"/>
            <w:left w:w="28" w:type="dxa"/>
            <w:bottom w:w="0" w:type="dxa"/>
            <w:right w:w="28" w:type="dxa"/>
          </w:tblCellMar>
        </w:tblPrEx>
        <w:trPr>
          <w:trHeight w:val="857" w:hRule="atLeast"/>
          <w:jc w:val="center"/>
        </w:trPr>
        <w:tc>
          <w:tcPr>
            <w:tcW w:w="1649" w:type="dxa"/>
            <w:vMerge w:val="continue"/>
            <w:tcBorders>
              <w:left w:val="single" w:color="auto" w:sz="12" w:space="0"/>
              <w:bottom w:val="single" w:color="auto" w:sz="6" w:space="0"/>
              <w:right w:val="single" w:color="auto" w:sz="6" w:space="0"/>
            </w:tcBorders>
            <w:noWrap w:val="0"/>
            <w:vAlign w:val="center"/>
          </w:tcPr>
          <w:p w14:paraId="3F7B064F">
            <w:pPr>
              <w:spacing w:line="320" w:lineRule="exact"/>
              <w:jc w:val="center"/>
              <w:rPr>
                <w:rFonts w:hint="eastAsia" w:ascii="宋体" w:hAnsi="宋体" w:eastAsia="宋体" w:cs="宋体"/>
                <w:color w:val="auto"/>
                <w:sz w:val="28"/>
                <w:szCs w:val="28"/>
              </w:rPr>
            </w:pPr>
          </w:p>
        </w:tc>
        <w:tc>
          <w:tcPr>
            <w:tcW w:w="1095" w:type="dxa"/>
            <w:tcBorders>
              <w:top w:val="single" w:color="auto" w:sz="12" w:space="0"/>
              <w:left w:val="single" w:color="auto" w:sz="6" w:space="0"/>
              <w:bottom w:val="single" w:color="auto" w:sz="6" w:space="0"/>
              <w:right w:val="single" w:color="auto" w:sz="4" w:space="0"/>
            </w:tcBorders>
            <w:noWrap w:val="0"/>
            <w:vAlign w:val="center"/>
          </w:tcPr>
          <w:p w14:paraId="66B63A59">
            <w:pPr>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法人</w:t>
            </w:r>
          </w:p>
        </w:tc>
        <w:tc>
          <w:tcPr>
            <w:tcW w:w="2505" w:type="dxa"/>
            <w:tcBorders>
              <w:top w:val="single" w:color="auto" w:sz="12" w:space="0"/>
              <w:left w:val="single" w:color="auto" w:sz="4" w:space="0"/>
              <w:bottom w:val="single" w:color="auto" w:sz="6" w:space="0"/>
              <w:right w:val="single" w:color="auto" w:sz="4" w:space="0"/>
            </w:tcBorders>
            <w:noWrap w:val="0"/>
            <w:vAlign w:val="center"/>
          </w:tcPr>
          <w:p w14:paraId="1824E15F">
            <w:pPr>
              <w:spacing w:line="320" w:lineRule="exact"/>
              <w:jc w:val="center"/>
              <w:rPr>
                <w:rFonts w:hint="eastAsia" w:ascii="宋体" w:hAnsi="宋体" w:eastAsia="宋体" w:cs="宋体"/>
                <w:color w:val="auto"/>
                <w:kern w:val="0"/>
                <w:sz w:val="28"/>
                <w:szCs w:val="28"/>
                <w:lang w:eastAsia="zh-CN"/>
              </w:rPr>
            </w:pPr>
          </w:p>
        </w:tc>
        <w:tc>
          <w:tcPr>
            <w:tcW w:w="1500" w:type="dxa"/>
            <w:tcBorders>
              <w:top w:val="single" w:color="auto" w:sz="12" w:space="0"/>
              <w:left w:val="single" w:color="auto" w:sz="4" w:space="0"/>
              <w:bottom w:val="single" w:color="auto" w:sz="6" w:space="0"/>
              <w:right w:val="single" w:color="auto" w:sz="4" w:space="0"/>
            </w:tcBorders>
            <w:noWrap w:val="0"/>
            <w:vAlign w:val="center"/>
          </w:tcPr>
          <w:p w14:paraId="04B80BB3">
            <w:pPr>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联系电话</w:t>
            </w:r>
          </w:p>
        </w:tc>
        <w:tc>
          <w:tcPr>
            <w:tcW w:w="2728" w:type="dxa"/>
            <w:gridSpan w:val="2"/>
            <w:tcBorders>
              <w:top w:val="single" w:color="auto" w:sz="12" w:space="0"/>
              <w:left w:val="single" w:color="auto" w:sz="4" w:space="0"/>
              <w:bottom w:val="single" w:color="auto" w:sz="6" w:space="0"/>
              <w:right w:val="single" w:color="auto" w:sz="12" w:space="0"/>
            </w:tcBorders>
            <w:noWrap w:val="0"/>
            <w:vAlign w:val="center"/>
          </w:tcPr>
          <w:p w14:paraId="6D85B3DF">
            <w:pPr>
              <w:spacing w:line="320" w:lineRule="exact"/>
              <w:jc w:val="center"/>
              <w:rPr>
                <w:rFonts w:hint="eastAsia" w:ascii="宋体" w:hAnsi="宋体" w:eastAsia="宋体" w:cs="宋体"/>
                <w:color w:val="auto"/>
                <w:kern w:val="0"/>
                <w:sz w:val="28"/>
                <w:szCs w:val="28"/>
                <w:lang w:eastAsia="zh-CN"/>
              </w:rPr>
            </w:pPr>
          </w:p>
        </w:tc>
      </w:tr>
      <w:tr w14:paraId="1C930139">
        <w:tblPrEx>
          <w:tblCellMar>
            <w:top w:w="0" w:type="dxa"/>
            <w:left w:w="28" w:type="dxa"/>
            <w:bottom w:w="0" w:type="dxa"/>
            <w:right w:w="28" w:type="dxa"/>
          </w:tblCellMar>
        </w:tblPrEx>
        <w:trPr>
          <w:trHeight w:val="809" w:hRule="atLeast"/>
          <w:jc w:val="center"/>
        </w:trPr>
        <w:tc>
          <w:tcPr>
            <w:tcW w:w="1649" w:type="dxa"/>
            <w:tcBorders>
              <w:top w:val="single" w:color="auto" w:sz="6" w:space="0"/>
              <w:left w:val="single" w:color="auto" w:sz="12" w:space="0"/>
              <w:bottom w:val="single" w:color="auto" w:sz="6" w:space="0"/>
              <w:right w:val="single" w:color="auto" w:sz="6" w:space="0"/>
            </w:tcBorders>
            <w:noWrap w:val="0"/>
            <w:vAlign w:val="center"/>
          </w:tcPr>
          <w:p w14:paraId="7AB1F32A">
            <w:pPr>
              <w:widowControl/>
              <w:spacing w:line="320" w:lineRule="exact"/>
              <w:jc w:val="center"/>
              <w:rPr>
                <w:rFonts w:hint="eastAsia" w:ascii="宋体" w:hAnsi="宋体" w:eastAsia="宋体" w:cs="宋体"/>
                <w:color w:val="auto"/>
                <w:sz w:val="28"/>
                <w:szCs w:val="28"/>
              </w:rPr>
            </w:pPr>
          </w:p>
          <w:p w14:paraId="66930E2C">
            <w:pPr>
              <w:pStyle w:val="2"/>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项目名称</w:t>
            </w:r>
          </w:p>
        </w:tc>
        <w:tc>
          <w:tcPr>
            <w:tcW w:w="3600" w:type="dxa"/>
            <w:gridSpan w:val="2"/>
            <w:tcBorders>
              <w:top w:val="single" w:color="auto" w:sz="6" w:space="0"/>
              <w:left w:val="single" w:color="auto" w:sz="6" w:space="0"/>
              <w:bottom w:val="single" w:color="auto" w:sz="6" w:space="0"/>
              <w:right w:val="single" w:color="auto" w:sz="12" w:space="0"/>
            </w:tcBorders>
            <w:noWrap w:val="0"/>
            <w:vAlign w:val="center"/>
          </w:tcPr>
          <w:p w14:paraId="1EA88051">
            <w:pPr>
              <w:spacing w:line="320" w:lineRule="exact"/>
              <w:jc w:val="center"/>
              <w:rPr>
                <w:rFonts w:hint="eastAsia" w:ascii="宋体" w:hAnsi="宋体" w:eastAsia="宋体" w:cs="宋体"/>
                <w:color w:val="auto"/>
                <w:kern w:val="0"/>
                <w:sz w:val="28"/>
                <w:szCs w:val="28"/>
                <w:lang w:val="en-US" w:eastAsia="zh-CN"/>
              </w:rPr>
            </w:pPr>
          </w:p>
        </w:tc>
        <w:tc>
          <w:tcPr>
            <w:tcW w:w="1500" w:type="dxa"/>
            <w:tcBorders>
              <w:top w:val="single" w:color="auto" w:sz="6" w:space="0"/>
              <w:left w:val="single" w:color="auto" w:sz="6" w:space="0"/>
              <w:bottom w:val="single" w:color="auto" w:sz="6" w:space="0"/>
              <w:right w:val="single" w:color="auto" w:sz="12" w:space="0"/>
            </w:tcBorders>
            <w:noWrap w:val="0"/>
            <w:vAlign w:val="center"/>
          </w:tcPr>
          <w:p w14:paraId="4B55511B">
            <w:pPr>
              <w:spacing w:line="32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项目类型</w:t>
            </w:r>
          </w:p>
        </w:tc>
        <w:tc>
          <w:tcPr>
            <w:tcW w:w="2728" w:type="dxa"/>
            <w:gridSpan w:val="2"/>
            <w:tcBorders>
              <w:top w:val="single" w:color="auto" w:sz="6" w:space="0"/>
              <w:left w:val="single" w:color="auto" w:sz="6" w:space="0"/>
              <w:bottom w:val="single" w:color="auto" w:sz="6" w:space="0"/>
              <w:right w:val="single" w:color="auto" w:sz="12" w:space="0"/>
            </w:tcBorders>
            <w:noWrap w:val="0"/>
            <w:vAlign w:val="center"/>
          </w:tcPr>
          <w:p w14:paraId="33DD26B5">
            <w:pPr>
              <w:spacing w:line="320" w:lineRule="exact"/>
              <w:jc w:val="center"/>
              <w:rPr>
                <w:rFonts w:hint="eastAsia" w:ascii="宋体" w:hAnsi="宋体" w:eastAsia="宋体" w:cs="宋体"/>
                <w:color w:val="auto"/>
                <w:kern w:val="0"/>
                <w:sz w:val="28"/>
                <w:szCs w:val="28"/>
                <w:lang w:val="en-US" w:eastAsia="zh-CN"/>
              </w:rPr>
            </w:pPr>
          </w:p>
        </w:tc>
      </w:tr>
      <w:tr w14:paraId="6886B08A">
        <w:tblPrEx>
          <w:tblCellMar>
            <w:top w:w="0" w:type="dxa"/>
            <w:left w:w="28" w:type="dxa"/>
            <w:bottom w:w="0" w:type="dxa"/>
            <w:right w:w="28" w:type="dxa"/>
          </w:tblCellMar>
        </w:tblPrEx>
        <w:trPr>
          <w:trHeight w:val="795" w:hRule="atLeast"/>
          <w:jc w:val="center"/>
        </w:trPr>
        <w:tc>
          <w:tcPr>
            <w:tcW w:w="1649" w:type="dxa"/>
            <w:vMerge w:val="restart"/>
            <w:tcBorders>
              <w:top w:val="single" w:color="auto" w:sz="6" w:space="0"/>
              <w:left w:val="single" w:color="auto" w:sz="12" w:space="0"/>
              <w:right w:val="single" w:color="auto" w:sz="6" w:space="0"/>
            </w:tcBorders>
            <w:noWrap w:val="0"/>
            <w:vAlign w:val="center"/>
          </w:tcPr>
          <w:p w14:paraId="68368BFE">
            <w:pPr>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申请补充</w:t>
            </w:r>
          </w:p>
          <w:p w14:paraId="3C5B60B4">
            <w:pPr>
              <w:spacing w:line="32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耕地</w:t>
            </w:r>
            <w:r>
              <w:rPr>
                <w:rFonts w:hint="eastAsia" w:ascii="宋体" w:hAnsi="宋体" w:cs="宋体"/>
                <w:color w:val="auto"/>
                <w:kern w:val="0"/>
                <w:sz w:val="28"/>
                <w:szCs w:val="28"/>
                <w:lang w:eastAsia="zh-CN"/>
              </w:rPr>
              <w:t>指标</w:t>
            </w:r>
          </w:p>
        </w:tc>
        <w:tc>
          <w:tcPr>
            <w:tcW w:w="1095" w:type="dxa"/>
            <w:tcBorders>
              <w:top w:val="single" w:color="auto" w:sz="6" w:space="0"/>
              <w:left w:val="single" w:color="auto" w:sz="6" w:space="0"/>
              <w:right w:val="single" w:color="auto" w:sz="12" w:space="0"/>
            </w:tcBorders>
            <w:noWrap w:val="0"/>
            <w:vAlign w:val="center"/>
          </w:tcPr>
          <w:p w14:paraId="61C4E47F">
            <w:pPr>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类型</w:t>
            </w:r>
          </w:p>
        </w:tc>
        <w:tc>
          <w:tcPr>
            <w:tcW w:w="2505" w:type="dxa"/>
            <w:tcBorders>
              <w:top w:val="single" w:color="auto" w:sz="6" w:space="0"/>
              <w:left w:val="single" w:color="auto" w:sz="6" w:space="0"/>
              <w:right w:val="single" w:color="auto" w:sz="12" w:space="0"/>
            </w:tcBorders>
            <w:noWrap w:val="0"/>
            <w:vAlign w:val="center"/>
          </w:tcPr>
          <w:p w14:paraId="27F3B5F1">
            <w:pPr>
              <w:spacing w:line="32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数量（亩）</w:t>
            </w:r>
          </w:p>
        </w:tc>
        <w:tc>
          <w:tcPr>
            <w:tcW w:w="1500" w:type="dxa"/>
            <w:tcBorders>
              <w:top w:val="single" w:color="auto" w:sz="6" w:space="0"/>
              <w:left w:val="single" w:color="auto" w:sz="6" w:space="0"/>
              <w:right w:val="single" w:color="auto" w:sz="12" w:space="0"/>
            </w:tcBorders>
            <w:noWrap w:val="0"/>
            <w:vAlign w:val="center"/>
          </w:tcPr>
          <w:p w14:paraId="4F3D8DF3">
            <w:pPr>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等级（等）</w:t>
            </w:r>
          </w:p>
        </w:tc>
        <w:tc>
          <w:tcPr>
            <w:tcW w:w="2728" w:type="dxa"/>
            <w:gridSpan w:val="2"/>
            <w:tcBorders>
              <w:top w:val="single" w:color="auto" w:sz="6" w:space="0"/>
              <w:left w:val="single" w:color="auto" w:sz="6" w:space="0"/>
              <w:right w:val="single" w:color="auto" w:sz="12" w:space="0"/>
            </w:tcBorders>
            <w:noWrap w:val="0"/>
            <w:vAlign w:val="center"/>
          </w:tcPr>
          <w:p w14:paraId="0C0B9983">
            <w:pPr>
              <w:spacing w:line="32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购买标准及费用</w:t>
            </w:r>
            <w:r>
              <w:rPr>
                <w:rFonts w:hint="eastAsia" w:ascii="宋体" w:hAnsi="宋体" w:eastAsia="宋体" w:cs="宋体"/>
                <w:color w:val="auto"/>
                <w:kern w:val="0"/>
                <w:sz w:val="28"/>
                <w:szCs w:val="28"/>
                <w:lang w:val="en-US" w:eastAsia="zh-CN"/>
              </w:rPr>
              <w:t xml:space="preserve"> </w:t>
            </w:r>
          </w:p>
          <w:p w14:paraId="364717D7">
            <w:pPr>
              <w:spacing w:line="32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（元/亩、元）</w:t>
            </w:r>
          </w:p>
        </w:tc>
      </w:tr>
      <w:tr w14:paraId="6929DD28">
        <w:tblPrEx>
          <w:tblCellMar>
            <w:top w:w="0" w:type="dxa"/>
            <w:left w:w="28" w:type="dxa"/>
            <w:bottom w:w="0" w:type="dxa"/>
            <w:right w:w="28" w:type="dxa"/>
          </w:tblCellMar>
        </w:tblPrEx>
        <w:trPr>
          <w:trHeight w:val="405" w:hRule="atLeast"/>
          <w:jc w:val="center"/>
        </w:trPr>
        <w:tc>
          <w:tcPr>
            <w:tcW w:w="1649" w:type="dxa"/>
            <w:vMerge w:val="continue"/>
            <w:tcBorders>
              <w:left w:val="single" w:color="auto" w:sz="12" w:space="0"/>
              <w:right w:val="single" w:color="auto" w:sz="6" w:space="0"/>
            </w:tcBorders>
            <w:noWrap w:val="0"/>
            <w:vAlign w:val="center"/>
          </w:tcPr>
          <w:p w14:paraId="6BD8EECD">
            <w:pPr>
              <w:spacing w:line="320" w:lineRule="exact"/>
              <w:jc w:val="center"/>
              <w:rPr>
                <w:rFonts w:hint="eastAsia" w:ascii="宋体" w:hAnsi="宋体" w:eastAsia="宋体" w:cs="宋体"/>
                <w:color w:val="auto"/>
                <w:sz w:val="28"/>
                <w:szCs w:val="28"/>
              </w:rPr>
            </w:pPr>
          </w:p>
        </w:tc>
        <w:tc>
          <w:tcPr>
            <w:tcW w:w="1095" w:type="dxa"/>
            <w:vMerge w:val="restart"/>
            <w:tcBorders>
              <w:top w:val="single" w:color="auto" w:sz="6" w:space="0"/>
              <w:left w:val="single" w:color="auto" w:sz="6" w:space="0"/>
              <w:right w:val="single" w:color="auto" w:sz="12" w:space="0"/>
            </w:tcBorders>
            <w:noWrap w:val="0"/>
            <w:vAlign w:val="center"/>
          </w:tcPr>
          <w:p w14:paraId="5043E6AC">
            <w:pPr>
              <w:spacing w:line="32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水田</w:t>
            </w:r>
          </w:p>
        </w:tc>
        <w:tc>
          <w:tcPr>
            <w:tcW w:w="2505" w:type="dxa"/>
            <w:vMerge w:val="restart"/>
            <w:tcBorders>
              <w:top w:val="single" w:color="auto" w:sz="6" w:space="0"/>
              <w:left w:val="single" w:color="auto" w:sz="6" w:space="0"/>
              <w:right w:val="single" w:color="auto" w:sz="12" w:space="0"/>
            </w:tcBorders>
            <w:noWrap w:val="0"/>
            <w:vAlign w:val="center"/>
          </w:tcPr>
          <w:p w14:paraId="531DEF8A">
            <w:pPr>
              <w:spacing w:line="320" w:lineRule="exact"/>
              <w:jc w:val="center"/>
              <w:rPr>
                <w:rFonts w:hint="eastAsia" w:ascii="宋体" w:hAnsi="宋体" w:eastAsia="宋体" w:cs="宋体"/>
                <w:color w:val="auto"/>
                <w:sz w:val="28"/>
                <w:szCs w:val="28"/>
              </w:rPr>
            </w:pPr>
          </w:p>
        </w:tc>
        <w:tc>
          <w:tcPr>
            <w:tcW w:w="1500" w:type="dxa"/>
            <w:vMerge w:val="restart"/>
            <w:tcBorders>
              <w:top w:val="single" w:color="auto" w:sz="6" w:space="0"/>
              <w:left w:val="single" w:color="auto" w:sz="6" w:space="0"/>
              <w:right w:val="single" w:color="auto" w:sz="12" w:space="0"/>
            </w:tcBorders>
            <w:noWrap w:val="0"/>
            <w:vAlign w:val="center"/>
          </w:tcPr>
          <w:p w14:paraId="5DB8FECC">
            <w:pPr>
              <w:spacing w:line="320" w:lineRule="exact"/>
              <w:jc w:val="center"/>
              <w:rPr>
                <w:rFonts w:hint="eastAsia" w:ascii="宋体" w:hAnsi="宋体" w:eastAsia="宋体" w:cs="宋体"/>
                <w:color w:val="auto"/>
                <w:sz w:val="28"/>
                <w:szCs w:val="28"/>
              </w:rPr>
            </w:pPr>
          </w:p>
        </w:tc>
        <w:tc>
          <w:tcPr>
            <w:tcW w:w="1125" w:type="dxa"/>
            <w:tcBorders>
              <w:top w:val="single" w:color="auto" w:sz="6" w:space="0"/>
              <w:left w:val="single" w:color="auto" w:sz="6" w:space="0"/>
              <w:right w:val="single" w:color="auto" w:sz="12" w:space="0"/>
            </w:tcBorders>
            <w:noWrap w:val="0"/>
            <w:vAlign w:val="center"/>
          </w:tcPr>
          <w:p w14:paraId="51036274">
            <w:pPr>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标准</w:t>
            </w:r>
          </w:p>
        </w:tc>
        <w:tc>
          <w:tcPr>
            <w:tcW w:w="1603" w:type="dxa"/>
            <w:tcBorders>
              <w:top w:val="single" w:color="auto" w:sz="6" w:space="0"/>
              <w:left w:val="single" w:color="auto" w:sz="6" w:space="0"/>
              <w:right w:val="single" w:color="auto" w:sz="12" w:space="0"/>
            </w:tcBorders>
            <w:noWrap w:val="0"/>
            <w:vAlign w:val="center"/>
          </w:tcPr>
          <w:p w14:paraId="5E39F66F">
            <w:pPr>
              <w:spacing w:line="320" w:lineRule="exact"/>
              <w:jc w:val="center"/>
              <w:rPr>
                <w:rFonts w:hint="eastAsia" w:ascii="宋体" w:hAnsi="宋体" w:eastAsia="宋体" w:cs="宋体"/>
                <w:color w:val="auto"/>
                <w:kern w:val="0"/>
                <w:sz w:val="28"/>
                <w:szCs w:val="28"/>
              </w:rPr>
            </w:pPr>
          </w:p>
        </w:tc>
      </w:tr>
      <w:tr w14:paraId="28C62710">
        <w:tblPrEx>
          <w:tblCellMar>
            <w:top w:w="0" w:type="dxa"/>
            <w:left w:w="28" w:type="dxa"/>
            <w:bottom w:w="0" w:type="dxa"/>
            <w:right w:w="28" w:type="dxa"/>
          </w:tblCellMar>
        </w:tblPrEx>
        <w:trPr>
          <w:trHeight w:val="405" w:hRule="atLeast"/>
          <w:jc w:val="center"/>
        </w:trPr>
        <w:tc>
          <w:tcPr>
            <w:tcW w:w="1649" w:type="dxa"/>
            <w:vMerge w:val="continue"/>
            <w:tcBorders>
              <w:left w:val="single" w:color="auto" w:sz="12" w:space="0"/>
              <w:right w:val="single" w:color="auto" w:sz="6" w:space="0"/>
            </w:tcBorders>
            <w:noWrap w:val="0"/>
            <w:vAlign w:val="center"/>
          </w:tcPr>
          <w:p w14:paraId="1A7F31D6">
            <w:pPr>
              <w:spacing w:line="320" w:lineRule="exact"/>
              <w:jc w:val="center"/>
              <w:rPr>
                <w:rFonts w:hint="eastAsia" w:ascii="宋体" w:hAnsi="宋体" w:eastAsia="宋体" w:cs="宋体"/>
                <w:color w:val="auto"/>
                <w:sz w:val="28"/>
                <w:szCs w:val="28"/>
              </w:rPr>
            </w:pPr>
          </w:p>
        </w:tc>
        <w:tc>
          <w:tcPr>
            <w:tcW w:w="1095" w:type="dxa"/>
            <w:vMerge w:val="continue"/>
            <w:tcBorders>
              <w:left w:val="single" w:color="auto" w:sz="6" w:space="0"/>
              <w:right w:val="single" w:color="auto" w:sz="12" w:space="0"/>
            </w:tcBorders>
            <w:noWrap w:val="0"/>
            <w:vAlign w:val="center"/>
          </w:tcPr>
          <w:p w14:paraId="4D40048B">
            <w:pPr>
              <w:spacing w:line="320" w:lineRule="exact"/>
              <w:jc w:val="center"/>
              <w:rPr>
                <w:rFonts w:hint="eastAsia" w:ascii="宋体" w:hAnsi="宋体" w:eastAsia="宋体" w:cs="宋体"/>
                <w:color w:val="auto"/>
                <w:sz w:val="28"/>
                <w:szCs w:val="28"/>
              </w:rPr>
            </w:pPr>
          </w:p>
        </w:tc>
        <w:tc>
          <w:tcPr>
            <w:tcW w:w="2505" w:type="dxa"/>
            <w:vMerge w:val="continue"/>
            <w:tcBorders>
              <w:left w:val="single" w:color="auto" w:sz="6" w:space="0"/>
              <w:right w:val="single" w:color="auto" w:sz="12" w:space="0"/>
            </w:tcBorders>
            <w:noWrap w:val="0"/>
            <w:vAlign w:val="center"/>
          </w:tcPr>
          <w:p w14:paraId="35F2B81A">
            <w:pPr>
              <w:spacing w:line="320" w:lineRule="exact"/>
              <w:jc w:val="center"/>
              <w:rPr>
                <w:rFonts w:hint="eastAsia" w:ascii="宋体" w:hAnsi="宋体" w:eastAsia="宋体" w:cs="宋体"/>
                <w:color w:val="auto"/>
                <w:sz w:val="28"/>
                <w:szCs w:val="28"/>
              </w:rPr>
            </w:pPr>
          </w:p>
        </w:tc>
        <w:tc>
          <w:tcPr>
            <w:tcW w:w="1500" w:type="dxa"/>
            <w:vMerge w:val="continue"/>
            <w:tcBorders>
              <w:left w:val="single" w:color="auto" w:sz="6" w:space="0"/>
              <w:right w:val="single" w:color="auto" w:sz="12" w:space="0"/>
            </w:tcBorders>
            <w:noWrap w:val="0"/>
            <w:vAlign w:val="center"/>
          </w:tcPr>
          <w:p w14:paraId="65CAF661">
            <w:pPr>
              <w:spacing w:line="320" w:lineRule="exact"/>
              <w:jc w:val="center"/>
              <w:rPr>
                <w:rFonts w:hint="eastAsia" w:ascii="宋体" w:hAnsi="宋体" w:eastAsia="宋体" w:cs="宋体"/>
                <w:color w:val="auto"/>
                <w:sz w:val="28"/>
                <w:szCs w:val="28"/>
              </w:rPr>
            </w:pPr>
          </w:p>
        </w:tc>
        <w:tc>
          <w:tcPr>
            <w:tcW w:w="1125" w:type="dxa"/>
            <w:tcBorders>
              <w:top w:val="single" w:color="auto" w:sz="6" w:space="0"/>
              <w:left w:val="single" w:color="auto" w:sz="6" w:space="0"/>
              <w:right w:val="single" w:color="auto" w:sz="12" w:space="0"/>
            </w:tcBorders>
            <w:noWrap w:val="0"/>
            <w:vAlign w:val="center"/>
          </w:tcPr>
          <w:p w14:paraId="365F473E">
            <w:pPr>
              <w:spacing w:line="32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费用</w:t>
            </w:r>
            <w:r>
              <w:rPr>
                <w:rFonts w:hint="eastAsia" w:ascii="宋体" w:hAnsi="宋体" w:eastAsia="宋体" w:cs="宋体"/>
                <w:color w:val="auto"/>
                <w:sz w:val="28"/>
                <w:szCs w:val="28"/>
                <w:lang w:val="en-US" w:eastAsia="zh-CN"/>
              </w:rPr>
              <w:t xml:space="preserve"> </w:t>
            </w:r>
          </w:p>
        </w:tc>
        <w:tc>
          <w:tcPr>
            <w:tcW w:w="1603" w:type="dxa"/>
            <w:tcBorders>
              <w:top w:val="single" w:color="auto" w:sz="6" w:space="0"/>
              <w:left w:val="single" w:color="auto" w:sz="6" w:space="0"/>
              <w:right w:val="single" w:color="auto" w:sz="12" w:space="0"/>
            </w:tcBorders>
            <w:noWrap w:val="0"/>
            <w:vAlign w:val="center"/>
          </w:tcPr>
          <w:p w14:paraId="603ED3B9">
            <w:pPr>
              <w:spacing w:line="320" w:lineRule="exact"/>
              <w:jc w:val="center"/>
              <w:rPr>
                <w:rFonts w:hint="eastAsia" w:ascii="宋体" w:hAnsi="宋体" w:eastAsia="宋体" w:cs="宋体"/>
                <w:color w:val="auto"/>
                <w:sz w:val="28"/>
                <w:szCs w:val="28"/>
              </w:rPr>
            </w:pPr>
          </w:p>
        </w:tc>
      </w:tr>
      <w:tr w14:paraId="4466484D">
        <w:tblPrEx>
          <w:tblCellMar>
            <w:top w:w="0" w:type="dxa"/>
            <w:left w:w="28" w:type="dxa"/>
            <w:bottom w:w="0" w:type="dxa"/>
            <w:right w:w="28" w:type="dxa"/>
          </w:tblCellMar>
        </w:tblPrEx>
        <w:trPr>
          <w:trHeight w:val="412" w:hRule="atLeast"/>
          <w:jc w:val="center"/>
        </w:trPr>
        <w:tc>
          <w:tcPr>
            <w:tcW w:w="1649" w:type="dxa"/>
            <w:vMerge w:val="continue"/>
            <w:tcBorders>
              <w:left w:val="single" w:color="auto" w:sz="12" w:space="0"/>
              <w:right w:val="single" w:color="auto" w:sz="6" w:space="0"/>
            </w:tcBorders>
            <w:noWrap w:val="0"/>
            <w:vAlign w:val="center"/>
          </w:tcPr>
          <w:p w14:paraId="67CD0D77">
            <w:pPr>
              <w:spacing w:line="320" w:lineRule="exact"/>
              <w:jc w:val="center"/>
              <w:rPr>
                <w:rFonts w:hint="eastAsia" w:ascii="宋体" w:hAnsi="宋体" w:eastAsia="宋体" w:cs="宋体"/>
                <w:color w:val="auto"/>
                <w:kern w:val="0"/>
                <w:sz w:val="28"/>
                <w:szCs w:val="28"/>
              </w:rPr>
            </w:pPr>
          </w:p>
        </w:tc>
        <w:tc>
          <w:tcPr>
            <w:tcW w:w="1095" w:type="dxa"/>
            <w:vMerge w:val="restart"/>
            <w:tcBorders>
              <w:top w:val="single" w:color="auto" w:sz="6" w:space="0"/>
              <w:left w:val="single" w:color="auto" w:sz="6" w:space="0"/>
              <w:right w:val="single" w:color="auto" w:sz="12" w:space="0"/>
            </w:tcBorders>
            <w:noWrap w:val="0"/>
            <w:vAlign w:val="center"/>
          </w:tcPr>
          <w:p w14:paraId="67408A9D">
            <w:pPr>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旱地</w:t>
            </w:r>
          </w:p>
        </w:tc>
        <w:tc>
          <w:tcPr>
            <w:tcW w:w="2505" w:type="dxa"/>
            <w:vMerge w:val="restart"/>
            <w:tcBorders>
              <w:top w:val="single" w:color="auto" w:sz="6" w:space="0"/>
              <w:left w:val="single" w:color="auto" w:sz="6" w:space="0"/>
              <w:right w:val="single" w:color="auto" w:sz="12" w:space="0"/>
            </w:tcBorders>
            <w:noWrap w:val="0"/>
            <w:vAlign w:val="center"/>
          </w:tcPr>
          <w:p w14:paraId="700EE8FB">
            <w:pPr>
              <w:spacing w:line="320" w:lineRule="exact"/>
              <w:jc w:val="center"/>
              <w:rPr>
                <w:rFonts w:hint="eastAsia" w:ascii="宋体" w:hAnsi="宋体" w:eastAsia="宋体" w:cs="宋体"/>
                <w:color w:val="auto"/>
                <w:kern w:val="0"/>
                <w:sz w:val="28"/>
                <w:szCs w:val="28"/>
              </w:rPr>
            </w:pPr>
          </w:p>
        </w:tc>
        <w:tc>
          <w:tcPr>
            <w:tcW w:w="1500" w:type="dxa"/>
            <w:vMerge w:val="restart"/>
            <w:tcBorders>
              <w:top w:val="single" w:color="auto" w:sz="6" w:space="0"/>
              <w:left w:val="single" w:color="auto" w:sz="6" w:space="0"/>
              <w:right w:val="single" w:color="auto" w:sz="12" w:space="0"/>
            </w:tcBorders>
            <w:noWrap w:val="0"/>
            <w:vAlign w:val="center"/>
          </w:tcPr>
          <w:p w14:paraId="767EF0C1">
            <w:pPr>
              <w:spacing w:line="320" w:lineRule="exact"/>
              <w:jc w:val="center"/>
              <w:rPr>
                <w:rFonts w:hint="eastAsia" w:ascii="宋体" w:hAnsi="宋体" w:eastAsia="宋体" w:cs="宋体"/>
                <w:color w:val="auto"/>
                <w:kern w:val="0"/>
                <w:sz w:val="28"/>
                <w:szCs w:val="28"/>
              </w:rPr>
            </w:pPr>
          </w:p>
        </w:tc>
        <w:tc>
          <w:tcPr>
            <w:tcW w:w="1125" w:type="dxa"/>
            <w:tcBorders>
              <w:top w:val="single" w:color="auto" w:sz="6" w:space="0"/>
              <w:left w:val="single" w:color="auto" w:sz="6" w:space="0"/>
              <w:right w:val="single" w:color="auto" w:sz="12" w:space="0"/>
            </w:tcBorders>
            <w:noWrap w:val="0"/>
            <w:vAlign w:val="center"/>
          </w:tcPr>
          <w:p w14:paraId="5ADDA5BC">
            <w:pPr>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标准</w:t>
            </w:r>
          </w:p>
        </w:tc>
        <w:tc>
          <w:tcPr>
            <w:tcW w:w="1603" w:type="dxa"/>
            <w:tcBorders>
              <w:top w:val="single" w:color="auto" w:sz="6" w:space="0"/>
              <w:left w:val="single" w:color="auto" w:sz="6" w:space="0"/>
              <w:right w:val="single" w:color="auto" w:sz="12" w:space="0"/>
            </w:tcBorders>
            <w:noWrap w:val="0"/>
            <w:vAlign w:val="center"/>
          </w:tcPr>
          <w:p w14:paraId="2EA0E3D4">
            <w:pPr>
              <w:spacing w:line="320" w:lineRule="exact"/>
              <w:jc w:val="center"/>
              <w:rPr>
                <w:rFonts w:hint="eastAsia" w:ascii="宋体" w:hAnsi="宋体" w:eastAsia="宋体" w:cs="宋体"/>
                <w:color w:val="auto"/>
                <w:kern w:val="0"/>
                <w:sz w:val="28"/>
                <w:szCs w:val="28"/>
              </w:rPr>
            </w:pPr>
          </w:p>
        </w:tc>
      </w:tr>
      <w:tr w14:paraId="7896BFDE">
        <w:tblPrEx>
          <w:tblCellMar>
            <w:top w:w="0" w:type="dxa"/>
            <w:left w:w="28" w:type="dxa"/>
            <w:bottom w:w="0" w:type="dxa"/>
            <w:right w:w="28" w:type="dxa"/>
          </w:tblCellMar>
        </w:tblPrEx>
        <w:trPr>
          <w:trHeight w:val="90" w:hRule="atLeast"/>
          <w:jc w:val="center"/>
        </w:trPr>
        <w:tc>
          <w:tcPr>
            <w:tcW w:w="1649" w:type="dxa"/>
            <w:vMerge w:val="continue"/>
            <w:tcBorders>
              <w:left w:val="single" w:color="auto" w:sz="12" w:space="0"/>
              <w:right w:val="single" w:color="auto" w:sz="6" w:space="0"/>
            </w:tcBorders>
            <w:noWrap w:val="0"/>
            <w:vAlign w:val="center"/>
          </w:tcPr>
          <w:p w14:paraId="3377DD21">
            <w:pPr>
              <w:spacing w:line="320" w:lineRule="exact"/>
              <w:jc w:val="center"/>
              <w:rPr>
                <w:rFonts w:hint="eastAsia" w:ascii="宋体" w:hAnsi="宋体" w:eastAsia="宋体" w:cs="宋体"/>
                <w:color w:val="auto"/>
                <w:sz w:val="28"/>
                <w:szCs w:val="28"/>
              </w:rPr>
            </w:pPr>
          </w:p>
        </w:tc>
        <w:tc>
          <w:tcPr>
            <w:tcW w:w="1095" w:type="dxa"/>
            <w:vMerge w:val="continue"/>
            <w:tcBorders>
              <w:left w:val="single" w:color="auto" w:sz="6" w:space="0"/>
              <w:right w:val="single" w:color="auto" w:sz="12" w:space="0"/>
            </w:tcBorders>
            <w:noWrap w:val="0"/>
            <w:vAlign w:val="center"/>
          </w:tcPr>
          <w:p w14:paraId="33D5C894">
            <w:pPr>
              <w:spacing w:line="320" w:lineRule="exact"/>
              <w:jc w:val="center"/>
              <w:rPr>
                <w:rFonts w:hint="eastAsia" w:ascii="宋体" w:hAnsi="宋体" w:eastAsia="宋体" w:cs="宋体"/>
                <w:color w:val="auto"/>
                <w:sz w:val="28"/>
                <w:szCs w:val="28"/>
              </w:rPr>
            </w:pPr>
          </w:p>
        </w:tc>
        <w:tc>
          <w:tcPr>
            <w:tcW w:w="2505" w:type="dxa"/>
            <w:vMerge w:val="continue"/>
            <w:tcBorders>
              <w:left w:val="single" w:color="auto" w:sz="6" w:space="0"/>
              <w:right w:val="single" w:color="auto" w:sz="12" w:space="0"/>
            </w:tcBorders>
            <w:noWrap w:val="0"/>
            <w:vAlign w:val="center"/>
          </w:tcPr>
          <w:p w14:paraId="4D5324A3">
            <w:pPr>
              <w:spacing w:line="320" w:lineRule="exact"/>
              <w:jc w:val="center"/>
              <w:rPr>
                <w:rFonts w:hint="eastAsia" w:ascii="宋体" w:hAnsi="宋体" w:eastAsia="宋体" w:cs="宋体"/>
                <w:color w:val="auto"/>
                <w:sz w:val="28"/>
                <w:szCs w:val="28"/>
              </w:rPr>
            </w:pPr>
          </w:p>
        </w:tc>
        <w:tc>
          <w:tcPr>
            <w:tcW w:w="1500" w:type="dxa"/>
            <w:vMerge w:val="continue"/>
            <w:tcBorders>
              <w:left w:val="single" w:color="auto" w:sz="6" w:space="0"/>
              <w:right w:val="single" w:color="auto" w:sz="12" w:space="0"/>
            </w:tcBorders>
            <w:noWrap w:val="0"/>
            <w:vAlign w:val="center"/>
          </w:tcPr>
          <w:p w14:paraId="27499A52">
            <w:pPr>
              <w:spacing w:line="320" w:lineRule="exact"/>
              <w:jc w:val="center"/>
              <w:rPr>
                <w:rFonts w:hint="eastAsia" w:ascii="宋体" w:hAnsi="宋体" w:eastAsia="宋体" w:cs="宋体"/>
                <w:color w:val="auto"/>
                <w:sz w:val="28"/>
                <w:szCs w:val="28"/>
              </w:rPr>
            </w:pPr>
          </w:p>
        </w:tc>
        <w:tc>
          <w:tcPr>
            <w:tcW w:w="1125" w:type="dxa"/>
            <w:tcBorders>
              <w:top w:val="single" w:color="auto" w:sz="6" w:space="0"/>
              <w:left w:val="single" w:color="auto" w:sz="6" w:space="0"/>
              <w:right w:val="single" w:color="auto" w:sz="12" w:space="0"/>
            </w:tcBorders>
            <w:noWrap w:val="0"/>
            <w:vAlign w:val="center"/>
          </w:tcPr>
          <w:p w14:paraId="73863D75">
            <w:pPr>
              <w:spacing w:line="32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费用</w:t>
            </w:r>
            <w:r>
              <w:rPr>
                <w:rFonts w:hint="eastAsia" w:ascii="宋体" w:hAnsi="宋体" w:eastAsia="宋体" w:cs="宋体"/>
                <w:color w:val="auto"/>
                <w:sz w:val="28"/>
                <w:szCs w:val="28"/>
                <w:lang w:val="en-US" w:eastAsia="zh-CN"/>
              </w:rPr>
              <w:t xml:space="preserve"> </w:t>
            </w:r>
          </w:p>
        </w:tc>
        <w:tc>
          <w:tcPr>
            <w:tcW w:w="1603" w:type="dxa"/>
            <w:tcBorders>
              <w:top w:val="single" w:color="auto" w:sz="6" w:space="0"/>
              <w:left w:val="single" w:color="auto" w:sz="6" w:space="0"/>
              <w:right w:val="single" w:color="auto" w:sz="12" w:space="0"/>
            </w:tcBorders>
            <w:noWrap w:val="0"/>
            <w:vAlign w:val="center"/>
          </w:tcPr>
          <w:p w14:paraId="119EC0F9">
            <w:pPr>
              <w:spacing w:line="320" w:lineRule="exact"/>
              <w:jc w:val="center"/>
              <w:rPr>
                <w:rFonts w:hint="eastAsia" w:ascii="宋体" w:hAnsi="宋体" w:eastAsia="宋体" w:cs="宋体"/>
                <w:color w:val="auto"/>
                <w:sz w:val="28"/>
                <w:szCs w:val="28"/>
              </w:rPr>
            </w:pPr>
          </w:p>
        </w:tc>
      </w:tr>
      <w:tr w14:paraId="5BCEE367">
        <w:tblPrEx>
          <w:tblCellMar>
            <w:top w:w="0" w:type="dxa"/>
            <w:left w:w="28" w:type="dxa"/>
            <w:bottom w:w="0" w:type="dxa"/>
            <w:right w:w="28" w:type="dxa"/>
          </w:tblCellMar>
        </w:tblPrEx>
        <w:trPr>
          <w:trHeight w:val="1103" w:hRule="atLeast"/>
          <w:jc w:val="center"/>
        </w:trPr>
        <w:tc>
          <w:tcPr>
            <w:tcW w:w="1649" w:type="dxa"/>
            <w:tcBorders>
              <w:top w:val="single" w:color="auto" w:sz="6" w:space="0"/>
              <w:left w:val="single" w:color="auto" w:sz="12" w:space="0"/>
              <w:bottom w:val="single" w:color="auto" w:sz="6" w:space="0"/>
              <w:right w:val="single" w:color="auto" w:sz="6" w:space="0"/>
            </w:tcBorders>
            <w:noWrap w:val="0"/>
            <w:vAlign w:val="center"/>
          </w:tcPr>
          <w:p w14:paraId="5795A2BD">
            <w:pPr>
              <w:widowControl/>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科室意见</w:t>
            </w:r>
          </w:p>
        </w:tc>
        <w:tc>
          <w:tcPr>
            <w:tcW w:w="7828" w:type="dxa"/>
            <w:gridSpan w:val="5"/>
            <w:tcBorders>
              <w:top w:val="single" w:color="auto" w:sz="6" w:space="0"/>
              <w:left w:val="single" w:color="auto" w:sz="6" w:space="0"/>
              <w:bottom w:val="single" w:color="auto" w:sz="6" w:space="0"/>
              <w:right w:val="single" w:color="auto" w:sz="12" w:space="0"/>
            </w:tcBorders>
            <w:noWrap w:val="0"/>
            <w:vAlign w:val="bottom"/>
          </w:tcPr>
          <w:p w14:paraId="342DE482">
            <w:pPr>
              <w:widowControl/>
              <w:spacing w:line="320" w:lineRule="exact"/>
              <w:jc w:val="right"/>
              <w:rPr>
                <w:rFonts w:hint="eastAsia" w:ascii="宋体" w:hAnsi="宋体" w:eastAsia="宋体" w:cs="宋体"/>
                <w:color w:val="auto"/>
                <w:kern w:val="0"/>
                <w:sz w:val="28"/>
                <w:szCs w:val="28"/>
                <w:lang w:val="en-US" w:eastAsia="zh-CN"/>
              </w:rPr>
            </w:pPr>
          </w:p>
          <w:p w14:paraId="6CA017D4">
            <w:pPr>
              <w:widowControl/>
              <w:spacing w:line="320" w:lineRule="exact"/>
              <w:jc w:val="center"/>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 xml:space="preserve">                                      20   </w:t>
            </w:r>
            <w:r>
              <w:rPr>
                <w:rFonts w:hint="eastAsia" w:ascii="宋体" w:hAnsi="宋体" w:eastAsia="宋体" w:cs="宋体"/>
                <w:color w:val="auto"/>
                <w:kern w:val="0"/>
                <w:sz w:val="28"/>
                <w:szCs w:val="28"/>
                <w:lang w:val="en-US" w:eastAsia="zh-CN"/>
              </w:rPr>
              <w:t>年   月   日</w:t>
            </w:r>
          </w:p>
        </w:tc>
      </w:tr>
      <w:tr w14:paraId="1C6E49D4">
        <w:tblPrEx>
          <w:tblCellMar>
            <w:top w:w="0" w:type="dxa"/>
            <w:left w:w="28" w:type="dxa"/>
            <w:bottom w:w="0" w:type="dxa"/>
            <w:right w:w="28" w:type="dxa"/>
          </w:tblCellMar>
        </w:tblPrEx>
        <w:trPr>
          <w:trHeight w:val="1176" w:hRule="atLeast"/>
          <w:jc w:val="center"/>
        </w:trPr>
        <w:tc>
          <w:tcPr>
            <w:tcW w:w="1649" w:type="dxa"/>
            <w:tcBorders>
              <w:top w:val="single" w:color="auto" w:sz="6" w:space="0"/>
              <w:left w:val="single" w:color="auto" w:sz="12" w:space="0"/>
              <w:right w:val="single" w:color="auto" w:sz="6" w:space="0"/>
            </w:tcBorders>
            <w:noWrap w:val="0"/>
            <w:vAlign w:val="center"/>
          </w:tcPr>
          <w:p w14:paraId="66B410FE">
            <w:pPr>
              <w:widowControl/>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分管</w:t>
            </w:r>
            <w:r>
              <w:rPr>
                <w:rFonts w:hint="eastAsia" w:ascii="宋体" w:hAnsi="宋体" w:eastAsia="宋体" w:cs="宋体"/>
                <w:color w:val="auto"/>
                <w:kern w:val="0"/>
                <w:sz w:val="28"/>
                <w:szCs w:val="28"/>
                <w:lang w:eastAsia="zh-CN"/>
              </w:rPr>
              <w:t>局</w:t>
            </w:r>
            <w:r>
              <w:rPr>
                <w:rFonts w:hint="eastAsia" w:ascii="宋体" w:hAnsi="宋体" w:eastAsia="宋体" w:cs="宋体"/>
                <w:color w:val="auto"/>
                <w:kern w:val="0"/>
                <w:sz w:val="28"/>
                <w:szCs w:val="28"/>
              </w:rPr>
              <w:t>领导</w:t>
            </w:r>
          </w:p>
          <w:p w14:paraId="369EF78F">
            <w:pPr>
              <w:widowControl/>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意  见</w:t>
            </w:r>
          </w:p>
        </w:tc>
        <w:tc>
          <w:tcPr>
            <w:tcW w:w="7828" w:type="dxa"/>
            <w:gridSpan w:val="5"/>
            <w:tcBorders>
              <w:top w:val="single" w:color="auto" w:sz="6" w:space="0"/>
              <w:left w:val="single" w:color="auto" w:sz="6" w:space="0"/>
              <w:right w:val="single" w:color="auto" w:sz="12" w:space="0"/>
            </w:tcBorders>
            <w:noWrap w:val="0"/>
            <w:vAlign w:val="bottom"/>
          </w:tcPr>
          <w:p w14:paraId="39FF8886">
            <w:pPr>
              <w:widowControl/>
              <w:spacing w:line="320" w:lineRule="exact"/>
              <w:ind w:firstLine="1120" w:firstLineChars="400"/>
              <w:jc w:val="right"/>
              <w:rPr>
                <w:rFonts w:hint="eastAsia" w:ascii="宋体" w:hAnsi="宋体" w:eastAsia="宋体" w:cs="宋体"/>
                <w:color w:val="auto"/>
                <w:kern w:val="0"/>
                <w:sz w:val="28"/>
                <w:szCs w:val="28"/>
              </w:rPr>
            </w:pPr>
            <w:r>
              <w:rPr>
                <w:rFonts w:hint="eastAsia" w:ascii="宋体" w:hAnsi="宋体" w:cs="宋体"/>
                <w:color w:val="auto"/>
                <w:kern w:val="0"/>
                <w:sz w:val="28"/>
                <w:szCs w:val="28"/>
                <w:lang w:val="en-US" w:eastAsia="zh-CN"/>
              </w:rPr>
              <w:t xml:space="preserve">20   </w:t>
            </w:r>
            <w:r>
              <w:rPr>
                <w:rFonts w:hint="eastAsia" w:ascii="宋体" w:hAnsi="宋体" w:eastAsia="宋体" w:cs="宋体"/>
                <w:color w:val="auto"/>
                <w:kern w:val="0"/>
                <w:sz w:val="28"/>
                <w:szCs w:val="28"/>
                <w:lang w:val="en-US" w:eastAsia="zh-CN"/>
              </w:rPr>
              <w:t>年   月   日</w:t>
            </w:r>
          </w:p>
        </w:tc>
      </w:tr>
      <w:tr w14:paraId="2453DA45">
        <w:tblPrEx>
          <w:tblCellMar>
            <w:top w:w="0" w:type="dxa"/>
            <w:left w:w="28" w:type="dxa"/>
            <w:bottom w:w="0" w:type="dxa"/>
            <w:right w:w="28" w:type="dxa"/>
          </w:tblCellMar>
        </w:tblPrEx>
        <w:trPr>
          <w:trHeight w:val="1301" w:hRule="atLeast"/>
          <w:jc w:val="center"/>
        </w:trPr>
        <w:tc>
          <w:tcPr>
            <w:tcW w:w="1649" w:type="dxa"/>
            <w:tcBorders>
              <w:top w:val="single" w:color="auto" w:sz="6" w:space="0"/>
              <w:left w:val="single" w:color="auto" w:sz="12" w:space="0"/>
              <w:right w:val="single" w:color="auto" w:sz="6" w:space="0"/>
            </w:tcBorders>
            <w:noWrap w:val="0"/>
            <w:vAlign w:val="center"/>
          </w:tcPr>
          <w:p w14:paraId="2CF10CE0">
            <w:pPr>
              <w:widowControl/>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局</w:t>
            </w:r>
            <w:r>
              <w:rPr>
                <w:rFonts w:hint="eastAsia" w:ascii="宋体" w:hAnsi="宋体" w:eastAsia="宋体" w:cs="宋体"/>
                <w:color w:val="auto"/>
                <w:kern w:val="0"/>
                <w:sz w:val="28"/>
                <w:szCs w:val="28"/>
              </w:rPr>
              <w:t>领导</w:t>
            </w:r>
          </w:p>
          <w:p w14:paraId="3AD831B7">
            <w:pPr>
              <w:widowControl/>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意  见</w:t>
            </w:r>
          </w:p>
        </w:tc>
        <w:tc>
          <w:tcPr>
            <w:tcW w:w="7828" w:type="dxa"/>
            <w:gridSpan w:val="5"/>
            <w:tcBorders>
              <w:top w:val="single" w:color="auto" w:sz="6" w:space="0"/>
              <w:left w:val="single" w:color="auto" w:sz="6" w:space="0"/>
              <w:right w:val="single" w:color="auto" w:sz="12" w:space="0"/>
            </w:tcBorders>
            <w:noWrap w:val="0"/>
            <w:vAlign w:val="bottom"/>
          </w:tcPr>
          <w:p w14:paraId="0CA29525">
            <w:pPr>
              <w:widowControl/>
              <w:spacing w:line="320" w:lineRule="exact"/>
              <w:jc w:val="right"/>
              <w:rPr>
                <w:rFonts w:hint="eastAsia" w:ascii="宋体" w:hAnsi="宋体" w:eastAsia="宋体" w:cs="宋体"/>
                <w:color w:val="auto"/>
                <w:kern w:val="0"/>
                <w:sz w:val="28"/>
                <w:szCs w:val="28"/>
              </w:rPr>
            </w:pPr>
            <w:r>
              <w:rPr>
                <w:rFonts w:hint="eastAsia" w:ascii="宋体" w:hAnsi="宋体" w:cs="宋体"/>
                <w:color w:val="auto"/>
                <w:kern w:val="0"/>
                <w:sz w:val="28"/>
                <w:szCs w:val="28"/>
                <w:lang w:val="en-US" w:eastAsia="zh-CN"/>
              </w:rPr>
              <w:t xml:space="preserve">（局盖章）    20   </w:t>
            </w:r>
            <w:r>
              <w:rPr>
                <w:rFonts w:hint="eastAsia" w:ascii="宋体" w:hAnsi="宋体" w:eastAsia="宋体" w:cs="宋体"/>
                <w:color w:val="auto"/>
                <w:kern w:val="0"/>
                <w:sz w:val="28"/>
                <w:szCs w:val="28"/>
                <w:lang w:val="en-US" w:eastAsia="zh-CN"/>
              </w:rPr>
              <w:t>年   月   日</w:t>
            </w:r>
          </w:p>
        </w:tc>
      </w:tr>
      <w:tr w14:paraId="3ADE7226">
        <w:tblPrEx>
          <w:tblCellMar>
            <w:top w:w="0" w:type="dxa"/>
            <w:left w:w="28" w:type="dxa"/>
            <w:bottom w:w="0" w:type="dxa"/>
            <w:right w:w="28" w:type="dxa"/>
          </w:tblCellMar>
        </w:tblPrEx>
        <w:trPr>
          <w:trHeight w:val="1376" w:hRule="atLeast"/>
          <w:jc w:val="center"/>
        </w:trPr>
        <w:tc>
          <w:tcPr>
            <w:tcW w:w="1649" w:type="dxa"/>
            <w:tcBorders>
              <w:top w:val="single" w:color="auto" w:sz="6" w:space="0"/>
              <w:left w:val="single" w:color="auto" w:sz="12" w:space="0"/>
              <w:bottom w:val="single" w:color="auto" w:sz="6" w:space="0"/>
              <w:right w:val="single" w:color="auto" w:sz="6" w:space="0"/>
            </w:tcBorders>
            <w:noWrap w:val="0"/>
            <w:vAlign w:val="center"/>
          </w:tcPr>
          <w:p w14:paraId="1D93689F">
            <w:pPr>
              <w:widowControl/>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分管市领导</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意  见</w:t>
            </w:r>
          </w:p>
        </w:tc>
        <w:tc>
          <w:tcPr>
            <w:tcW w:w="7828" w:type="dxa"/>
            <w:gridSpan w:val="5"/>
            <w:tcBorders>
              <w:top w:val="single" w:color="auto" w:sz="6" w:space="0"/>
              <w:left w:val="single" w:color="auto" w:sz="6" w:space="0"/>
              <w:bottom w:val="single" w:color="auto" w:sz="6" w:space="0"/>
              <w:right w:val="single" w:color="auto" w:sz="12" w:space="0"/>
            </w:tcBorders>
            <w:noWrap w:val="0"/>
            <w:vAlign w:val="bottom"/>
          </w:tcPr>
          <w:p w14:paraId="11C8EB39">
            <w:pPr>
              <w:widowControl/>
              <w:spacing w:line="320" w:lineRule="exact"/>
              <w:jc w:val="center"/>
              <w:rPr>
                <w:rFonts w:hint="eastAsia" w:ascii="宋体" w:hAnsi="宋体" w:eastAsia="宋体" w:cs="宋体"/>
                <w:color w:val="auto"/>
                <w:kern w:val="0"/>
                <w:sz w:val="28"/>
                <w:szCs w:val="28"/>
              </w:rPr>
            </w:pPr>
            <w:r>
              <w:rPr>
                <w:rFonts w:hint="eastAsia" w:ascii="宋体" w:hAnsi="宋体" w:cs="宋体"/>
                <w:color w:val="auto"/>
                <w:kern w:val="0"/>
                <w:sz w:val="28"/>
                <w:szCs w:val="28"/>
                <w:lang w:val="en-US" w:eastAsia="zh-CN"/>
              </w:rPr>
              <w:t xml:space="preserve">                                      20   </w:t>
            </w:r>
            <w:r>
              <w:rPr>
                <w:rFonts w:hint="eastAsia" w:ascii="宋体" w:hAnsi="宋体" w:eastAsia="宋体" w:cs="宋体"/>
                <w:color w:val="auto"/>
                <w:kern w:val="0"/>
                <w:sz w:val="28"/>
                <w:szCs w:val="28"/>
                <w:lang w:val="en-US" w:eastAsia="zh-CN"/>
              </w:rPr>
              <w:t>年   月   日</w:t>
            </w:r>
          </w:p>
        </w:tc>
      </w:tr>
      <w:tr w14:paraId="59A3359B">
        <w:tblPrEx>
          <w:tblCellMar>
            <w:top w:w="0" w:type="dxa"/>
            <w:left w:w="28" w:type="dxa"/>
            <w:bottom w:w="0" w:type="dxa"/>
            <w:right w:w="28" w:type="dxa"/>
          </w:tblCellMar>
        </w:tblPrEx>
        <w:trPr>
          <w:trHeight w:val="1376" w:hRule="atLeast"/>
          <w:jc w:val="center"/>
        </w:trPr>
        <w:tc>
          <w:tcPr>
            <w:tcW w:w="1649" w:type="dxa"/>
            <w:tcBorders>
              <w:top w:val="single" w:color="auto" w:sz="6" w:space="0"/>
              <w:left w:val="single" w:color="auto" w:sz="12" w:space="0"/>
              <w:bottom w:val="single" w:color="auto" w:sz="12" w:space="0"/>
              <w:right w:val="single" w:color="auto" w:sz="6" w:space="0"/>
            </w:tcBorders>
            <w:noWrap w:val="0"/>
            <w:vAlign w:val="center"/>
          </w:tcPr>
          <w:p w14:paraId="042CF6D0">
            <w:pPr>
              <w:widowControl/>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市领导</w:t>
            </w:r>
          </w:p>
          <w:p w14:paraId="4504725F">
            <w:pPr>
              <w:widowControl/>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意  见</w:t>
            </w:r>
          </w:p>
        </w:tc>
        <w:tc>
          <w:tcPr>
            <w:tcW w:w="7828" w:type="dxa"/>
            <w:gridSpan w:val="5"/>
            <w:tcBorders>
              <w:top w:val="single" w:color="auto" w:sz="6" w:space="0"/>
              <w:left w:val="single" w:color="auto" w:sz="6" w:space="0"/>
              <w:bottom w:val="single" w:color="auto" w:sz="12" w:space="0"/>
              <w:right w:val="single" w:color="auto" w:sz="12" w:space="0"/>
            </w:tcBorders>
            <w:noWrap w:val="0"/>
            <w:vAlign w:val="bottom"/>
          </w:tcPr>
          <w:p w14:paraId="3ED5C8EE">
            <w:pPr>
              <w:widowControl/>
              <w:spacing w:line="320" w:lineRule="exact"/>
              <w:jc w:val="center"/>
              <w:rPr>
                <w:rFonts w:hint="eastAsia" w:ascii="宋体" w:hAnsi="宋体" w:eastAsia="宋体" w:cs="宋体"/>
                <w:color w:val="auto"/>
                <w:kern w:val="0"/>
                <w:sz w:val="28"/>
                <w:szCs w:val="28"/>
              </w:rPr>
            </w:pPr>
            <w:r>
              <w:rPr>
                <w:rFonts w:hint="eastAsia" w:ascii="宋体" w:hAnsi="宋体" w:cs="宋体"/>
                <w:color w:val="auto"/>
                <w:kern w:val="0"/>
                <w:sz w:val="28"/>
                <w:szCs w:val="28"/>
                <w:lang w:val="en-US" w:eastAsia="zh-CN"/>
              </w:rPr>
              <w:t xml:space="preserve">                      （市政府盖章）   20   </w:t>
            </w:r>
            <w:r>
              <w:rPr>
                <w:rFonts w:hint="eastAsia" w:ascii="宋体" w:hAnsi="宋体" w:eastAsia="宋体" w:cs="宋体"/>
                <w:color w:val="auto"/>
                <w:kern w:val="0"/>
                <w:sz w:val="28"/>
                <w:szCs w:val="28"/>
                <w:lang w:val="en-US" w:eastAsia="zh-CN"/>
              </w:rPr>
              <w:t>年   月   日</w:t>
            </w:r>
          </w:p>
        </w:tc>
      </w:tr>
    </w:tbl>
    <w:p w14:paraId="54D84F16">
      <w:pPr>
        <w:pStyle w:val="4"/>
        <w:widowControl/>
        <w:spacing w:beforeAutospacing="0" w:afterAutospacing="0" w:line="525" w:lineRule="atLeas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2-2</w:t>
      </w:r>
    </w:p>
    <w:p w14:paraId="590AA645">
      <w:pPr>
        <w:pStyle w:val="4"/>
        <w:widowControl/>
        <w:spacing w:beforeAutospacing="0" w:afterAutospacing="0" w:line="525" w:lineRule="atLeast"/>
        <w:ind w:firstLine="420"/>
        <w:jc w:val="center"/>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lang w:eastAsia="zh-CN"/>
        </w:rPr>
        <w:t>补充耕地指标缴款</w:t>
      </w:r>
      <w:r>
        <w:rPr>
          <w:rFonts w:hint="eastAsia" w:ascii="仿宋_GB2312" w:hAnsi="仿宋_GB2312" w:eastAsia="仿宋_GB2312" w:cs="仿宋_GB2312"/>
          <w:b/>
          <w:bCs/>
          <w:color w:val="auto"/>
          <w:sz w:val="36"/>
          <w:szCs w:val="36"/>
        </w:rPr>
        <w:t>通知书</w:t>
      </w:r>
    </w:p>
    <w:p w14:paraId="2AD2FC20">
      <w:pPr>
        <w:pStyle w:val="4"/>
        <w:widowControl/>
        <w:spacing w:beforeAutospacing="0" w:afterAutospacing="0" w:line="525" w:lineRule="atLeas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rPr>
        <w:t>单位）：</w:t>
      </w:r>
    </w:p>
    <w:p w14:paraId="5AE30344">
      <w:pPr>
        <w:pStyle w:val="4"/>
        <w:widowControl/>
        <w:spacing w:beforeAutospacing="0" w:afterAutospacing="0" w:line="525" w:lineRule="atLeast"/>
        <w:ind w:firstLine="960" w:firstLineChars="3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你</w:t>
      </w:r>
      <w:r>
        <w:rPr>
          <w:rFonts w:hint="eastAsia" w:ascii="仿宋_GB2312" w:hAnsi="仿宋_GB2312" w:eastAsia="仿宋_GB2312" w:cs="仿宋_GB2312"/>
          <w:color w:val="auto"/>
          <w:sz w:val="32"/>
          <w:szCs w:val="32"/>
          <w:lang w:eastAsia="zh-CN"/>
        </w:rPr>
        <w:t>单位于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日提交的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项目需补充耕地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亩申请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highlight w:val="none"/>
          <w:lang w:eastAsia="zh-CN"/>
        </w:rPr>
        <w:t>已</w:t>
      </w:r>
      <w:r>
        <w:rPr>
          <w:rFonts w:hint="eastAsia" w:ascii="仿宋_GB2312" w:hAnsi="仿宋_GB2312" w:eastAsia="仿宋_GB2312" w:cs="仿宋_GB2312"/>
          <w:color w:val="auto"/>
          <w:sz w:val="32"/>
          <w:szCs w:val="32"/>
          <w:lang w:eastAsia="zh-CN"/>
        </w:rPr>
        <w:t>经市政府同意。根据《</w:t>
      </w:r>
      <w:r>
        <w:rPr>
          <w:rFonts w:hint="eastAsia" w:ascii="仿宋_GB2312" w:hAnsi="仿宋_GB2312" w:eastAsia="仿宋_GB2312" w:cs="仿宋_GB2312"/>
          <w:color w:val="auto"/>
          <w:sz w:val="32"/>
          <w:szCs w:val="32"/>
          <w:highlight w:val="none"/>
          <w:lang w:eastAsia="zh-CN"/>
        </w:rPr>
        <w:t>兰溪市非农建设指标交易管理办法（试行）》</w:t>
      </w:r>
      <w:r>
        <w:rPr>
          <w:rFonts w:hint="eastAsia" w:ascii="仿宋_GB2312" w:hAnsi="仿宋_GB2312" w:eastAsia="仿宋_GB2312" w:cs="仿宋_GB2312"/>
          <w:color w:val="auto"/>
          <w:sz w:val="32"/>
          <w:szCs w:val="32"/>
          <w:lang w:eastAsia="zh-CN"/>
        </w:rPr>
        <w:t>，请</w:t>
      </w:r>
      <w:r>
        <w:rPr>
          <w:rFonts w:hint="eastAsia" w:ascii="仿宋_GB2312" w:hAnsi="仿宋_GB2312" w:eastAsia="仿宋_GB2312" w:cs="仿宋_GB2312"/>
          <w:color w:val="auto"/>
          <w:sz w:val="32"/>
          <w:szCs w:val="32"/>
          <w:highlight w:val="none"/>
          <w:lang w:eastAsia="zh-CN"/>
        </w:rPr>
        <w:t>你单位在</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日内将补充耕地指标费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lang w:eastAsia="zh-CN"/>
        </w:rPr>
        <w:t>元</w:t>
      </w:r>
      <w:r>
        <w:rPr>
          <w:rFonts w:hint="eastAsia" w:ascii="仿宋_GB2312" w:hAnsi="仿宋_GB2312" w:eastAsia="仿宋_GB2312" w:cs="仿宋_GB2312"/>
          <w:color w:val="auto"/>
          <w:sz w:val="32"/>
          <w:szCs w:val="32"/>
          <w:highlight w:val="none"/>
          <w:lang w:val="en-US" w:eastAsia="zh-CN"/>
        </w:rPr>
        <w:t>缴纳至兰溪市财政局非税结算账户。</w:t>
      </w:r>
    </w:p>
    <w:p w14:paraId="0A902FFC">
      <w:pPr>
        <w:pStyle w:val="4"/>
        <w:widowControl/>
        <w:spacing w:beforeAutospacing="0" w:afterAutospacing="0" w:line="525" w:lineRule="atLeast"/>
        <w:ind w:firstLine="640" w:firstLineChars="200"/>
        <w:rPr>
          <w:rFonts w:hint="eastAsia" w:ascii="仿宋_GB2312" w:hAnsi="仿宋_GB2312" w:eastAsia="仿宋_GB2312" w:cs="仿宋_GB2312"/>
          <w:color w:val="auto"/>
          <w:sz w:val="32"/>
          <w:szCs w:val="32"/>
          <w:lang w:eastAsia="zh-CN"/>
        </w:rPr>
      </w:pPr>
    </w:p>
    <w:p w14:paraId="219C231C">
      <w:pPr>
        <w:pStyle w:val="4"/>
        <w:widowControl/>
        <w:spacing w:beforeAutospacing="0" w:afterAutospacing="0" w:line="525" w:lineRule="atLeas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户名：兰溪市财政局非税收入汇缴专户</w:t>
      </w:r>
      <w:r>
        <w:rPr>
          <w:rFonts w:hint="eastAsia" w:ascii="仿宋_GB2312" w:hAnsi="仿宋_GB2312" w:eastAsia="仿宋_GB2312" w:cs="仿宋_GB2312"/>
          <w:color w:val="auto"/>
          <w:sz w:val="32"/>
          <w:szCs w:val="32"/>
          <w:lang w:val="en-US" w:eastAsia="zh-CN"/>
        </w:rPr>
        <w:t>-电子缴款专户</w:t>
      </w:r>
    </w:p>
    <w:p w14:paraId="35B04B5D">
      <w:pPr>
        <w:pStyle w:val="4"/>
        <w:widowControl/>
        <w:spacing w:beforeAutospacing="0" w:afterAutospacing="0" w:line="525" w:lineRule="atLeas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帐号：201000028360299005555</w:t>
      </w:r>
    </w:p>
    <w:p w14:paraId="68E591A4">
      <w:pPr>
        <w:pStyle w:val="4"/>
        <w:widowControl/>
        <w:spacing w:beforeAutospacing="0" w:afterAutospacing="0" w:line="525"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开户行：浙江兰溪农村商业银行</w:t>
      </w:r>
    </w:p>
    <w:p w14:paraId="7533F2F6">
      <w:pPr>
        <w:pStyle w:val="4"/>
        <w:widowControl/>
        <w:spacing w:beforeAutospacing="0" w:afterAutospacing="0" w:line="525" w:lineRule="atLeast"/>
        <w:ind w:firstLine="4160" w:firstLineChars="1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兰溪市自然资源和规划局</w:t>
      </w:r>
    </w:p>
    <w:p w14:paraId="38BB1ED9">
      <w:pPr>
        <w:pStyle w:val="4"/>
        <w:widowControl/>
        <w:spacing w:beforeAutospacing="0" w:afterAutospacing="0" w:line="525" w:lineRule="atLeast"/>
        <w:ind w:firstLine="42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 年 月 日</w:t>
      </w:r>
    </w:p>
    <w:p w14:paraId="17D5B354">
      <w:pPr>
        <w:pStyle w:val="4"/>
        <w:widowControl/>
        <w:spacing w:beforeAutospacing="0" w:afterAutospacing="0" w:line="525" w:lineRule="atLeas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14:paraId="69465B11">
      <w:pPr>
        <w:pStyle w:val="4"/>
        <w:widowControl/>
        <w:spacing w:beforeAutospacing="0" w:afterAutospacing="0" w:line="525" w:lineRule="atLeas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附表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单位：亩、等</w:t>
      </w:r>
    </w:p>
    <w:tbl>
      <w:tblPr>
        <w:tblStyle w:val="5"/>
        <w:tblpPr w:leftFromText="180" w:rightFromText="180" w:vertAnchor="text" w:horzAnchor="page" w:tblpX="1440" w:tblpY="214"/>
        <w:tblOverlap w:val="neve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77"/>
        <w:gridCol w:w="1290"/>
        <w:gridCol w:w="1455"/>
        <w:gridCol w:w="1575"/>
        <w:gridCol w:w="1648"/>
        <w:gridCol w:w="1648"/>
      </w:tblGrid>
      <w:tr w14:paraId="6F766C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2667" w:type="dxa"/>
            <w:gridSpan w:val="2"/>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45BD10A0">
            <w:pPr>
              <w:pStyle w:val="4"/>
              <w:widowControl/>
              <w:spacing w:beforeAutospacing="0" w:afterAutospacing="0" w:line="525" w:lineRule="atLeas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指标类型</w:t>
            </w:r>
          </w:p>
        </w:tc>
        <w:tc>
          <w:tcPr>
            <w:tcW w:w="1455" w:type="dxa"/>
            <w:tcBorders>
              <w:top w:val="single" w:color="auto" w:sz="6" w:space="0"/>
              <w:left w:val="nil"/>
              <w:bottom w:val="single" w:color="auto" w:sz="6" w:space="0"/>
              <w:right w:val="single" w:color="auto" w:sz="6" w:space="0"/>
            </w:tcBorders>
            <w:noWrap w:val="0"/>
            <w:tcMar>
              <w:left w:w="105" w:type="dxa"/>
              <w:right w:w="105" w:type="dxa"/>
            </w:tcMar>
            <w:vAlign w:val="center"/>
          </w:tcPr>
          <w:p w14:paraId="6E2EBCC6">
            <w:pPr>
              <w:pStyle w:val="4"/>
              <w:widowControl/>
              <w:spacing w:beforeAutospacing="0" w:afterAutospacing="0" w:line="525" w:lineRule="atLeas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数量</w:t>
            </w:r>
          </w:p>
        </w:tc>
        <w:tc>
          <w:tcPr>
            <w:tcW w:w="1575" w:type="dxa"/>
            <w:tcBorders>
              <w:top w:val="single" w:color="auto" w:sz="6" w:space="0"/>
              <w:left w:val="nil"/>
              <w:bottom w:val="single" w:color="auto" w:sz="6" w:space="0"/>
              <w:right w:val="single" w:color="auto" w:sz="4" w:space="0"/>
            </w:tcBorders>
            <w:noWrap w:val="0"/>
            <w:tcMar>
              <w:left w:w="105" w:type="dxa"/>
              <w:right w:w="105" w:type="dxa"/>
            </w:tcMar>
            <w:vAlign w:val="center"/>
          </w:tcPr>
          <w:p w14:paraId="2D95BC2B">
            <w:pPr>
              <w:pStyle w:val="4"/>
              <w:widowControl/>
              <w:spacing w:beforeAutospacing="0" w:afterAutospacing="0" w:line="525"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耕地等级</w:t>
            </w:r>
          </w:p>
        </w:tc>
        <w:tc>
          <w:tcPr>
            <w:tcW w:w="3296" w:type="dxa"/>
            <w:gridSpan w:val="2"/>
            <w:tcBorders>
              <w:top w:val="single" w:color="auto" w:sz="6" w:space="0"/>
              <w:left w:val="single" w:color="auto" w:sz="4" w:space="0"/>
              <w:bottom w:val="single" w:color="auto" w:sz="6" w:space="0"/>
              <w:right w:val="single" w:color="auto" w:sz="6" w:space="0"/>
            </w:tcBorders>
            <w:noWrap w:val="0"/>
            <w:tcMar>
              <w:left w:w="105" w:type="dxa"/>
              <w:right w:w="105" w:type="dxa"/>
            </w:tcMar>
            <w:vAlign w:val="center"/>
          </w:tcPr>
          <w:p w14:paraId="561661F8">
            <w:pPr>
              <w:spacing w:line="32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购买标准及费用</w:t>
            </w:r>
            <w:r>
              <w:rPr>
                <w:rFonts w:hint="eastAsia" w:ascii="宋体" w:hAnsi="宋体" w:eastAsia="宋体" w:cs="宋体"/>
                <w:color w:val="auto"/>
                <w:kern w:val="0"/>
                <w:sz w:val="28"/>
                <w:szCs w:val="28"/>
                <w:lang w:val="en-US" w:eastAsia="zh-CN"/>
              </w:rPr>
              <w:t xml:space="preserve"> </w:t>
            </w:r>
          </w:p>
          <w:p w14:paraId="365C0547">
            <w:pPr>
              <w:pStyle w:val="4"/>
              <w:widowControl/>
              <w:spacing w:beforeAutospacing="0" w:afterAutospacing="0" w:line="525" w:lineRule="atLeast"/>
              <w:jc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rPr>
              <w:t>（元/亩、元）</w:t>
            </w:r>
          </w:p>
        </w:tc>
      </w:tr>
      <w:tr w14:paraId="70C5AE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377" w:type="dxa"/>
            <w:vMerge w:val="restart"/>
            <w:tcBorders>
              <w:top w:val="nil"/>
              <w:left w:val="single" w:color="auto" w:sz="6" w:space="0"/>
              <w:right w:val="single" w:color="auto" w:sz="6" w:space="0"/>
            </w:tcBorders>
            <w:noWrap w:val="0"/>
            <w:tcMar>
              <w:left w:w="105" w:type="dxa"/>
              <w:right w:w="105" w:type="dxa"/>
            </w:tcMar>
            <w:vAlign w:val="center"/>
          </w:tcPr>
          <w:p w14:paraId="3852A474">
            <w:pPr>
              <w:widowControl/>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补充耕地指标</w:t>
            </w:r>
          </w:p>
        </w:tc>
        <w:tc>
          <w:tcPr>
            <w:tcW w:w="1290" w:type="dxa"/>
            <w:vMerge w:val="restart"/>
            <w:tcBorders>
              <w:top w:val="nil"/>
              <w:left w:val="nil"/>
              <w:right w:val="single" w:color="auto" w:sz="6" w:space="0"/>
            </w:tcBorders>
            <w:noWrap w:val="0"/>
            <w:tcMar>
              <w:left w:w="105" w:type="dxa"/>
              <w:right w:w="105" w:type="dxa"/>
            </w:tcMar>
            <w:vAlign w:val="center"/>
          </w:tcPr>
          <w:p w14:paraId="08230185">
            <w:pPr>
              <w:widowControl/>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水田</w:t>
            </w:r>
          </w:p>
        </w:tc>
        <w:tc>
          <w:tcPr>
            <w:tcW w:w="1455" w:type="dxa"/>
            <w:vMerge w:val="restart"/>
            <w:tcBorders>
              <w:top w:val="nil"/>
              <w:left w:val="nil"/>
              <w:right w:val="single" w:color="auto" w:sz="6" w:space="0"/>
            </w:tcBorders>
            <w:noWrap w:val="0"/>
            <w:tcMar>
              <w:left w:w="105" w:type="dxa"/>
              <w:right w:w="105" w:type="dxa"/>
            </w:tcMar>
            <w:vAlign w:val="center"/>
          </w:tcPr>
          <w:p w14:paraId="2A6290A3">
            <w:pPr>
              <w:widowControl/>
              <w:jc w:val="center"/>
              <w:textAlignment w:val="center"/>
              <w:rPr>
                <w:rFonts w:hint="eastAsia" w:ascii="宋体" w:hAnsi="宋体" w:eastAsia="宋体" w:cs="宋体"/>
                <w:color w:val="auto"/>
                <w:sz w:val="28"/>
                <w:szCs w:val="28"/>
              </w:rPr>
            </w:pPr>
          </w:p>
        </w:tc>
        <w:tc>
          <w:tcPr>
            <w:tcW w:w="1575" w:type="dxa"/>
            <w:vMerge w:val="restart"/>
            <w:tcBorders>
              <w:top w:val="nil"/>
              <w:left w:val="nil"/>
              <w:right w:val="single" w:color="auto" w:sz="4" w:space="0"/>
            </w:tcBorders>
            <w:noWrap w:val="0"/>
            <w:tcMar>
              <w:left w:w="105" w:type="dxa"/>
              <w:right w:w="105" w:type="dxa"/>
            </w:tcMar>
            <w:vAlign w:val="center"/>
          </w:tcPr>
          <w:p w14:paraId="320EAF08">
            <w:pPr>
              <w:widowControl/>
              <w:jc w:val="center"/>
              <w:textAlignment w:val="center"/>
              <w:rPr>
                <w:rFonts w:hint="eastAsia" w:ascii="宋体" w:hAnsi="宋体" w:eastAsia="宋体" w:cs="宋体"/>
                <w:color w:val="auto"/>
                <w:sz w:val="28"/>
                <w:szCs w:val="28"/>
              </w:rPr>
            </w:pP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342EB655">
            <w:pPr>
              <w:widowControl/>
              <w:jc w:val="center"/>
              <w:textAlignment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标准</w:t>
            </w: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6D520574">
            <w:pPr>
              <w:widowControl/>
              <w:jc w:val="center"/>
              <w:textAlignment w:val="center"/>
              <w:rPr>
                <w:rFonts w:hint="eastAsia" w:ascii="宋体" w:hAnsi="宋体" w:eastAsia="宋体" w:cs="宋体"/>
                <w:color w:val="auto"/>
                <w:sz w:val="28"/>
                <w:szCs w:val="28"/>
              </w:rPr>
            </w:pPr>
          </w:p>
        </w:tc>
      </w:tr>
      <w:tr w14:paraId="4F58A9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7" w:hRule="atLeast"/>
        </w:trPr>
        <w:tc>
          <w:tcPr>
            <w:tcW w:w="1377" w:type="dxa"/>
            <w:vMerge w:val="continue"/>
            <w:tcBorders>
              <w:left w:val="single" w:color="auto" w:sz="6" w:space="0"/>
              <w:right w:val="single" w:color="auto" w:sz="6" w:space="0"/>
            </w:tcBorders>
            <w:noWrap w:val="0"/>
            <w:tcMar>
              <w:left w:w="105" w:type="dxa"/>
              <w:right w:w="105" w:type="dxa"/>
            </w:tcMar>
            <w:vAlign w:val="center"/>
          </w:tcPr>
          <w:p w14:paraId="46D37FFB">
            <w:pPr>
              <w:widowControl/>
              <w:jc w:val="center"/>
              <w:textAlignment w:val="center"/>
              <w:rPr>
                <w:rFonts w:hint="eastAsia" w:ascii="宋体" w:hAnsi="宋体" w:eastAsia="宋体" w:cs="宋体"/>
                <w:color w:val="auto"/>
                <w:sz w:val="28"/>
                <w:szCs w:val="28"/>
              </w:rPr>
            </w:pPr>
          </w:p>
        </w:tc>
        <w:tc>
          <w:tcPr>
            <w:tcW w:w="1290" w:type="dxa"/>
            <w:vMerge w:val="continue"/>
            <w:tcBorders>
              <w:left w:val="nil"/>
              <w:bottom w:val="single" w:color="auto" w:sz="6" w:space="0"/>
              <w:right w:val="single" w:color="auto" w:sz="6" w:space="0"/>
            </w:tcBorders>
            <w:noWrap w:val="0"/>
            <w:tcMar>
              <w:left w:w="105" w:type="dxa"/>
              <w:right w:w="105" w:type="dxa"/>
            </w:tcMar>
            <w:vAlign w:val="center"/>
          </w:tcPr>
          <w:p w14:paraId="0EBC6A7C">
            <w:pPr>
              <w:widowControl/>
              <w:jc w:val="center"/>
              <w:textAlignment w:val="center"/>
              <w:rPr>
                <w:rFonts w:hint="eastAsia" w:ascii="宋体" w:hAnsi="宋体" w:eastAsia="宋体" w:cs="宋体"/>
                <w:color w:val="auto"/>
                <w:sz w:val="28"/>
                <w:szCs w:val="28"/>
              </w:rPr>
            </w:pPr>
          </w:p>
        </w:tc>
        <w:tc>
          <w:tcPr>
            <w:tcW w:w="1455" w:type="dxa"/>
            <w:vMerge w:val="continue"/>
            <w:tcBorders>
              <w:left w:val="nil"/>
              <w:bottom w:val="single" w:color="auto" w:sz="6" w:space="0"/>
              <w:right w:val="single" w:color="auto" w:sz="6" w:space="0"/>
            </w:tcBorders>
            <w:noWrap w:val="0"/>
            <w:tcMar>
              <w:left w:w="105" w:type="dxa"/>
              <w:right w:w="105" w:type="dxa"/>
            </w:tcMar>
            <w:vAlign w:val="center"/>
          </w:tcPr>
          <w:p w14:paraId="4559021A">
            <w:pPr>
              <w:widowControl/>
              <w:jc w:val="center"/>
              <w:textAlignment w:val="center"/>
              <w:rPr>
                <w:rFonts w:hint="eastAsia" w:ascii="宋体" w:hAnsi="宋体" w:eastAsia="宋体" w:cs="宋体"/>
                <w:color w:val="auto"/>
                <w:sz w:val="28"/>
                <w:szCs w:val="28"/>
              </w:rPr>
            </w:pPr>
          </w:p>
        </w:tc>
        <w:tc>
          <w:tcPr>
            <w:tcW w:w="1575" w:type="dxa"/>
            <w:vMerge w:val="continue"/>
            <w:tcBorders>
              <w:left w:val="nil"/>
              <w:bottom w:val="single" w:color="auto" w:sz="6" w:space="0"/>
              <w:right w:val="single" w:color="auto" w:sz="4" w:space="0"/>
            </w:tcBorders>
            <w:noWrap w:val="0"/>
            <w:tcMar>
              <w:left w:w="105" w:type="dxa"/>
              <w:right w:w="105" w:type="dxa"/>
            </w:tcMar>
            <w:vAlign w:val="center"/>
          </w:tcPr>
          <w:p w14:paraId="1B3508F8">
            <w:pPr>
              <w:widowControl/>
              <w:jc w:val="center"/>
              <w:textAlignment w:val="center"/>
              <w:rPr>
                <w:rFonts w:hint="eastAsia" w:ascii="宋体" w:hAnsi="宋体" w:eastAsia="宋体" w:cs="宋体"/>
                <w:color w:val="auto"/>
                <w:sz w:val="28"/>
                <w:szCs w:val="28"/>
              </w:rPr>
            </w:pP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12E8BA24">
            <w:pPr>
              <w:widowControl/>
              <w:jc w:val="center"/>
              <w:textAlignment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费用</w:t>
            </w: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0DB8D372">
            <w:pPr>
              <w:widowControl/>
              <w:jc w:val="center"/>
              <w:textAlignment w:val="center"/>
              <w:rPr>
                <w:rFonts w:hint="eastAsia" w:ascii="宋体" w:hAnsi="宋体" w:eastAsia="宋体" w:cs="宋体"/>
                <w:color w:val="auto"/>
                <w:sz w:val="28"/>
                <w:szCs w:val="28"/>
              </w:rPr>
            </w:pPr>
          </w:p>
        </w:tc>
      </w:tr>
      <w:tr w14:paraId="0450A0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9" w:hRule="atLeast"/>
        </w:trPr>
        <w:tc>
          <w:tcPr>
            <w:tcW w:w="1377" w:type="dxa"/>
            <w:vMerge w:val="continue"/>
            <w:tcBorders>
              <w:left w:val="single" w:color="auto" w:sz="6" w:space="0"/>
              <w:bottom w:val="single" w:color="auto" w:sz="6" w:space="0"/>
              <w:right w:val="single" w:color="auto" w:sz="6" w:space="0"/>
            </w:tcBorders>
            <w:noWrap w:val="0"/>
            <w:tcMar>
              <w:left w:w="105" w:type="dxa"/>
              <w:right w:w="105" w:type="dxa"/>
            </w:tcMar>
            <w:vAlign w:val="center"/>
          </w:tcPr>
          <w:p w14:paraId="615E9CA6">
            <w:pPr>
              <w:widowControl/>
              <w:jc w:val="center"/>
              <w:textAlignment w:val="center"/>
              <w:rPr>
                <w:rFonts w:hint="eastAsia" w:ascii="宋体" w:hAnsi="宋体" w:eastAsia="宋体" w:cs="宋体"/>
                <w:color w:val="auto"/>
                <w:sz w:val="28"/>
                <w:szCs w:val="28"/>
              </w:rPr>
            </w:pPr>
          </w:p>
        </w:tc>
        <w:tc>
          <w:tcPr>
            <w:tcW w:w="1290" w:type="dxa"/>
            <w:vMerge w:val="restart"/>
            <w:tcBorders>
              <w:top w:val="nil"/>
              <w:left w:val="nil"/>
              <w:right w:val="single" w:color="auto" w:sz="6" w:space="0"/>
            </w:tcBorders>
            <w:noWrap w:val="0"/>
            <w:tcMar>
              <w:left w:w="105" w:type="dxa"/>
              <w:right w:w="105" w:type="dxa"/>
            </w:tcMar>
            <w:vAlign w:val="center"/>
          </w:tcPr>
          <w:p w14:paraId="17C715DF">
            <w:pPr>
              <w:widowControl/>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旱地</w:t>
            </w:r>
          </w:p>
        </w:tc>
        <w:tc>
          <w:tcPr>
            <w:tcW w:w="1455" w:type="dxa"/>
            <w:vMerge w:val="restart"/>
            <w:tcBorders>
              <w:top w:val="nil"/>
              <w:left w:val="nil"/>
              <w:right w:val="single" w:color="auto" w:sz="6" w:space="0"/>
            </w:tcBorders>
            <w:noWrap w:val="0"/>
            <w:tcMar>
              <w:left w:w="105" w:type="dxa"/>
              <w:right w:w="105" w:type="dxa"/>
            </w:tcMar>
            <w:vAlign w:val="center"/>
          </w:tcPr>
          <w:p w14:paraId="5510C4E5">
            <w:pPr>
              <w:widowControl/>
              <w:jc w:val="center"/>
              <w:textAlignment w:val="center"/>
              <w:rPr>
                <w:rFonts w:hint="eastAsia" w:ascii="宋体" w:hAnsi="宋体" w:eastAsia="宋体" w:cs="宋体"/>
                <w:color w:val="auto"/>
                <w:sz w:val="28"/>
                <w:szCs w:val="28"/>
              </w:rPr>
            </w:pPr>
          </w:p>
        </w:tc>
        <w:tc>
          <w:tcPr>
            <w:tcW w:w="1575" w:type="dxa"/>
            <w:vMerge w:val="restart"/>
            <w:tcBorders>
              <w:top w:val="nil"/>
              <w:left w:val="nil"/>
              <w:right w:val="single" w:color="auto" w:sz="4" w:space="0"/>
            </w:tcBorders>
            <w:noWrap w:val="0"/>
            <w:tcMar>
              <w:left w:w="105" w:type="dxa"/>
              <w:right w:w="105" w:type="dxa"/>
            </w:tcMar>
            <w:vAlign w:val="center"/>
          </w:tcPr>
          <w:p w14:paraId="5A3B3CE3">
            <w:pPr>
              <w:widowControl/>
              <w:jc w:val="center"/>
              <w:textAlignment w:val="center"/>
              <w:rPr>
                <w:rFonts w:hint="eastAsia" w:ascii="宋体" w:hAnsi="宋体" w:eastAsia="宋体" w:cs="宋体"/>
                <w:color w:val="auto"/>
                <w:sz w:val="28"/>
                <w:szCs w:val="28"/>
              </w:rPr>
            </w:pP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3B132675">
            <w:pPr>
              <w:widowControl/>
              <w:jc w:val="center"/>
              <w:textAlignment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标准</w:t>
            </w: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31442BF7">
            <w:pPr>
              <w:widowControl/>
              <w:jc w:val="center"/>
              <w:textAlignment w:val="center"/>
              <w:rPr>
                <w:rFonts w:hint="eastAsia" w:ascii="宋体" w:hAnsi="宋体" w:eastAsia="宋体" w:cs="宋体"/>
                <w:color w:val="auto"/>
                <w:sz w:val="28"/>
                <w:szCs w:val="28"/>
              </w:rPr>
            </w:pPr>
          </w:p>
        </w:tc>
      </w:tr>
      <w:tr w14:paraId="64A7F3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377" w:type="dxa"/>
            <w:vMerge w:val="continue"/>
            <w:tcBorders>
              <w:left w:val="single" w:color="auto" w:sz="6" w:space="0"/>
              <w:bottom w:val="single" w:color="auto" w:sz="6" w:space="0"/>
              <w:right w:val="single" w:color="auto" w:sz="6" w:space="0"/>
            </w:tcBorders>
            <w:noWrap w:val="0"/>
            <w:tcMar>
              <w:left w:w="105" w:type="dxa"/>
              <w:right w:w="105" w:type="dxa"/>
            </w:tcMar>
            <w:vAlign w:val="center"/>
          </w:tcPr>
          <w:p w14:paraId="5B24640E">
            <w:pPr>
              <w:widowControl/>
              <w:jc w:val="center"/>
              <w:textAlignment w:val="center"/>
              <w:rPr>
                <w:rFonts w:hint="eastAsia" w:ascii="宋体" w:hAnsi="宋体" w:eastAsia="宋体" w:cs="宋体"/>
                <w:color w:val="auto"/>
                <w:sz w:val="28"/>
                <w:szCs w:val="28"/>
              </w:rPr>
            </w:pPr>
          </w:p>
        </w:tc>
        <w:tc>
          <w:tcPr>
            <w:tcW w:w="1290" w:type="dxa"/>
            <w:vMerge w:val="continue"/>
            <w:tcBorders>
              <w:left w:val="nil"/>
              <w:bottom w:val="single" w:color="auto" w:sz="6" w:space="0"/>
              <w:right w:val="single" w:color="auto" w:sz="6" w:space="0"/>
            </w:tcBorders>
            <w:noWrap w:val="0"/>
            <w:tcMar>
              <w:left w:w="105" w:type="dxa"/>
              <w:right w:w="105" w:type="dxa"/>
            </w:tcMar>
            <w:vAlign w:val="center"/>
          </w:tcPr>
          <w:p w14:paraId="1370B512">
            <w:pPr>
              <w:widowControl/>
              <w:jc w:val="center"/>
              <w:textAlignment w:val="center"/>
              <w:rPr>
                <w:rFonts w:hint="eastAsia" w:ascii="宋体" w:hAnsi="宋体" w:eastAsia="宋体" w:cs="宋体"/>
                <w:color w:val="auto"/>
                <w:sz w:val="28"/>
                <w:szCs w:val="28"/>
              </w:rPr>
            </w:pPr>
          </w:p>
        </w:tc>
        <w:tc>
          <w:tcPr>
            <w:tcW w:w="1455" w:type="dxa"/>
            <w:vMerge w:val="continue"/>
            <w:tcBorders>
              <w:left w:val="nil"/>
              <w:bottom w:val="single" w:color="auto" w:sz="6" w:space="0"/>
              <w:right w:val="single" w:color="auto" w:sz="6" w:space="0"/>
            </w:tcBorders>
            <w:noWrap w:val="0"/>
            <w:tcMar>
              <w:left w:w="105" w:type="dxa"/>
              <w:right w:w="105" w:type="dxa"/>
            </w:tcMar>
            <w:vAlign w:val="center"/>
          </w:tcPr>
          <w:p w14:paraId="0C995B43">
            <w:pPr>
              <w:widowControl/>
              <w:jc w:val="center"/>
              <w:textAlignment w:val="center"/>
              <w:rPr>
                <w:rFonts w:hint="eastAsia" w:ascii="宋体" w:hAnsi="宋体" w:eastAsia="宋体" w:cs="宋体"/>
                <w:color w:val="auto"/>
                <w:sz w:val="28"/>
                <w:szCs w:val="28"/>
              </w:rPr>
            </w:pPr>
          </w:p>
        </w:tc>
        <w:tc>
          <w:tcPr>
            <w:tcW w:w="1575" w:type="dxa"/>
            <w:vMerge w:val="continue"/>
            <w:tcBorders>
              <w:left w:val="nil"/>
              <w:bottom w:val="single" w:color="auto" w:sz="6" w:space="0"/>
              <w:right w:val="single" w:color="auto" w:sz="4" w:space="0"/>
            </w:tcBorders>
            <w:noWrap w:val="0"/>
            <w:tcMar>
              <w:left w:w="105" w:type="dxa"/>
              <w:right w:w="105" w:type="dxa"/>
            </w:tcMar>
            <w:vAlign w:val="center"/>
          </w:tcPr>
          <w:p w14:paraId="765D865A">
            <w:pPr>
              <w:widowControl/>
              <w:jc w:val="center"/>
              <w:textAlignment w:val="center"/>
              <w:rPr>
                <w:rFonts w:hint="eastAsia" w:ascii="宋体" w:hAnsi="宋体" w:eastAsia="宋体" w:cs="宋体"/>
                <w:color w:val="auto"/>
                <w:sz w:val="28"/>
                <w:szCs w:val="28"/>
              </w:rPr>
            </w:pP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3876C778">
            <w:pPr>
              <w:widowControl/>
              <w:jc w:val="center"/>
              <w:textAlignment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费用</w:t>
            </w: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619CA9E3">
            <w:pPr>
              <w:widowControl/>
              <w:jc w:val="center"/>
              <w:textAlignment w:val="center"/>
              <w:rPr>
                <w:rFonts w:hint="eastAsia" w:ascii="宋体" w:hAnsi="宋体" w:eastAsia="宋体" w:cs="宋体"/>
                <w:color w:val="auto"/>
                <w:sz w:val="28"/>
                <w:szCs w:val="28"/>
              </w:rPr>
            </w:pPr>
          </w:p>
        </w:tc>
      </w:tr>
    </w:tbl>
    <w:p w14:paraId="72E43FA6">
      <w:pPr>
        <w:pStyle w:val="4"/>
        <w:widowControl/>
        <w:spacing w:beforeAutospacing="0" w:afterAutospacing="0" w:line="525" w:lineRule="atLeast"/>
        <w:rPr>
          <w:rFonts w:ascii="宋体" w:hAnsi="宋体" w:eastAsia="宋体" w:cs="宋体"/>
          <w:color w:val="auto"/>
          <w:sz w:val="30"/>
          <w:szCs w:val="30"/>
        </w:rPr>
      </w:pPr>
    </w:p>
    <w:p w14:paraId="7206130E">
      <w:pPr>
        <w:pStyle w:val="4"/>
        <w:widowControl/>
        <w:spacing w:beforeAutospacing="0" w:afterAutospacing="0" w:line="525" w:lineRule="atLeast"/>
        <w:rPr>
          <w:rFonts w:hint="eastAsia" w:ascii="仿宋_GB2312" w:hAnsi="仿宋_GB2312" w:eastAsia="仿宋_GB2312" w:cs="仿宋_GB2312"/>
          <w:color w:val="auto"/>
          <w:sz w:val="32"/>
          <w:szCs w:val="32"/>
        </w:rPr>
      </w:pPr>
    </w:p>
    <w:p w14:paraId="2F89A4DA">
      <w:pPr>
        <w:pStyle w:val="4"/>
        <w:widowControl/>
        <w:spacing w:beforeAutospacing="0" w:afterAutospacing="0" w:line="525" w:lineRule="atLeas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2-3</w:t>
      </w:r>
    </w:p>
    <w:p w14:paraId="698C4E9A">
      <w:pPr>
        <w:pStyle w:val="4"/>
        <w:widowControl/>
        <w:spacing w:beforeAutospacing="0" w:afterAutospacing="0" w:line="525" w:lineRule="atLeast"/>
        <w:ind w:firstLine="420"/>
        <w:jc w:val="center"/>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补充耕地指标下达通知书</w:t>
      </w:r>
    </w:p>
    <w:p w14:paraId="2D61BBA4">
      <w:pPr>
        <w:pStyle w:val="4"/>
        <w:widowControl/>
        <w:spacing w:beforeAutospacing="0" w:afterAutospacing="0" w:line="525" w:lineRule="atLeas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（业主单位）：</w:t>
      </w:r>
    </w:p>
    <w:p w14:paraId="3A0E0385">
      <w:pPr>
        <w:pStyle w:val="4"/>
        <w:widowControl/>
        <w:spacing w:beforeAutospacing="0" w:afterAutospacing="0" w:line="525" w:lineRule="atLeast"/>
        <w:ind w:firstLine="960" w:firstLineChars="3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根据你</w:t>
      </w:r>
      <w:r>
        <w:rPr>
          <w:rFonts w:hint="eastAsia" w:ascii="仿宋_GB2312" w:hAnsi="仿宋_GB2312" w:eastAsia="仿宋_GB2312" w:cs="仿宋_GB2312"/>
          <w:color w:val="auto"/>
          <w:sz w:val="32"/>
          <w:szCs w:val="32"/>
          <w:lang w:eastAsia="zh-CN"/>
        </w:rPr>
        <w:t>单位提交的</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项目补充耕地指标</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经市政府同意，</w:t>
      </w:r>
      <w:r>
        <w:rPr>
          <w:rFonts w:hint="eastAsia" w:ascii="仿宋_GB2312" w:hAnsi="仿宋_GB2312" w:eastAsia="仿宋_GB2312" w:cs="仿宋_GB2312"/>
          <w:color w:val="auto"/>
          <w:sz w:val="32"/>
          <w:szCs w:val="32"/>
          <w:highlight w:val="none"/>
          <w:lang w:eastAsia="zh-CN"/>
        </w:rPr>
        <w:t>现向你单位</w:t>
      </w:r>
      <w:r>
        <w:rPr>
          <w:rFonts w:hint="eastAsia" w:ascii="仿宋_GB2312" w:hAnsi="仿宋_GB2312" w:eastAsia="仿宋_GB2312" w:cs="仿宋_GB2312"/>
          <w:color w:val="auto"/>
          <w:sz w:val="32"/>
          <w:szCs w:val="32"/>
          <w:highlight w:val="none"/>
        </w:rPr>
        <w:t>下达</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亩的补充耕地指标，该指标数量需在一年内使用完。若要分割使用，请在办理农用地转用和土地征收报批时告知我局。</w:t>
      </w:r>
    </w:p>
    <w:p w14:paraId="2657F08A">
      <w:pPr>
        <w:pStyle w:val="4"/>
        <w:widowControl/>
        <w:spacing w:beforeAutospacing="0" w:afterAutospacing="0" w:line="525" w:lineRule="atLeast"/>
        <w:ind w:firstLine="42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特此通知。</w:t>
      </w:r>
    </w:p>
    <w:p w14:paraId="3B40D382">
      <w:pPr>
        <w:pStyle w:val="4"/>
        <w:widowControl/>
        <w:spacing w:beforeAutospacing="0" w:afterAutospacing="0" w:line="525" w:lineRule="atLeast"/>
        <w:ind w:firstLine="4160" w:firstLineChars="1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兰溪市自然资源和规划局</w:t>
      </w:r>
    </w:p>
    <w:p w14:paraId="7AA81AC7">
      <w:pPr>
        <w:pStyle w:val="4"/>
        <w:widowControl/>
        <w:spacing w:beforeAutospacing="0" w:afterAutospacing="0" w:line="525" w:lineRule="atLeast"/>
        <w:ind w:firstLine="42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 年 月 日</w:t>
      </w:r>
    </w:p>
    <w:p w14:paraId="73CBB837">
      <w:pPr>
        <w:pStyle w:val="4"/>
        <w:widowControl/>
        <w:spacing w:beforeAutospacing="0" w:afterAutospacing="0" w:line="525" w:lineRule="atLeas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14:paraId="3FF3C2C8">
      <w:pPr>
        <w:pStyle w:val="4"/>
        <w:widowControl/>
        <w:spacing w:beforeAutospacing="0" w:afterAutospacing="0" w:line="525" w:lineRule="atLeas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附表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单位：亩、等</w:t>
      </w:r>
    </w:p>
    <w:tbl>
      <w:tblPr>
        <w:tblStyle w:val="5"/>
        <w:tblpPr w:leftFromText="180" w:rightFromText="180" w:vertAnchor="text" w:horzAnchor="page" w:tblpX="1440" w:tblpY="214"/>
        <w:tblOverlap w:val="neve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18"/>
        <w:gridCol w:w="2208"/>
        <w:gridCol w:w="1977"/>
        <w:gridCol w:w="2790"/>
      </w:tblGrid>
      <w:tr w14:paraId="10EBD3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4226" w:type="dxa"/>
            <w:gridSpan w:val="2"/>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20816642">
            <w:pPr>
              <w:pStyle w:val="4"/>
              <w:widowControl/>
              <w:spacing w:beforeAutospacing="0" w:afterAutospacing="0" w:line="525" w:lineRule="atLeast"/>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指标类型</w:t>
            </w:r>
          </w:p>
        </w:tc>
        <w:tc>
          <w:tcPr>
            <w:tcW w:w="1977" w:type="dxa"/>
            <w:tcBorders>
              <w:top w:val="single" w:color="auto" w:sz="6" w:space="0"/>
              <w:left w:val="nil"/>
              <w:bottom w:val="single" w:color="auto" w:sz="6" w:space="0"/>
              <w:right w:val="single" w:color="auto" w:sz="6" w:space="0"/>
            </w:tcBorders>
            <w:noWrap w:val="0"/>
            <w:tcMar>
              <w:left w:w="105" w:type="dxa"/>
              <w:right w:w="105" w:type="dxa"/>
            </w:tcMar>
            <w:vAlign w:val="center"/>
          </w:tcPr>
          <w:p w14:paraId="19C54458">
            <w:pPr>
              <w:pStyle w:val="4"/>
              <w:widowControl/>
              <w:spacing w:beforeAutospacing="0" w:afterAutospacing="0" w:line="525" w:lineRule="atLeast"/>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数量</w:t>
            </w:r>
          </w:p>
        </w:tc>
        <w:tc>
          <w:tcPr>
            <w:tcW w:w="2790" w:type="dxa"/>
            <w:tcBorders>
              <w:top w:val="single" w:color="auto" w:sz="6" w:space="0"/>
              <w:left w:val="nil"/>
              <w:bottom w:val="single" w:color="auto" w:sz="6" w:space="0"/>
              <w:right w:val="single" w:color="auto" w:sz="6" w:space="0"/>
            </w:tcBorders>
            <w:noWrap w:val="0"/>
            <w:tcMar>
              <w:left w:w="105" w:type="dxa"/>
              <w:right w:w="105" w:type="dxa"/>
            </w:tcMar>
            <w:vAlign w:val="center"/>
          </w:tcPr>
          <w:p w14:paraId="2D1A7E17">
            <w:pPr>
              <w:pStyle w:val="4"/>
              <w:widowControl/>
              <w:spacing w:beforeAutospacing="0" w:afterAutospacing="0" w:line="525" w:lineRule="atLeast"/>
              <w:jc w:val="center"/>
              <w:rPr>
                <w:rFonts w:ascii="宋体" w:hAnsi="宋体" w:eastAsia="宋体" w:cs="宋体"/>
                <w:color w:val="auto"/>
                <w:sz w:val="30"/>
                <w:szCs w:val="30"/>
              </w:rPr>
            </w:pPr>
            <w:r>
              <w:rPr>
                <w:rFonts w:hint="eastAsia" w:ascii="宋体" w:hAnsi="宋体" w:eastAsia="宋体" w:cs="宋体"/>
                <w:color w:val="auto"/>
                <w:sz w:val="30"/>
                <w:szCs w:val="30"/>
              </w:rPr>
              <w:t>耕地等级</w:t>
            </w:r>
          </w:p>
        </w:tc>
      </w:tr>
      <w:tr w14:paraId="2567D5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2018" w:type="dxa"/>
            <w:vMerge w:val="restart"/>
            <w:tcBorders>
              <w:top w:val="nil"/>
              <w:left w:val="single" w:color="auto" w:sz="6" w:space="0"/>
              <w:right w:val="single" w:color="auto" w:sz="6" w:space="0"/>
            </w:tcBorders>
            <w:noWrap w:val="0"/>
            <w:tcMar>
              <w:left w:w="105" w:type="dxa"/>
              <w:right w:w="105" w:type="dxa"/>
            </w:tcMar>
            <w:vAlign w:val="center"/>
          </w:tcPr>
          <w:p w14:paraId="4805FFD2">
            <w:pPr>
              <w:widowControl/>
              <w:jc w:val="center"/>
              <w:textAlignment w:val="center"/>
              <w:rPr>
                <w:rFonts w:ascii="宋体" w:hAnsi="宋体" w:eastAsia="宋体" w:cs="宋体"/>
                <w:color w:val="auto"/>
                <w:sz w:val="30"/>
                <w:szCs w:val="30"/>
              </w:rPr>
            </w:pPr>
            <w:r>
              <w:rPr>
                <w:rFonts w:hint="eastAsia" w:ascii="宋体" w:hAnsi="宋体" w:eastAsia="宋体" w:cs="宋体"/>
                <w:color w:val="auto"/>
                <w:sz w:val="30"/>
                <w:szCs w:val="30"/>
              </w:rPr>
              <w:t>补充耕地指标</w:t>
            </w:r>
          </w:p>
        </w:tc>
        <w:tc>
          <w:tcPr>
            <w:tcW w:w="2208" w:type="dxa"/>
            <w:tcBorders>
              <w:top w:val="nil"/>
              <w:left w:val="nil"/>
              <w:bottom w:val="single" w:color="auto" w:sz="6" w:space="0"/>
              <w:right w:val="single" w:color="auto" w:sz="6" w:space="0"/>
            </w:tcBorders>
            <w:noWrap w:val="0"/>
            <w:tcMar>
              <w:left w:w="105" w:type="dxa"/>
              <w:right w:w="105" w:type="dxa"/>
            </w:tcMar>
            <w:vAlign w:val="center"/>
          </w:tcPr>
          <w:p w14:paraId="0F96CBAE">
            <w:pPr>
              <w:widowControl/>
              <w:jc w:val="center"/>
              <w:textAlignment w:val="center"/>
              <w:rPr>
                <w:rFonts w:ascii="宋体" w:hAnsi="宋体" w:eastAsia="宋体" w:cs="宋体"/>
                <w:color w:val="auto"/>
                <w:sz w:val="30"/>
                <w:szCs w:val="30"/>
              </w:rPr>
            </w:pPr>
            <w:r>
              <w:rPr>
                <w:rFonts w:hint="eastAsia" w:ascii="宋体" w:hAnsi="宋体" w:eastAsia="宋体" w:cs="宋体"/>
                <w:color w:val="auto"/>
                <w:sz w:val="30"/>
                <w:szCs w:val="30"/>
              </w:rPr>
              <w:t>水田</w:t>
            </w:r>
          </w:p>
        </w:tc>
        <w:tc>
          <w:tcPr>
            <w:tcW w:w="1977" w:type="dxa"/>
            <w:tcBorders>
              <w:top w:val="nil"/>
              <w:left w:val="nil"/>
              <w:bottom w:val="single" w:color="auto" w:sz="6" w:space="0"/>
              <w:right w:val="single" w:color="auto" w:sz="6" w:space="0"/>
            </w:tcBorders>
            <w:noWrap w:val="0"/>
            <w:tcMar>
              <w:left w:w="105" w:type="dxa"/>
              <w:right w:w="105" w:type="dxa"/>
            </w:tcMar>
            <w:vAlign w:val="center"/>
          </w:tcPr>
          <w:p w14:paraId="7FF64C1D">
            <w:pPr>
              <w:widowControl/>
              <w:jc w:val="center"/>
              <w:textAlignment w:val="center"/>
              <w:rPr>
                <w:rFonts w:ascii="宋体" w:hAnsi="宋体" w:eastAsia="宋体" w:cs="宋体"/>
                <w:color w:val="auto"/>
                <w:sz w:val="30"/>
                <w:szCs w:val="30"/>
              </w:rPr>
            </w:pPr>
          </w:p>
        </w:tc>
        <w:tc>
          <w:tcPr>
            <w:tcW w:w="2790" w:type="dxa"/>
            <w:tcBorders>
              <w:top w:val="nil"/>
              <w:left w:val="nil"/>
              <w:bottom w:val="single" w:color="auto" w:sz="6" w:space="0"/>
              <w:right w:val="single" w:color="auto" w:sz="6" w:space="0"/>
            </w:tcBorders>
            <w:noWrap w:val="0"/>
            <w:tcMar>
              <w:left w:w="105" w:type="dxa"/>
              <w:right w:w="105" w:type="dxa"/>
            </w:tcMar>
            <w:vAlign w:val="center"/>
          </w:tcPr>
          <w:p w14:paraId="6836B9D2">
            <w:pPr>
              <w:widowControl/>
              <w:jc w:val="center"/>
              <w:textAlignment w:val="center"/>
              <w:rPr>
                <w:rFonts w:ascii="宋体" w:hAnsi="宋体" w:eastAsia="宋体" w:cs="宋体"/>
                <w:color w:val="auto"/>
                <w:sz w:val="30"/>
                <w:szCs w:val="30"/>
              </w:rPr>
            </w:pPr>
          </w:p>
        </w:tc>
      </w:tr>
      <w:tr w14:paraId="7081EA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2018" w:type="dxa"/>
            <w:vMerge w:val="continue"/>
            <w:tcBorders>
              <w:left w:val="single" w:color="auto" w:sz="6" w:space="0"/>
              <w:bottom w:val="single" w:color="auto" w:sz="6" w:space="0"/>
              <w:right w:val="single" w:color="auto" w:sz="6" w:space="0"/>
            </w:tcBorders>
            <w:noWrap w:val="0"/>
            <w:tcMar>
              <w:left w:w="105" w:type="dxa"/>
              <w:right w:w="105" w:type="dxa"/>
            </w:tcMar>
            <w:vAlign w:val="center"/>
          </w:tcPr>
          <w:p w14:paraId="2D93AB1B">
            <w:pPr>
              <w:widowControl/>
              <w:jc w:val="center"/>
              <w:textAlignment w:val="center"/>
              <w:rPr>
                <w:rFonts w:ascii="宋体" w:hAnsi="宋体" w:eastAsia="宋体" w:cs="宋体"/>
                <w:color w:val="auto"/>
                <w:sz w:val="30"/>
                <w:szCs w:val="30"/>
              </w:rPr>
            </w:pPr>
          </w:p>
        </w:tc>
        <w:tc>
          <w:tcPr>
            <w:tcW w:w="2208" w:type="dxa"/>
            <w:tcBorders>
              <w:top w:val="nil"/>
              <w:left w:val="nil"/>
              <w:bottom w:val="single" w:color="auto" w:sz="6" w:space="0"/>
              <w:right w:val="single" w:color="auto" w:sz="6" w:space="0"/>
            </w:tcBorders>
            <w:noWrap w:val="0"/>
            <w:tcMar>
              <w:left w:w="105" w:type="dxa"/>
              <w:right w:w="105" w:type="dxa"/>
            </w:tcMar>
            <w:vAlign w:val="center"/>
          </w:tcPr>
          <w:p w14:paraId="354EA0D6">
            <w:pPr>
              <w:widowControl/>
              <w:jc w:val="center"/>
              <w:textAlignment w:val="center"/>
              <w:rPr>
                <w:rFonts w:ascii="宋体" w:hAnsi="宋体" w:eastAsia="宋体" w:cs="宋体"/>
                <w:color w:val="auto"/>
                <w:sz w:val="30"/>
                <w:szCs w:val="30"/>
              </w:rPr>
            </w:pPr>
            <w:r>
              <w:rPr>
                <w:rFonts w:hint="eastAsia" w:ascii="宋体" w:hAnsi="宋体" w:eastAsia="宋体" w:cs="宋体"/>
                <w:color w:val="auto"/>
                <w:sz w:val="30"/>
                <w:szCs w:val="30"/>
              </w:rPr>
              <w:t>旱地</w:t>
            </w:r>
          </w:p>
        </w:tc>
        <w:tc>
          <w:tcPr>
            <w:tcW w:w="1977" w:type="dxa"/>
            <w:tcBorders>
              <w:top w:val="nil"/>
              <w:left w:val="nil"/>
              <w:bottom w:val="single" w:color="auto" w:sz="6" w:space="0"/>
              <w:right w:val="single" w:color="auto" w:sz="6" w:space="0"/>
            </w:tcBorders>
            <w:noWrap w:val="0"/>
            <w:tcMar>
              <w:left w:w="105" w:type="dxa"/>
              <w:right w:w="105" w:type="dxa"/>
            </w:tcMar>
            <w:vAlign w:val="center"/>
          </w:tcPr>
          <w:p w14:paraId="7E8FBB54">
            <w:pPr>
              <w:widowControl/>
              <w:jc w:val="center"/>
              <w:textAlignment w:val="center"/>
              <w:rPr>
                <w:rFonts w:ascii="宋体" w:hAnsi="宋体" w:eastAsia="宋体" w:cs="宋体"/>
                <w:color w:val="auto"/>
                <w:sz w:val="30"/>
                <w:szCs w:val="30"/>
              </w:rPr>
            </w:pPr>
          </w:p>
        </w:tc>
        <w:tc>
          <w:tcPr>
            <w:tcW w:w="2790" w:type="dxa"/>
            <w:tcBorders>
              <w:top w:val="nil"/>
              <w:left w:val="nil"/>
              <w:bottom w:val="single" w:color="auto" w:sz="6" w:space="0"/>
              <w:right w:val="single" w:color="auto" w:sz="6" w:space="0"/>
            </w:tcBorders>
            <w:noWrap w:val="0"/>
            <w:tcMar>
              <w:left w:w="105" w:type="dxa"/>
              <w:right w:w="105" w:type="dxa"/>
            </w:tcMar>
            <w:vAlign w:val="center"/>
          </w:tcPr>
          <w:p w14:paraId="4E14514A">
            <w:pPr>
              <w:widowControl/>
              <w:jc w:val="center"/>
              <w:textAlignment w:val="center"/>
              <w:rPr>
                <w:rFonts w:ascii="宋体" w:hAnsi="宋体" w:eastAsia="宋体" w:cs="宋体"/>
                <w:color w:val="auto"/>
                <w:sz w:val="30"/>
                <w:szCs w:val="30"/>
              </w:rPr>
            </w:pPr>
          </w:p>
        </w:tc>
      </w:tr>
    </w:tbl>
    <w:p w14:paraId="7D3887D4">
      <w:pPr>
        <w:pStyle w:val="4"/>
        <w:widowControl/>
        <w:spacing w:beforeAutospacing="0" w:afterAutospacing="0" w:line="525" w:lineRule="atLeast"/>
        <w:rPr>
          <w:rFonts w:ascii="宋体" w:hAnsi="宋体" w:eastAsia="宋体" w:cs="宋体"/>
          <w:color w:val="auto"/>
          <w:sz w:val="30"/>
          <w:szCs w:val="30"/>
        </w:rPr>
      </w:pPr>
      <w:r>
        <w:rPr>
          <w:rFonts w:hint="eastAsia" w:ascii="宋体" w:hAnsi="宋体" w:eastAsia="宋体" w:cs="宋体"/>
          <w:color w:val="auto"/>
          <w:sz w:val="30"/>
          <w:szCs w:val="30"/>
        </w:rPr>
        <w:t> </w:t>
      </w:r>
    </w:p>
    <w:p w14:paraId="676E14B2">
      <w:pPr>
        <w:pStyle w:val="4"/>
        <w:widowControl/>
        <w:spacing w:beforeAutospacing="0" w:afterAutospacing="0" w:line="525" w:lineRule="atLeast"/>
        <w:rPr>
          <w:rFonts w:ascii="宋体" w:hAnsi="宋体" w:eastAsia="宋体" w:cs="宋体"/>
          <w:color w:val="auto"/>
          <w:sz w:val="30"/>
          <w:szCs w:val="30"/>
        </w:rPr>
      </w:pPr>
    </w:p>
    <w:p w14:paraId="11689171">
      <w:pPr>
        <w:pStyle w:val="4"/>
        <w:widowControl/>
        <w:spacing w:beforeAutospacing="0" w:afterAutospacing="0" w:line="525" w:lineRule="atLeast"/>
        <w:rPr>
          <w:rFonts w:ascii="宋体" w:hAnsi="宋体" w:eastAsia="宋体" w:cs="宋体"/>
          <w:color w:val="auto"/>
          <w:sz w:val="30"/>
          <w:szCs w:val="30"/>
        </w:rPr>
      </w:pPr>
    </w:p>
    <w:p w14:paraId="289670FD">
      <w:pPr>
        <w:pStyle w:val="4"/>
        <w:widowControl/>
        <w:spacing w:beforeAutospacing="0" w:afterAutospacing="0" w:line="525" w:lineRule="atLeast"/>
        <w:rPr>
          <w:rFonts w:ascii="宋体" w:hAnsi="宋体" w:eastAsia="宋体" w:cs="宋体"/>
          <w:color w:val="auto"/>
          <w:sz w:val="30"/>
          <w:szCs w:val="30"/>
        </w:rPr>
      </w:pPr>
    </w:p>
    <w:p w14:paraId="0D9E2577">
      <w:pPr>
        <w:pStyle w:val="4"/>
        <w:widowControl/>
        <w:spacing w:beforeAutospacing="0" w:afterAutospacing="0" w:line="525" w:lineRule="atLeast"/>
        <w:rPr>
          <w:rFonts w:ascii="宋体" w:hAnsi="宋体" w:eastAsia="宋体" w:cs="宋体"/>
          <w:color w:val="auto"/>
          <w:sz w:val="30"/>
          <w:szCs w:val="30"/>
        </w:rPr>
      </w:pPr>
    </w:p>
    <w:p w14:paraId="69173BAD">
      <w:pPr>
        <w:pStyle w:val="4"/>
        <w:widowControl/>
        <w:spacing w:beforeAutospacing="0" w:afterAutospacing="0" w:line="525" w:lineRule="atLeast"/>
        <w:rPr>
          <w:rFonts w:ascii="宋体" w:hAnsi="宋体" w:eastAsia="宋体" w:cs="宋体"/>
          <w:color w:val="auto"/>
          <w:sz w:val="30"/>
          <w:szCs w:val="30"/>
        </w:rPr>
      </w:pPr>
    </w:p>
    <w:p w14:paraId="486E205B">
      <w:pPr>
        <w:widowControl/>
        <w:spacing w:line="520" w:lineRule="exact"/>
        <w:ind w:right="-624" w:rightChars="-297"/>
        <w:jc w:val="both"/>
        <w:rPr>
          <w:rFonts w:hint="eastAsia" w:ascii="仿宋_GB2312" w:hAnsi="仿宋_GB2312" w:eastAsia="仿宋_GB2312" w:cs="仿宋_GB2312"/>
          <w:color w:val="auto"/>
          <w:sz w:val="32"/>
          <w:szCs w:val="32"/>
        </w:rPr>
      </w:pPr>
    </w:p>
    <w:p w14:paraId="5613E789">
      <w:pPr>
        <w:widowControl/>
        <w:spacing w:line="520" w:lineRule="exact"/>
        <w:ind w:right="-624" w:rightChars="-297"/>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2-4</w:t>
      </w:r>
    </w:p>
    <w:p w14:paraId="13D9DCE2">
      <w:pPr>
        <w:widowControl/>
        <w:spacing w:line="520" w:lineRule="exact"/>
        <w:ind w:right="-624" w:rightChars="-297" w:firstLine="360" w:firstLineChars="100"/>
        <w:jc w:val="center"/>
        <w:rPr>
          <w:rFonts w:hint="eastAsia" w:eastAsia="方正小标宋简体"/>
          <w:color w:val="auto"/>
          <w:kern w:val="0"/>
          <w:sz w:val="36"/>
          <w:szCs w:val="36"/>
          <w:lang w:eastAsia="zh-CN"/>
        </w:rPr>
      </w:pPr>
      <w:r>
        <w:rPr>
          <w:rFonts w:hint="eastAsia" w:eastAsia="方正小标宋简体"/>
          <w:color w:val="auto"/>
          <w:kern w:val="0"/>
          <w:sz w:val="36"/>
          <w:szCs w:val="36"/>
          <w:lang w:eastAsia="zh-CN"/>
        </w:rPr>
        <w:t>城乡建设用地增减挂钩节余指标购买申请表</w:t>
      </w:r>
    </w:p>
    <w:p w14:paraId="221A2D49">
      <w:pPr>
        <w:widowControl/>
        <w:spacing w:line="400" w:lineRule="exact"/>
        <w:ind w:firstLine="880"/>
        <w:jc w:val="center"/>
        <w:rPr>
          <w:rFonts w:eastAsia="方正小标宋简体"/>
          <w:color w:val="auto"/>
          <w:kern w:val="0"/>
          <w:sz w:val="44"/>
          <w:szCs w:val="44"/>
        </w:rPr>
      </w:pPr>
    </w:p>
    <w:p w14:paraId="0D5AAFFE">
      <w:pPr>
        <w:widowControl/>
        <w:spacing w:line="380" w:lineRule="exact"/>
        <w:ind w:right="-764" w:rightChars="-364"/>
        <w:rPr>
          <w:rFonts w:hint="eastAsia" w:eastAsia="楷体_GB2312"/>
          <w:color w:val="auto"/>
          <w:kern w:val="0"/>
          <w:sz w:val="28"/>
          <w:szCs w:val="28"/>
          <w:lang w:eastAsia="zh-CN"/>
        </w:rPr>
      </w:pPr>
      <w:r>
        <w:rPr>
          <w:rFonts w:eastAsia="楷体_GB2312"/>
          <w:color w:val="auto"/>
          <w:kern w:val="0"/>
          <w:sz w:val="28"/>
          <w:szCs w:val="28"/>
        </w:rPr>
        <w:t xml:space="preserve">          </w:t>
      </w:r>
      <w:r>
        <w:rPr>
          <w:rFonts w:eastAsia="楷体_GB2312"/>
          <w:color w:val="auto"/>
          <w:kern w:val="0"/>
          <w:sz w:val="28"/>
          <w:szCs w:val="28"/>
        </w:rPr>
        <w:tab/>
      </w:r>
      <w:r>
        <w:rPr>
          <w:rFonts w:eastAsia="楷体_GB2312"/>
          <w:color w:val="auto"/>
          <w:kern w:val="0"/>
          <w:sz w:val="28"/>
          <w:szCs w:val="28"/>
        </w:rPr>
        <w:tab/>
      </w:r>
      <w:r>
        <w:rPr>
          <w:rFonts w:eastAsia="楷体_GB2312"/>
          <w:color w:val="auto"/>
          <w:kern w:val="0"/>
          <w:sz w:val="28"/>
          <w:szCs w:val="28"/>
        </w:rPr>
        <w:t xml:space="preserve">     </w:t>
      </w:r>
      <w:r>
        <w:rPr>
          <w:rFonts w:hint="eastAsia" w:eastAsia="楷体_GB2312"/>
          <w:color w:val="auto"/>
          <w:kern w:val="0"/>
          <w:sz w:val="28"/>
          <w:szCs w:val="28"/>
          <w:lang w:val="en-US" w:eastAsia="zh-CN"/>
        </w:rPr>
        <w:t xml:space="preserve">                        20   </w:t>
      </w:r>
      <w:r>
        <w:rPr>
          <w:rFonts w:hint="eastAsia" w:eastAsia="楷体_GB2312"/>
          <w:color w:val="auto"/>
          <w:kern w:val="0"/>
          <w:sz w:val="28"/>
          <w:szCs w:val="28"/>
          <w:lang w:eastAsia="zh-CN"/>
        </w:rPr>
        <w:t>年</w:t>
      </w:r>
      <w:r>
        <w:rPr>
          <w:rFonts w:hint="eastAsia" w:eastAsia="楷体_GB2312"/>
          <w:color w:val="auto"/>
          <w:kern w:val="0"/>
          <w:sz w:val="28"/>
          <w:szCs w:val="28"/>
          <w:lang w:val="en-US" w:eastAsia="zh-CN"/>
        </w:rPr>
        <w:t xml:space="preserve">    </w:t>
      </w:r>
      <w:r>
        <w:rPr>
          <w:rFonts w:hint="eastAsia" w:eastAsia="楷体_GB2312"/>
          <w:color w:val="auto"/>
          <w:kern w:val="0"/>
          <w:sz w:val="28"/>
          <w:szCs w:val="28"/>
          <w:lang w:eastAsia="zh-CN"/>
        </w:rPr>
        <w:t>月</w:t>
      </w:r>
      <w:r>
        <w:rPr>
          <w:rFonts w:hint="eastAsia" w:eastAsia="楷体_GB2312"/>
          <w:color w:val="auto"/>
          <w:kern w:val="0"/>
          <w:sz w:val="28"/>
          <w:szCs w:val="28"/>
          <w:lang w:val="en-US" w:eastAsia="zh-CN"/>
        </w:rPr>
        <w:t xml:space="preserve">    </w:t>
      </w:r>
      <w:r>
        <w:rPr>
          <w:rFonts w:hint="eastAsia" w:eastAsia="楷体_GB2312"/>
          <w:color w:val="auto"/>
          <w:kern w:val="0"/>
          <w:sz w:val="28"/>
          <w:szCs w:val="28"/>
          <w:lang w:eastAsia="zh-CN"/>
        </w:rPr>
        <w:t>日</w:t>
      </w:r>
    </w:p>
    <w:tbl>
      <w:tblPr>
        <w:tblStyle w:val="5"/>
        <w:tblW w:w="0" w:type="auto"/>
        <w:jc w:val="center"/>
        <w:tblLayout w:type="fixed"/>
        <w:tblCellMar>
          <w:top w:w="0" w:type="dxa"/>
          <w:left w:w="28" w:type="dxa"/>
          <w:bottom w:w="0" w:type="dxa"/>
          <w:right w:w="28" w:type="dxa"/>
        </w:tblCellMar>
      </w:tblPr>
      <w:tblGrid>
        <w:gridCol w:w="1649"/>
        <w:gridCol w:w="1095"/>
        <w:gridCol w:w="2505"/>
        <w:gridCol w:w="1500"/>
        <w:gridCol w:w="2728"/>
      </w:tblGrid>
      <w:tr w14:paraId="4553AACC">
        <w:tblPrEx>
          <w:tblCellMar>
            <w:top w:w="0" w:type="dxa"/>
            <w:left w:w="28" w:type="dxa"/>
            <w:bottom w:w="0" w:type="dxa"/>
            <w:right w:w="28" w:type="dxa"/>
          </w:tblCellMar>
        </w:tblPrEx>
        <w:trPr>
          <w:trHeight w:val="1052" w:hRule="atLeast"/>
          <w:jc w:val="center"/>
        </w:trPr>
        <w:tc>
          <w:tcPr>
            <w:tcW w:w="1649" w:type="dxa"/>
            <w:vMerge w:val="restart"/>
            <w:tcBorders>
              <w:top w:val="single" w:color="auto" w:sz="12" w:space="0"/>
              <w:left w:val="single" w:color="auto" w:sz="12" w:space="0"/>
              <w:right w:val="single" w:color="auto" w:sz="6" w:space="0"/>
            </w:tcBorders>
            <w:noWrap w:val="0"/>
            <w:vAlign w:val="center"/>
          </w:tcPr>
          <w:p w14:paraId="78F3F9DF">
            <w:pPr>
              <w:widowControl/>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申请单位</w:t>
            </w:r>
          </w:p>
          <w:p w14:paraId="36E8656D">
            <w:pPr>
              <w:widowControl/>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（盖章）</w:t>
            </w:r>
          </w:p>
        </w:tc>
        <w:tc>
          <w:tcPr>
            <w:tcW w:w="3600" w:type="dxa"/>
            <w:gridSpan w:val="2"/>
            <w:tcBorders>
              <w:top w:val="single" w:color="auto" w:sz="12" w:space="0"/>
              <w:left w:val="single" w:color="auto" w:sz="6" w:space="0"/>
              <w:bottom w:val="single" w:color="auto" w:sz="6" w:space="0"/>
              <w:right w:val="single" w:color="auto" w:sz="4" w:space="0"/>
            </w:tcBorders>
            <w:noWrap w:val="0"/>
            <w:vAlign w:val="center"/>
          </w:tcPr>
          <w:p w14:paraId="5159032C">
            <w:pPr>
              <w:spacing w:line="320" w:lineRule="exact"/>
              <w:jc w:val="center"/>
              <w:rPr>
                <w:rFonts w:hint="eastAsia" w:ascii="宋体" w:hAnsi="宋体" w:eastAsia="宋体" w:cs="宋体"/>
                <w:color w:val="auto"/>
                <w:kern w:val="0"/>
                <w:sz w:val="28"/>
                <w:szCs w:val="28"/>
                <w:lang w:eastAsia="zh-CN"/>
              </w:rPr>
            </w:pPr>
          </w:p>
        </w:tc>
        <w:tc>
          <w:tcPr>
            <w:tcW w:w="1500" w:type="dxa"/>
            <w:tcBorders>
              <w:top w:val="single" w:color="auto" w:sz="12" w:space="0"/>
              <w:left w:val="single" w:color="auto" w:sz="4" w:space="0"/>
              <w:bottom w:val="single" w:color="auto" w:sz="6" w:space="0"/>
              <w:right w:val="single" w:color="auto" w:sz="4" w:space="0"/>
            </w:tcBorders>
            <w:noWrap w:val="0"/>
            <w:vAlign w:val="center"/>
          </w:tcPr>
          <w:p w14:paraId="6FB7E1E0">
            <w:pPr>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地址</w:t>
            </w:r>
          </w:p>
        </w:tc>
        <w:tc>
          <w:tcPr>
            <w:tcW w:w="2728" w:type="dxa"/>
            <w:tcBorders>
              <w:top w:val="single" w:color="auto" w:sz="12" w:space="0"/>
              <w:left w:val="single" w:color="auto" w:sz="4" w:space="0"/>
              <w:bottom w:val="single" w:color="auto" w:sz="6" w:space="0"/>
              <w:right w:val="single" w:color="auto" w:sz="12" w:space="0"/>
            </w:tcBorders>
            <w:noWrap w:val="0"/>
            <w:vAlign w:val="center"/>
          </w:tcPr>
          <w:p w14:paraId="73702C7D">
            <w:pPr>
              <w:spacing w:line="320" w:lineRule="exact"/>
              <w:jc w:val="center"/>
              <w:rPr>
                <w:rFonts w:hint="eastAsia" w:ascii="宋体" w:hAnsi="宋体" w:eastAsia="宋体" w:cs="宋体"/>
                <w:color w:val="auto"/>
                <w:kern w:val="0"/>
                <w:sz w:val="28"/>
                <w:szCs w:val="28"/>
                <w:lang w:eastAsia="zh-CN"/>
              </w:rPr>
            </w:pPr>
          </w:p>
        </w:tc>
      </w:tr>
      <w:tr w14:paraId="71D2913B">
        <w:tblPrEx>
          <w:tblCellMar>
            <w:top w:w="0" w:type="dxa"/>
            <w:left w:w="28" w:type="dxa"/>
            <w:bottom w:w="0" w:type="dxa"/>
            <w:right w:w="28" w:type="dxa"/>
          </w:tblCellMar>
        </w:tblPrEx>
        <w:trPr>
          <w:trHeight w:val="857" w:hRule="atLeast"/>
          <w:jc w:val="center"/>
        </w:trPr>
        <w:tc>
          <w:tcPr>
            <w:tcW w:w="1649" w:type="dxa"/>
            <w:vMerge w:val="continue"/>
            <w:tcBorders>
              <w:left w:val="single" w:color="auto" w:sz="12" w:space="0"/>
              <w:bottom w:val="single" w:color="auto" w:sz="6" w:space="0"/>
              <w:right w:val="single" w:color="auto" w:sz="6" w:space="0"/>
            </w:tcBorders>
            <w:noWrap w:val="0"/>
            <w:vAlign w:val="center"/>
          </w:tcPr>
          <w:p w14:paraId="75752F9E">
            <w:pPr>
              <w:spacing w:line="320" w:lineRule="exact"/>
              <w:jc w:val="center"/>
              <w:rPr>
                <w:rFonts w:hint="eastAsia" w:ascii="宋体" w:hAnsi="宋体" w:eastAsia="宋体" w:cs="宋体"/>
                <w:color w:val="auto"/>
                <w:sz w:val="28"/>
                <w:szCs w:val="28"/>
              </w:rPr>
            </w:pPr>
          </w:p>
        </w:tc>
        <w:tc>
          <w:tcPr>
            <w:tcW w:w="1095" w:type="dxa"/>
            <w:tcBorders>
              <w:top w:val="single" w:color="auto" w:sz="12" w:space="0"/>
              <w:left w:val="single" w:color="auto" w:sz="6" w:space="0"/>
              <w:bottom w:val="single" w:color="auto" w:sz="6" w:space="0"/>
              <w:right w:val="single" w:color="auto" w:sz="4" w:space="0"/>
            </w:tcBorders>
            <w:noWrap w:val="0"/>
            <w:vAlign w:val="center"/>
          </w:tcPr>
          <w:p w14:paraId="030571C3">
            <w:pPr>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法人</w:t>
            </w:r>
          </w:p>
        </w:tc>
        <w:tc>
          <w:tcPr>
            <w:tcW w:w="2505" w:type="dxa"/>
            <w:tcBorders>
              <w:top w:val="single" w:color="auto" w:sz="12" w:space="0"/>
              <w:left w:val="single" w:color="auto" w:sz="4" w:space="0"/>
              <w:bottom w:val="single" w:color="auto" w:sz="6" w:space="0"/>
              <w:right w:val="single" w:color="auto" w:sz="4" w:space="0"/>
            </w:tcBorders>
            <w:noWrap w:val="0"/>
            <w:vAlign w:val="center"/>
          </w:tcPr>
          <w:p w14:paraId="43B8DBD1">
            <w:pPr>
              <w:spacing w:line="320" w:lineRule="exact"/>
              <w:jc w:val="center"/>
              <w:rPr>
                <w:rFonts w:hint="eastAsia" w:ascii="宋体" w:hAnsi="宋体" w:eastAsia="宋体" w:cs="宋体"/>
                <w:color w:val="auto"/>
                <w:kern w:val="0"/>
                <w:sz w:val="28"/>
                <w:szCs w:val="28"/>
                <w:lang w:eastAsia="zh-CN"/>
              </w:rPr>
            </w:pPr>
          </w:p>
        </w:tc>
        <w:tc>
          <w:tcPr>
            <w:tcW w:w="1500" w:type="dxa"/>
            <w:tcBorders>
              <w:top w:val="single" w:color="auto" w:sz="12" w:space="0"/>
              <w:left w:val="single" w:color="auto" w:sz="4" w:space="0"/>
              <w:bottom w:val="single" w:color="auto" w:sz="6" w:space="0"/>
              <w:right w:val="single" w:color="auto" w:sz="4" w:space="0"/>
            </w:tcBorders>
            <w:noWrap w:val="0"/>
            <w:vAlign w:val="center"/>
          </w:tcPr>
          <w:p w14:paraId="3BCE3E83">
            <w:pPr>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联系电话</w:t>
            </w:r>
          </w:p>
        </w:tc>
        <w:tc>
          <w:tcPr>
            <w:tcW w:w="2728" w:type="dxa"/>
            <w:tcBorders>
              <w:top w:val="single" w:color="auto" w:sz="12" w:space="0"/>
              <w:left w:val="single" w:color="auto" w:sz="4" w:space="0"/>
              <w:bottom w:val="single" w:color="auto" w:sz="6" w:space="0"/>
              <w:right w:val="single" w:color="auto" w:sz="12" w:space="0"/>
            </w:tcBorders>
            <w:noWrap w:val="0"/>
            <w:vAlign w:val="center"/>
          </w:tcPr>
          <w:p w14:paraId="54008145">
            <w:pPr>
              <w:spacing w:line="320" w:lineRule="exact"/>
              <w:jc w:val="center"/>
              <w:rPr>
                <w:rFonts w:hint="eastAsia" w:ascii="宋体" w:hAnsi="宋体" w:eastAsia="宋体" w:cs="宋体"/>
                <w:color w:val="auto"/>
                <w:kern w:val="0"/>
                <w:sz w:val="28"/>
                <w:szCs w:val="28"/>
                <w:lang w:eastAsia="zh-CN"/>
              </w:rPr>
            </w:pPr>
          </w:p>
        </w:tc>
      </w:tr>
      <w:tr w14:paraId="58CF4333">
        <w:tblPrEx>
          <w:tblCellMar>
            <w:top w:w="0" w:type="dxa"/>
            <w:left w:w="28" w:type="dxa"/>
            <w:bottom w:w="0" w:type="dxa"/>
            <w:right w:w="28" w:type="dxa"/>
          </w:tblCellMar>
        </w:tblPrEx>
        <w:trPr>
          <w:trHeight w:val="809" w:hRule="atLeast"/>
          <w:jc w:val="center"/>
        </w:trPr>
        <w:tc>
          <w:tcPr>
            <w:tcW w:w="1649" w:type="dxa"/>
            <w:tcBorders>
              <w:top w:val="single" w:color="auto" w:sz="6" w:space="0"/>
              <w:left w:val="single" w:color="auto" w:sz="12" w:space="0"/>
              <w:bottom w:val="single" w:color="auto" w:sz="6" w:space="0"/>
              <w:right w:val="single" w:color="auto" w:sz="6" w:space="0"/>
            </w:tcBorders>
            <w:noWrap w:val="0"/>
            <w:vAlign w:val="center"/>
          </w:tcPr>
          <w:p w14:paraId="06A0DB43">
            <w:pPr>
              <w:widowControl/>
              <w:spacing w:line="320" w:lineRule="exact"/>
              <w:jc w:val="center"/>
              <w:rPr>
                <w:rFonts w:hint="eastAsia" w:ascii="宋体" w:hAnsi="宋体" w:eastAsia="宋体" w:cs="宋体"/>
                <w:color w:val="auto"/>
                <w:sz w:val="28"/>
                <w:szCs w:val="28"/>
              </w:rPr>
            </w:pPr>
          </w:p>
          <w:p w14:paraId="62B649C7">
            <w:pPr>
              <w:pStyle w:val="2"/>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项目名称</w:t>
            </w:r>
          </w:p>
        </w:tc>
        <w:tc>
          <w:tcPr>
            <w:tcW w:w="3600" w:type="dxa"/>
            <w:gridSpan w:val="2"/>
            <w:tcBorders>
              <w:top w:val="single" w:color="auto" w:sz="6" w:space="0"/>
              <w:left w:val="single" w:color="auto" w:sz="6" w:space="0"/>
              <w:bottom w:val="single" w:color="auto" w:sz="6" w:space="0"/>
              <w:right w:val="single" w:color="auto" w:sz="12" w:space="0"/>
            </w:tcBorders>
            <w:noWrap w:val="0"/>
            <w:vAlign w:val="center"/>
          </w:tcPr>
          <w:p w14:paraId="0F3D434B">
            <w:pPr>
              <w:spacing w:line="320" w:lineRule="exact"/>
              <w:jc w:val="center"/>
              <w:rPr>
                <w:rFonts w:hint="eastAsia" w:ascii="宋体" w:hAnsi="宋体" w:eastAsia="宋体" w:cs="宋体"/>
                <w:color w:val="auto"/>
                <w:kern w:val="0"/>
                <w:sz w:val="28"/>
                <w:szCs w:val="28"/>
                <w:lang w:val="en-US" w:eastAsia="zh-CN"/>
              </w:rPr>
            </w:pPr>
          </w:p>
        </w:tc>
        <w:tc>
          <w:tcPr>
            <w:tcW w:w="1500" w:type="dxa"/>
            <w:tcBorders>
              <w:top w:val="single" w:color="auto" w:sz="6" w:space="0"/>
              <w:left w:val="single" w:color="auto" w:sz="6" w:space="0"/>
              <w:bottom w:val="single" w:color="auto" w:sz="6" w:space="0"/>
              <w:right w:val="single" w:color="auto" w:sz="12" w:space="0"/>
            </w:tcBorders>
            <w:noWrap w:val="0"/>
            <w:vAlign w:val="center"/>
          </w:tcPr>
          <w:p w14:paraId="727D7DA1">
            <w:pPr>
              <w:spacing w:line="32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项目类型</w:t>
            </w:r>
          </w:p>
        </w:tc>
        <w:tc>
          <w:tcPr>
            <w:tcW w:w="2728" w:type="dxa"/>
            <w:tcBorders>
              <w:top w:val="single" w:color="auto" w:sz="6" w:space="0"/>
              <w:left w:val="single" w:color="auto" w:sz="6" w:space="0"/>
              <w:bottom w:val="single" w:color="auto" w:sz="6" w:space="0"/>
              <w:right w:val="single" w:color="auto" w:sz="12" w:space="0"/>
            </w:tcBorders>
            <w:noWrap w:val="0"/>
            <w:vAlign w:val="center"/>
          </w:tcPr>
          <w:p w14:paraId="483D43ED">
            <w:pPr>
              <w:spacing w:line="320" w:lineRule="exact"/>
              <w:jc w:val="center"/>
              <w:rPr>
                <w:rFonts w:hint="eastAsia" w:ascii="宋体" w:hAnsi="宋体" w:eastAsia="宋体" w:cs="宋体"/>
                <w:color w:val="auto"/>
                <w:kern w:val="0"/>
                <w:sz w:val="28"/>
                <w:szCs w:val="28"/>
                <w:lang w:val="en-US" w:eastAsia="zh-CN"/>
              </w:rPr>
            </w:pPr>
          </w:p>
        </w:tc>
      </w:tr>
      <w:tr w14:paraId="08E3DD3F">
        <w:tblPrEx>
          <w:tblCellMar>
            <w:top w:w="0" w:type="dxa"/>
            <w:left w:w="28" w:type="dxa"/>
            <w:bottom w:w="0" w:type="dxa"/>
            <w:right w:w="28" w:type="dxa"/>
          </w:tblCellMar>
        </w:tblPrEx>
        <w:trPr>
          <w:trHeight w:val="795" w:hRule="atLeast"/>
          <w:jc w:val="center"/>
        </w:trPr>
        <w:tc>
          <w:tcPr>
            <w:tcW w:w="1649" w:type="dxa"/>
            <w:vMerge w:val="restart"/>
            <w:tcBorders>
              <w:top w:val="single" w:color="auto" w:sz="6" w:space="0"/>
              <w:left w:val="single" w:color="auto" w:sz="12" w:space="0"/>
              <w:right w:val="single" w:color="auto" w:sz="6" w:space="0"/>
            </w:tcBorders>
            <w:noWrap w:val="0"/>
            <w:vAlign w:val="center"/>
          </w:tcPr>
          <w:p w14:paraId="0B69FFFA">
            <w:pPr>
              <w:spacing w:line="320" w:lineRule="exact"/>
              <w:jc w:val="center"/>
              <w:rPr>
                <w:rFonts w:hint="eastAsia" w:ascii="宋体" w:hAnsi="宋体" w:eastAsia="宋体" w:cs="宋体"/>
                <w:color w:val="auto"/>
                <w:kern w:val="0"/>
                <w:sz w:val="28"/>
                <w:szCs w:val="28"/>
                <w:lang w:val="en-US" w:eastAsia="zh-CN"/>
              </w:rPr>
            </w:pPr>
            <w:r>
              <w:rPr>
                <w:rFonts w:hint="eastAsia" w:ascii="仿宋_GB2312" w:hAnsi="仿宋_GB2312" w:eastAsia="仿宋_GB2312" w:cs="仿宋_GB2312"/>
                <w:color w:val="auto"/>
                <w:sz w:val="32"/>
                <w:szCs w:val="32"/>
                <w:highlight w:val="none"/>
              </w:rPr>
              <w:t>城乡建设用地增减挂钩</w:t>
            </w:r>
            <w:r>
              <w:rPr>
                <w:rFonts w:hint="eastAsia" w:ascii="仿宋_GB2312" w:hAnsi="仿宋_GB2312" w:eastAsia="仿宋_GB2312" w:cs="仿宋_GB2312"/>
                <w:color w:val="auto"/>
                <w:sz w:val="32"/>
                <w:szCs w:val="32"/>
                <w:highlight w:val="none"/>
                <w:lang w:eastAsia="zh-CN"/>
              </w:rPr>
              <w:t>节余</w:t>
            </w:r>
            <w:r>
              <w:rPr>
                <w:rFonts w:hint="eastAsia" w:ascii="仿宋_GB2312" w:hAnsi="仿宋_GB2312" w:eastAsia="仿宋_GB2312" w:cs="仿宋_GB2312"/>
                <w:color w:val="auto"/>
                <w:sz w:val="32"/>
                <w:szCs w:val="32"/>
                <w:highlight w:val="none"/>
              </w:rPr>
              <w:t>指标</w:t>
            </w:r>
          </w:p>
        </w:tc>
        <w:tc>
          <w:tcPr>
            <w:tcW w:w="3600" w:type="dxa"/>
            <w:gridSpan w:val="2"/>
            <w:tcBorders>
              <w:top w:val="single" w:color="auto" w:sz="6" w:space="0"/>
              <w:left w:val="single" w:color="auto" w:sz="6" w:space="0"/>
              <w:bottom w:val="single" w:color="auto" w:sz="4" w:space="0"/>
              <w:right w:val="single" w:color="auto" w:sz="4" w:space="0"/>
            </w:tcBorders>
            <w:noWrap w:val="0"/>
            <w:vAlign w:val="center"/>
          </w:tcPr>
          <w:p w14:paraId="7A2D60D0">
            <w:pPr>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数量（亩）</w:t>
            </w:r>
          </w:p>
        </w:tc>
        <w:tc>
          <w:tcPr>
            <w:tcW w:w="4228" w:type="dxa"/>
            <w:gridSpan w:val="2"/>
            <w:tcBorders>
              <w:top w:val="single" w:color="auto" w:sz="6" w:space="0"/>
              <w:left w:val="single" w:color="auto" w:sz="4" w:space="0"/>
              <w:bottom w:val="single" w:color="auto" w:sz="4" w:space="0"/>
              <w:right w:val="single" w:color="auto" w:sz="12" w:space="0"/>
            </w:tcBorders>
            <w:noWrap w:val="0"/>
            <w:vAlign w:val="center"/>
          </w:tcPr>
          <w:p w14:paraId="2AB958EA">
            <w:pPr>
              <w:spacing w:line="32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购买标准及费用</w:t>
            </w:r>
            <w:r>
              <w:rPr>
                <w:rFonts w:hint="eastAsia" w:ascii="宋体" w:hAnsi="宋体" w:eastAsia="宋体" w:cs="宋体"/>
                <w:color w:val="auto"/>
                <w:kern w:val="0"/>
                <w:sz w:val="28"/>
                <w:szCs w:val="28"/>
                <w:lang w:val="en-US" w:eastAsia="zh-CN"/>
              </w:rPr>
              <w:t xml:space="preserve"> </w:t>
            </w:r>
          </w:p>
          <w:p w14:paraId="2D62E95B">
            <w:pPr>
              <w:spacing w:line="32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（元/亩、元）</w:t>
            </w:r>
          </w:p>
        </w:tc>
      </w:tr>
      <w:tr w14:paraId="6E5799F8">
        <w:tblPrEx>
          <w:tblCellMar>
            <w:top w:w="0" w:type="dxa"/>
            <w:left w:w="28" w:type="dxa"/>
            <w:bottom w:w="0" w:type="dxa"/>
            <w:right w:w="28" w:type="dxa"/>
          </w:tblCellMar>
        </w:tblPrEx>
        <w:trPr>
          <w:trHeight w:val="405" w:hRule="atLeast"/>
          <w:jc w:val="center"/>
        </w:trPr>
        <w:tc>
          <w:tcPr>
            <w:tcW w:w="1649" w:type="dxa"/>
            <w:vMerge w:val="continue"/>
            <w:tcBorders>
              <w:left w:val="single" w:color="auto" w:sz="12" w:space="0"/>
              <w:right w:val="single" w:color="auto" w:sz="6" w:space="0"/>
            </w:tcBorders>
            <w:noWrap w:val="0"/>
            <w:vAlign w:val="center"/>
          </w:tcPr>
          <w:p w14:paraId="1B2C75B4">
            <w:pPr>
              <w:spacing w:line="320" w:lineRule="exact"/>
              <w:jc w:val="center"/>
              <w:rPr>
                <w:rFonts w:hint="eastAsia" w:ascii="宋体" w:hAnsi="宋体" w:eastAsia="宋体" w:cs="宋体"/>
                <w:color w:val="auto"/>
                <w:sz w:val="28"/>
                <w:szCs w:val="28"/>
              </w:rPr>
            </w:pPr>
          </w:p>
        </w:tc>
        <w:tc>
          <w:tcPr>
            <w:tcW w:w="3600" w:type="dxa"/>
            <w:gridSpan w:val="2"/>
            <w:vMerge w:val="restart"/>
            <w:tcBorders>
              <w:top w:val="single" w:color="auto" w:sz="4" w:space="0"/>
              <w:left w:val="single" w:color="auto" w:sz="6" w:space="0"/>
              <w:right w:val="single" w:color="auto" w:sz="4" w:space="0"/>
            </w:tcBorders>
            <w:noWrap w:val="0"/>
            <w:vAlign w:val="center"/>
          </w:tcPr>
          <w:p w14:paraId="2212664A">
            <w:pPr>
              <w:spacing w:line="320" w:lineRule="exact"/>
              <w:jc w:val="center"/>
              <w:rPr>
                <w:rFonts w:hint="eastAsia" w:ascii="宋体" w:hAnsi="宋体" w:eastAsia="宋体" w:cs="宋体"/>
                <w:color w:val="auto"/>
                <w:sz w:val="28"/>
                <w:szCs w:val="28"/>
              </w:rPr>
            </w:pPr>
          </w:p>
        </w:tc>
        <w:tc>
          <w:tcPr>
            <w:tcW w:w="1500" w:type="dxa"/>
            <w:tcBorders>
              <w:top w:val="single" w:color="auto" w:sz="4" w:space="0"/>
              <w:left w:val="single" w:color="auto" w:sz="4" w:space="0"/>
              <w:bottom w:val="single" w:color="auto" w:sz="4" w:space="0"/>
              <w:right w:val="single" w:color="auto" w:sz="12" w:space="0"/>
            </w:tcBorders>
            <w:noWrap w:val="0"/>
            <w:vAlign w:val="center"/>
          </w:tcPr>
          <w:p w14:paraId="50FA5986">
            <w:pPr>
              <w:spacing w:line="32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标</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准</w:t>
            </w:r>
          </w:p>
        </w:tc>
        <w:tc>
          <w:tcPr>
            <w:tcW w:w="2728" w:type="dxa"/>
            <w:tcBorders>
              <w:top w:val="single" w:color="auto" w:sz="4" w:space="0"/>
              <w:left w:val="single" w:color="auto" w:sz="4" w:space="0"/>
              <w:bottom w:val="single" w:color="auto" w:sz="4" w:space="0"/>
              <w:right w:val="single" w:color="auto" w:sz="12" w:space="0"/>
            </w:tcBorders>
            <w:noWrap w:val="0"/>
            <w:vAlign w:val="center"/>
          </w:tcPr>
          <w:p w14:paraId="6584864D">
            <w:pPr>
              <w:spacing w:line="320" w:lineRule="exact"/>
              <w:jc w:val="center"/>
              <w:rPr>
                <w:rFonts w:hint="eastAsia" w:ascii="宋体" w:hAnsi="宋体" w:eastAsia="宋体" w:cs="宋体"/>
                <w:color w:val="auto"/>
                <w:sz w:val="28"/>
                <w:szCs w:val="28"/>
              </w:rPr>
            </w:pPr>
          </w:p>
        </w:tc>
      </w:tr>
      <w:tr w14:paraId="1C69B19E">
        <w:tblPrEx>
          <w:tblCellMar>
            <w:top w:w="0" w:type="dxa"/>
            <w:left w:w="28" w:type="dxa"/>
            <w:bottom w:w="0" w:type="dxa"/>
            <w:right w:w="28" w:type="dxa"/>
          </w:tblCellMar>
        </w:tblPrEx>
        <w:trPr>
          <w:trHeight w:val="412" w:hRule="atLeast"/>
          <w:jc w:val="center"/>
        </w:trPr>
        <w:tc>
          <w:tcPr>
            <w:tcW w:w="1649" w:type="dxa"/>
            <w:vMerge w:val="continue"/>
            <w:tcBorders>
              <w:left w:val="single" w:color="auto" w:sz="12" w:space="0"/>
              <w:right w:val="single" w:color="auto" w:sz="6" w:space="0"/>
            </w:tcBorders>
            <w:noWrap w:val="0"/>
            <w:vAlign w:val="center"/>
          </w:tcPr>
          <w:p w14:paraId="2CB89665">
            <w:pPr>
              <w:spacing w:line="320" w:lineRule="exact"/>
              <w:jc w:val="center"/>
              <w:rPr>
                <w:rFonts w:hint="eastAsia" w:ascii="宋体" w:hAnsi="宋体" w:eastAsia="宋体" w:cs="宋体"/>
                <w:color w:val="auto"/>
                <w:sz w:val="28"/>
                <w:szCs w:val="28"/>
              </w:rPr>
            </w:pPr>
          </w:p>
        </w:tc>
        <w:tc>
          <w:tcPr>
            <w:tcW w:w="3600" w:type="dxa"/>
            <w:gridSpan w:val="2"/>
            <w:vMerge w:val="continue"/>
            <w:tcBorders>
              <w:left w:val="single" w:color="auto" w:sz="6" w:space="0"/>
              <w:right w:val="single" w:color="auto" w:sz="4" w:space="0"/>
            </w:tcBorders>
            <w:noWrap w:val="0"/>
            <w:vAlign w:val="center"/>
          </w:tcPr>
          <w:p w14:paraId="7D1D62DF">
            <w:pPr>
              <w:spacing w:line="320" w:lineRule="exact"/>
              <w:jc w:val="center"/>
              <w:rPr>
                <w:rFonts w:hint="eastAsia" w:ascii="宋体" w:hAnsi="宋体" w:eastAsia="宋体" w:cs="宋体"/>
                <w:color w:val="auto"/>
                <w:sz w:val="28"/>
                <w:szCs w:val="28"/>
              </w:rPr>
            </w:pPr>
          </w:p>
        </w:tc>
        <w:tc>
          <w:tcPr>
            <w:tcW w:w="1500" w:type="dxa"/>
            <w:tcBorders>
              <w:top w:val="single" w:color="auto" w:sz="4" w:space="0"/>
              <w:left w:val="single" w:color="auto" w:sz="4" w:space="0"/>
              <w:right w:val="single" w:color="auto" w:sz="12" w:space="0"/>
            </w:tcBorders>
            <w:noWrap w:val="0"/>
            <w:vAlign w:val="center"/>
          </w:tcPr>
          <w:p w14:paraId="587595B9">
            <w:pPr>
              <w:spacing w:line="32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费</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用</w:t>
            </w:r>
          </w:p>
        </w:tc>
        <w:tc>
          <w:tcPr>
            <w:tcW w:w="2728" w:type="dxa"/>
            <w:tcBorders>
              <w:top w:val="single" w:color="auto" w:sz="4" w:space="0"/>
              <w:left w:val="single" w:color="auto" w:sz="4" w:space="0"/>
              <w:right w:val="single" w:color="auto" w:sz="12" w:space="0"/>
            </w:tcBorders>
            <w:noWrap w:val="0"/>
            <w:vAlign w:val="center"/>
          </w:tcPr>
          <w:p w14:paraId="29BB34DB">
            <w:pPr>
              <w:spacing w:line="320" w:lineRule="exact"/>
              <w:jc w:val="center"/>
              <w:rPr>
                <w:rFonts w:hint="eastAsia" w:ascii="宋体" w:hAnsi="宋体" w:eastAsia="宋体" w:cs="宋体"/>
                <w:color w:val="auto"/>
                <w:sz w:val="28"/>
                <w:szCs w:val="28"/>
              </w:rPr>
            </w:pPr>
          </w:p>
        </w:tc>
      </w:tr>
      <w:tr w14:paraId="4BB58271">
        <w:tblPrEx>
          <w:tblCellMar>
            <w:top w:w="0" w:type="dxa"/>
            <w:left w:w="28" w:type="dxa"/>
            <w:bottom w:w="0" w:type="dxa"/>
            <w:right w:w="28" w:type="dxa"/>
          </w:tblCellMar>
        </w:tblPrEx>
        <w:trPr>
          <w:trHeight w:val="1103" w:hRule="atLeast"/>
          <w:jc w:val="center"/>
        </w:trPr>
        <w:tc>
          <w:tcPr>
            <w:tcW w:w="1649" w:type="dxa"/>
            <w:tcBorders>
              <w:top w:val="single" w:color="auto" w:sz="6" w:space="0"/>
              <w:left w:val="single" w:color="auto" w:sz="12" w:space="0"/>
              <w:bottom w:val="single" w:color="auto" w:sz="6" w:space="0"/>
              <w:right w:val="single" w:color="auto" w:sz="6" w:space="0"/>
            </w:tcBorders>
            <w:noWrap w:val="0"/>
            <w:vAlign w:val="center"/>
          </w:tcPr>
          <w:p w14:paraId="6B08D4C0">
            <w:pPr>
              <w:widowControl/>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科室意见</w:t>
            </w:r>
          </w:p>
        </w:tc>
        <w:tc>
          <w:tcPr>
            <w:tcW w:w="7828" w:type="dxa"/>
            <w:gridSpan w:val="4"/>
            <w:tcBorders>
              <w:top w:val="single" w:color="auto" w:sz="6" w:space="0"/>
              <w:left w:val="single" w:color="auto" w:sz="6" w:space="0"/>
              <w:bottom w:val="single" w:color="auto" w:sz="6" w:space="0"/>
              <w:right w:val="single" w:color="auto" w:sz="12" w:space="0"/>
            </w:tcBorders>
            <w:noWrap w:val="0"/>
            <w:vAlign w:val="bottom"/>
          </w:tcPr>
          <w:p w14:paraId="70DFB976">
            <w:pPr>
              <w:widowControl/>
              <w:spacing w:line="320" w:lineRule="exact"/>
              <w:jc w:val="right"/>
              <w:rPr>
                <w:rFonts w:hint="eastAsia" w:ascii="宋体" w:hAnsi="宋体" w:eastAsia="宋体" w:cs="宋体"/>
                <w:color w:val="auto"/>
                <w:kern w:val="0"/>
                <w:sz w:val="28"/>
                <w:szCs w:val="28"/>
                <w:lang w:val="en-US" w:eastAsia="zh-CN"/>
              </w:rPr>
            </w:pPr>
          </w:p>
          <w:p w14:paraId="2E8B8A51">
            <w:pPr>
              <w:widowControl/>
              <w:spacing w:line="320" w:lineRule="exact"/>
              <w:jc w:val="center"/>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 xml:space="preserve">                                      20   </w:t>
            </w:r>
            <w:r>
              <w:rPr>
                <w:rFonts w:hint="eastAsia" w:ascii="宋体" w:hAnsi="宋体" w:eastAsia="宋体" w:cs="宋体"/>
                <w:color w:val="auto"/>
                <w:kern w:val="0"/>
                <w:sz w:val="28"/>
                <w:szCs w:val="28"/>
                <w:lang w:val="en-US" w:eastAsia="zh-CN"/>
              </w:rPr>
              <w:t>年   月   日</w:t>
            </w:r>
          </w:p>
        </w:tc>
      </w:tr>
      <w:tr w14:paraId="1565F6AF">
        <w:tblPrEx>
          <w:tblCellMar>
            <w:top w:w="0" w:type="dxa"/>
            <w:left w:w="28" w:type="dxa"/>
            <w:bottom w:w="0" w:type="dxa"/>
            <w:right w:w="28" w:type="dxa"/>
          </w:tblCellMar>
        </w:tblPrEx>
        <w:trPr>
          <w:trHeight w:val="1176" w:hRule="atLeast"/>
          <w:jc w:val="center"/>
        </w:trPr>
        <w:tc>
          <w:tcPr>
            <w:tcW w:w="1649" w:type="dxa"/>
            <w:tcBorders>
              <w:top w:val="single" w:color="auto" w:sz="6" w:space="0"/>
              <w:left w:val="single" w:color="auto" w:sz="12" w:space="0"/>
              <w:right w:val="single" w:color="auto" w:sz="6" w:space="0"/>
            </w:tcBorders>
            <w:noWrap w:val="0"/>
            <w:vAlign w:val="center"/>
          </w:tcPr>
          <w:p w14:paraId="14DF5653">
            <w:pPr>
              <w:widowControl/>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分管</w:t>
            </w:r>
            <w:r>
              <w:rPr>
                <w:rFonts w:hint="eastAsia" w:ascii="宋体" w:hAnsi="宋体" w:eastAsia="宋体" w:cs="宋体"/>
                <w:color w:val="auto"/>
                <w:kern w:val="0"/>
                <w:sz w:val="28"/>
                <w:szCs w:val="28"/>
                <w:lang w:eastAsia="zh-CN"/>
              </w:rPr>
              <w:t>局</w:t>
            </w:r>
            <w:r>
              <w:rPr>
                <w:rFonts w:hint="eastAsia" w:ascii="宋体" w:hAnsi="宋体" w:eastAsia="宋体" w:cs="宋体"/>
                <w:color w:val="auto"/>
                <w:kern w:val="0"/>
                <w:sz w:val="28"/>
                <w:szCs w:val="28"/>
              </w:rPr>
              <w:t>领导</w:t>
            </w:r>
          </w:p>
          <w:p w14:paraId="7797F3E8">
            <w:pPr>
              <w:widowControl/>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意  见</w:t>
            </w:r>
          </w:p>
        </w:tc>
        <w:tc>
          <w:tcPr>
            <w:tcW w:w="7828" w:type="dxa"/>
            <w:gridSpan w:val="4"/>
            <w:tcBorders>
              <w:top w:val="single" w:color="auto" w:sz="6" w:space="0"/>
              <w:left w:val="single" w:color="auto" w:sz="6" w:space="0"/>
              <w:right w:val="single" w:color="auto" w:sz="12" w:space="0"/>
            </w:tcBorders>
            <w:noWrap w:val="0"/>
            <w:vAlign w:val="bottom"/>
          </w:tcPr>
          <w:p w14:paraId="5F05EAEA">
            <w:pPr>
              <w:widowControl/>
              <w:spacing w:line="320" w:lineRule="exact"/>
              <w:ind w:firstLine="1120" w:firstLineChars="400"/>
              <w:jc w:val="right"/>
              <w:rPr>
                <w:rFonts w:hint="eastAsia" w:ascii="宋体" w:hAnsi="宋体" w:eastAsia="宋体" w:cs="宋体"/>
                <w:color w:val="auto"/>
                <w:kern w:val="0"/>
                <w:sz w:val="28"/>
                <w:szCs w:val="28"/>
              </w:rPr>
            </w:pPr>
            <w:r>
              <w:rPr>
                <w:rFonts w:hint="eastAsia" w:ascii="宋体" w:hAnsi="宋体" w:cs="宋体"/>
                <w:color w:val="auto"/>
                <w:kern w:val="0"/>
                <w:sz w:val="28"/>
                <w:szCs w:val="28"/>
                <w:lang w:val="en-US" w:eastAsia="zh-CN"/>
              </w:rPr>
              <w:t xml:space="preserve">20   </w:t>
            </w:r>
            <w:r>
              <w:rPr>
                <w:rFonts w:hint="eastAsia" w:ascii="宋体" w:hAnsi="宋体" w:eastAsia="宋体" w:cs="宋体"/>
                <w:color w:val="auto"/>
                <w:kern w:val="0"/>
                <w:sz w:val="28"/>
                <w:szCs w:val="28"/>
                <w:lang w:val="en-US" w:eastAsia="zh-CN"/>
              </w:rPr>
              <w:t>年   月   日</w:t>
            </w:r>
          </w:p>
        </w:tc>
      </w:tr>
      <w:tr w14:paraId="76A4FF58">
        <w:tblPrEx>
          <w:tblCellMar>
            <w:top w:w="0" w:type="dxa"/>
            <w:left w:w="28" w:type="dxa"/>
            <w:bottom w:w="0" w:type="dxa"/>
            <w:right w:w="28" w:type="dxa"/>
          </w:tblCellMar>
        </w:tblPrEx>
        <w:trPr>
          <w:trHeight w:val="1301" w:hRule="atLeast"/>
          <w:jc w:val="center"/>
        </w:trPr>
        <w:tc>
          <w:tcPr>
            <w:tcW w:w="1649" w:type="dxa"/>
            <w:tcBorders>
              <w:top w:val="single" w:color="auto" w:sz="6" w:space="0"/>
              <w:left w:val="single" w:color="auto" w:sz="12" w:space="0"/>
              <w:right w:val="single" w:color="auto" w:sz="6" w:space="0"/>
            </w:tcBorders>
            <w:noWrap w:val="0"/>
            <w:vAlign w:val="center"/>
          </w:tcPr>
          <w:p w14:paraId="4607C5F5">
            <w:pPr>
              <w:widowControl/>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局</w:t>
            </w:r>
            <w:r>
              <w:rPr>
                <w:rFonts w:hint="eastAsia" w:ascii="宋体" w:hAnsi="宋体" w:eastAsia="宋体" w:cs="宋体"/>
                <w:color w:val="auto"/>
                <w:kern w:val="0"/>
                <w:sz w:val="28"/>
                <w:szCs w:val="28"/>
              </w:rPr>
              <w:t>领导</w:t>
            </w:r>
          </w:p>
          <w:p w14:paraId="5B897C97">
            <w:pPr>
              <w:widowControl/>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意  见</w:t>
            </w:r>
          </w:p>
        </w:tc>
        <w:tc>
          <w:tcPr>
            <w:tcW w:w="7828" w:type="dxa"/>
            <w:gridSpan w:val="4"/>
            <w:tcBorders>
              <w:top w:val="single" w:color="auto" w:sz="6" w:space="0"/>
              <w:left w:val="single" w:color="auto" w:sz="6" w:space="0"/>
              <w:right w:val="single" w:color="auto" w:sz="12" w:space="0"/>
            </w:tcBorders>
            <w:noWrap w:val="0"/>
            <w:vAlign w:val="bottom"/>
          </w:tcPr>
          <w:p w14:paraId="71F7F762">
            <w:pPr>
              <w:widowControl/>
              <w:spacing w:line="320" w:lineRule="exact"/>
              <w:jc w:val="right"/>
              <w:rPr>
                <w:rFonts w:hint="eastAsia" w:ascii="宋体" w:hAnsi="宋体" w:eastAsia="宋体" w:cs="宋体"/>
                <w:color w:val="auto"/>
                <w:kern w:val="0"/>
                <w:sz w:val="28"/>
                <w:szCs w:val="28"/>
              </w:rPr>
            </w:pPr>
            <w:r>
              <w:rPr>
                <w:rFonts w:hint="eastAsia" w:ascii="宋体" w:hAnsi="宋体" w:cs="宋体"/>
                <w:color w:val="auto"/>
                <w:kern w:val="0"/>
                <w:sz w:val="28"/>
                <w:szCs w:val="28"/>
                <w:lang w:val="en-US" w:eastAsia="zh-CN"/>
              </w:rPr>
              <w:t xml:space="preserve">（局盖章）    20   </w:t>
            </w:r>
            <w:r>
              <w:rPr>
                <w:rFonts w:hint="eastAsia" w:ascii="宋体" w:hAnsi="宋体" w:eastAsia="宋体" w:cs="宋体"/>
                <w:color w:val="auto"/>
                <w:kern w:val="0"/>
                <w:sz w:val="28"/>
                <w:szCs w:val="28"/>
                <w:lang w:val="en-US" w:eastAsia="zh-CN"/>
              </w:rPr>
              <w:t>年   月   日</w:t>
            </w:r>
          </w:p>
        </w:tc>
      </w:tr>
      <w:tr w14:paraId="1966C192">
        <w:tblPrEx>
          <w:tblCellMar>
            <w:top w:w="0" w:type="dxa"/>
            <w:left w:w="28" w:type="dxa"/>
            <w:bottom w:w="0" w:type="dxa"/>
            <w:right w:w="28" w:type="dxa"/>
          </w:tblCellMar>
        </w:tblPrEx>
        <w:trPr>
          <w:trHeight w:val="1376" w:hRule="atLeast"/>
          <w:jc w:val="center"/>
        </w:trPr>
        <w:tc>
          <w:tcPr>
            <w:tcW w:w="1649" w:type="dxa"/>
            <w:tcBorders>
              <w:top w:val="single" w:color="auto" w:sz="6" w:space="0"/>
              <w:left w:val="single" w:color="auto" w:sz="12" w:space="0"/>
              <w:bottom w:val="single" w:color="auto" w:sz="6" w:space="0"/>
              <w:right w:val="single" w:color="auto" w:sz="6" w:space="0"/>
            </w:tcBorders>
            <w:noWrap w:val="0"/>
            <w:vAlign w:val="center"/>
          </w:tcPr>
          <w:p w14:paraId="44F9B373">
            <w:pPr>
              <w:widowControl/>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分管市领导</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意  见</w:t>
            </w:r>
          </w:p>
        </w:tc>
        <w:tc>
          <w:tcPr>
            <w:tcW w:w="7828" w:type="dxa"/>
            <w:gridSpan w:val="4"/>
            <w:tcBorders>
              <w:top w:val="single" w:color="auto" w:sz="6" w:space="0"/>
              <w:left w:val="single" w:color="auto" w:sz="6" w:space="0"/>
              <w:bottom w:val="single" w:color="auto" w:sz="6" w:space="0"/>
              <w:right w:val="single" w:color="auto" w:sz="12" w:space="0"/>
            </w:tcBorders>
            <w:noWrap w:val="0"/>
            <w:vAlign w:val="bottom"/>
          </w:tcPr>
          <w:p w14:paraId="20C75C82">
            <w:pPr>
              <w:widowControl/>
              <w:spacing w:line="320" w:lineRule="exact"/>
              <w:jc w:val="center"/>
              <w:rPr>
                <w:rFonts w:hint="eastAsia" w:ascii="宋体" w:hAnsi="宋体" w:eastAsia="宋体" w:cs="宋体"/>
                <w:color w:val="auto"/>
                <w:kern w:val="0"/>
                <w:sz w:val="28"/>
                <w:szCs w:val="28"/>
              </w:rPr>
            </w:pPr>
            <w:r>
              <w:rPr>
                <w:rFonts w:hint="eastAsia" w:ascii="宋体" w:hAnsi="宋体" w:cs="宋体"/>
                <w:color w:val="auto"/>
                <w:kern w:val="0"/>
                <w:sz w:val="28"/>
                <w:szCs w:val="28"/>
                <w:lang w:val="en-US" w:eastAsia="zh-CN"/>
              </w:rPr>
              <w:t xml:space="preserve">                                      20   </w:t>
            </w:r>
            <w:r>
              <w:rPr>
                <w:rFonts w:hint="eastAsia" w:ascii="宋体" w:hAnsi="宋体" w:eastAsia="宋体" w:cs="宋体"/>
                <w:color w:val="auto"/>
                <w:kern w:val="0"/>
                <w:sz w:val="28"/>
                <w:szCs w:val="28"/>
                <w:lang w:val="en-US" w:eastAsia="zh-CN"/>
              </w:rPr>
              <w:t>年   月   日</w:t>
            </w:r>
          </w:p>
        </w:tc>
      </w:tr>
      <w:tr w14:paraId="56822853">
        <w:tblPrEx>
          <w:tblCellMar>
            <w:top w:w="0" w:type="dxa"/>
            <w:left w:w="28" w:type="dxa"/>
            <w:bottom w:w="0" w:type="dxa"/>
            <w:right w:w="28" w:type="dxa"/>
          </w:tblCellMar>
        </w:tblPrEx>
        <w:trPr>
          <w:trHeight w:val="1376" w:hRule="atLeast"/>
          <w:jc w:val="center"/>
        </w:trPr>
        <w:tc>
          <w:tcPr>
            <w:tcW w:w="1649" w:type="dxa"/>
            <w:tcBorders>
              <w:top w:val="single" w:color="auto" w:sz="6" w:space="0"/>
              <w:left w:val="single" w:color="auto" w:sz="12" w:space="0"/>
              <w:bottom w:val="single" w:color="auto" w:sz="12" w:space="0"/>
              <w:right w:val="single" w:color="auto" w:sz="6" w:space="0"/>
            </w:tcBorders>
            <w:noWrap w:val="0"/>
            <w:vAlign w:val="center"/>
          </w:tcPr>
          <w:p w14:paraId="3751A48C">
            <w:pPr>
              <w:widowControl/>
              <w:spacing w:line="32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市领导</w:t>
            </w:r>
          </w:p>
          <w:p w14:paraId="7ED72E5F">
            <w:pPr>
              <w:widowControl/>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意  见</w:t>
            </w:r>
          </w:p>
        </w:tc>
        <w:tc>
          <w:tcPr>
            <w:tcW w:w="7828" w:type="dxa"/>
            <w:gridSpan w:val="4"/>
            <w:tcBorders>
              <w:top w:val="single" w:color="auto" w:sz="6" w:space="0"/>
              <w:left w:val="single" w:color="auto" w:sz="6" w:space="0"/>
              <w:bottom w:val="single" w:color="auto" w:sz="12" w:space="0"/>
              <w:right w:val="single" w:color="auto" w:sz="12" w:space="0"/>
            </w:tcBorders>
            <w:noWrap w:val="0"/>
            <w:vAlign w:val="bottom"/>
          </w:tcPr>
          <w:p w14:paraId="6F37115D">
            <w:pPr>
              <w:widowControl/>
              <w:spacing w:line="320" w:lineRule="exact"/>
              <w:jc w:val="center"/>
              <w:rPr>
                <w:rFonts w:hint="eastAsia" w:ascii="宋体" w:hAnsi="宋体" w:eastAsia="宋体" w:cs="宋体"/>
                <w:color w:val="auto"/>
                <w:kern w:val="0"/>
                <w:sz w:val="28"/>
                <w:szCs w:val="28"/>
              </w:rPr>
            </w:pPr>
            <w:r>
              <w:rPr>
                <w:rFonts w:hint="eastAsia" w:ascii="宋体" w:hAnsi="宋体" w:cs="宋体"/>
                <w:color w:val="auto"/>
                <w:kern w:val="0"/>
                <w:sz w:val="28"/>
                <w:szCs w:val="28"/>
                <w:lang w:val="en-US" w:eastAsia="zh-CN"/>
              </w:rPr>
              <w:t xml:space="preserve">                      （市政府盖章）   20   </w:t>
            </w:r>
            <w:r>
              <w:rPr>
                <w:rFonts w:hint="eastAsia" w:ascii="宋体" w:hAnsi="宋体" w:eastAsia="宋体" w:cs="宋体"/>
                <w:color w:val="auto"/>
                <w:kern w:val="0"/>
                <w:sz w:val="28"/>
                <w:szCs w:val="28"/>
                <w:lang w:val="en-US" w:eastAsia="zh-CN"/>
              </w:rPr>
              <w:t>年   月   日</w:t>
            </w:r>
          </w:p>
        </w:tc>
      </w:tr>
    </w:tbl>
    <w:p w14:paraId="5CB6F8CB">
      <w:pPr>
        <w:pStyle w:val="4"/>
        <w:widowControl/>
        <w:spacing w:beforeAutospacing="0" w:afterAutospacing="0" w:line="525" w:lineRule="atLeast"/>
        <w:rPr>
          <w:rFonts w:hint="eastAsia" w:ascii="仿宋_GB2312" w:hAnsi="仿宋_GB2312" w:eastAsia="仿宋_GB2312" w:cs="仿宋_GB2312"/>
          <w:color w:val="auto"/>
          <w:sz w:val="32"/>
          <w:szCs w:val="32"/>
          <w:highlight w:val="none"/>
        </w:rPr>
      </w:pPr>
    </w:p>
    <w:p w14:paraId="25D1B9F7">
      <w:pPr>
        <w:pStyle w:val="4"/>
        <w:widowControl/>
        <w:spacing w:beforeAutospacing="0" w:afterAutospacing="0" w:line="525" w:lineRule="atLeast"/>
        <w:rPr>
          <w:rFonts w:hint="eastAsia" w:ascii="仿宋_GB2312" w:hAnsi="仿宋_GB2312" w:eastAsia="仿宋_GB2312" w:cs="仿宋_GB2312"/>
          <w:color w:val="auto"/>
          <w:sz w:val="32"/>
          <w:szCs w:val="32"/>
        </w:rPr>
      </w:pPr>
    </w:p>
    <w:p w14:paraId="31D74ABD">
      <w:pPr>
        <w:pStyle w:val="4"/>
        <w:widowControl/>
        <w:spacing w:beforeAutospacing="0" w:afterAutospacing="0" w:line="525" w:lineRule="atLeas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2-5</w:t>
      </w:r>
    </w:p>
    <w:p w14:paraId="03AD79D8">
      <w:pPr>
        <w:pStyle w:val="4"/>
        <w:widowControl/>
        <w:spacing w:beforeAutospacing="0" w:afterAutospacing="0" w:line="525" w:lineRule="atLeast"/>
        <w:jc w:val="center"/>
        <w:rPr>
          <w:rFonts w:hint="eastAsia" w:ascii="仿宋_GB2312" w:hAnsi="仿宋_GB2312" w:eastAsia="仿宋_GB2312" w:cs="仿宋_GB2312"/>
          <w:b/>
          <w:bCs/>
          <w:color w:val="auto"/>
          <w:sz w:val="36"/>
          <w:szCs w:val="36"/>
          <w:highlight w:val="none"/>
          <w:lang w:eastAsia="zh-CN"/>
        </w:rPr>
      </w:pPr>
      <w:r>
        <w:rPr>
          <w:rFonts w:hint="eastAsia" w:ascii="仿宋_GB2312" w:hAnsi="仿宋_GB2312" w:eastAsia="仿宋_GB2312" w:cs="仿宋_GB2312"/>
          <w:b/>
          <w:bCs/>
          <w:color w:val="auto"/>
          <w:sz w:val="36"/>
          <w:szCs w:val="36"/>
          <w:highlight w:val="none"/>
        </w:rPr>
        <w:t>城乡建设用地增减挂钩</w:t>
      </w:r>
      <w:r>
        <w:rPr>
          <w:rFonts w:hint="eastAsia" w:ascii="仿宋_GB2312" w:hAnsi="仿宋_GB2312" w:eastAsia="仿宋_GB2312" w:cs="仿宋_GB2312"/>
          <w:b/>
          <w:bCs/>
          <w:color w:val="auto"/>
          <w:sz w:val="36"/>
          <w:szCs w:val="36"/>
          <w:highlight w:val="none"/>
          <w:lang w:eastAsia="zh-CN"/>
        </w:rPr>
        <w:t>节余</w:t>
      </w:r>
      <w:r>
        <w:rPr>
          <w:rFonts w:hint="eastAsia" w:ascii="仿宋_GB2312" w:hAnsi="仿宋_GB2312" w:eastAsia="仿宋_GB2312" w:cs="仿宋_GB2312"/>
          <w:b/>
          <w:bCs/>
          <w:color w:val="auto"/>
          <w:sz w:val="36"/>
          <w:szCs w:val="36"/>
          <w:highlight w:val="none"/>
        </w:rPr>
        <w:t>指标</w:t>
      </w:r>
      <w:r>
        <w:rPr>
          <w:rFonts w:hint="eastAsia" w:ascii="仿宋_GB2312" w:hAnsi="仿宋_GB2312" w:eastAsia="仿宋_GB2312" w:cs="仿宋_GB2312"/>
          <w:b/>
          <w:bCs/>
          <w:color w:val="auto"/>
          <w:sz w:val="36"/>
          <w:szCs w:val="36"/>
          <w:highlight w:val="none"/>
          <w:lang w:eastAsia="zh-CN"/>
        </w:rPr>
        <w:t>缴款通知书</w:t>
      </w:r>
    </w:p>
    <w:p w14:paraId="707334A0">
      <w:pPr>
        <w:pStyle w:val="4"/>
        <w:widowControl/>
        <w:spacing w:beforeAutospacing="0" w:afterAutospacing="0" w:line="525" w:lineRule="atLeas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rPr>
        <w:t>单位）：</w:t>
      </w:r>
    </w:p>
    <w:p w14:paraId="10C4D83E">
      <w:pPr>
        <w:pStyle w:val="4"/>
        <w:widowControl/>
        <w:spacing w:beforeAutospacing="0" w:afterAutospacing="0" w:line="525" w:lineRule="atLeast"/>
        <w:ind w:firstLine="960" w:firstLineChars="3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你</w:t>
      </w:r>
      <w:r>
        <w:rPr>
          <w:rFonts w:hint="eastAsia" w:ascii="仿宋_GB2312" w:hAnsi="仿宋_GB2312" w:eastAsia="仿宋_GB2312" w:cs="仿宋_GB2312"/>
          <w:color w:val="auto"/>
          <w:sz w:val="32"/>
          <w:szCs w:val="32"/>
          <w:lang w:eastAsia="zh-CN"/>
        </w:rPr>
        <w:t>单位于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日提交的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项目需</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rPr>
        <w:t>城乡建设用地增减挂钩</w:t>
      </w:r>
      <w:r>
        <w:rPr>
          <w:rFonts w:hint="eastAsia" w:ascii="仿宋_GB2312" w:hAnsi="仿宋_GB2312" w:eastAsia="仿宋_GB2312" w:cs="仿宋_GB2312"/>
          <w:color w:val="auto"/>
          <w:sz w:val="32"/>
          <w:szCs w:val="32"/>
          <w:highlight w:val="none"/>
          <w:lang w:eastAsia="zh-CN"/>
        </w:rPr>
        <w:t>节余</w:t>
      </w:r>
      <w:r>
        <w:rPr>
          <w:rFonts w:hint="eastAsia" w:ascii="仿宋_GB2312" w:hAnsi="仿宋_GB2312" w:eastAsia="仿宋_GB2312" w:cs="仿宋_GB2312"/>
          <w:color w:val="auto"/>
          <w:sz w:val="32"/>
          <w:szCs w:val="32"/>
          <w:highlight w:val="none"/>
        </w:rPr>
        <w:t>指</w:t>
      </w:r>
      <w:r>
        <w:rPr>
          <w:rFonts w:hint="eastAsia" w:ascii="仿宋_GB2312" w:hAnsi="仿宋_GB2312" w:eastAsia="仿宋_GB2312" w:cs="仿宋_GB2312"/>
          <w:color w:val="auto"/>
          <w:sz w:val="32"/>
          <w:szCs w:val="32"/>
          <w:highlight w:val="none"/>
          <w:lang w:eastAsia="zh-CN"/>
        </w:rPr>
        <w:t>标</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亩申请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highlight w:val="none"/>
          <w:lang w:eastAsia="zh-CN"/>
        </w:rPr>
        <w:t>已</w:t>
      </w:r>
      <w:r>
        <w:rPr>
          <w:rFonts w:hint="eastAsia" w:ascii="仿宋_GB2312" w:hAnsi="仿宋_GB2312" w:eastAsia="仿宋_GB2312" w:cs="仿宋_GB2312"/>
          <w:color w:val="auto"/>
          <w:sz w:val="32"/>
          <w:szCs w:val="32"/>
          <w:lang w:eastAsia="zh-CN"/>
        </w:rPr>
        <w:t>经市政府同意。根据《</w:t>
      </w:r>
      <w:r>
        <w:rPr>
          <w:rFonts w:hint="eastAsia" w:ascii="仿宋_GB2312" w:hAnsi="仿宋_GB2312" w:eastAsia="仿宋_GB2312" w:cs="仿宋_GB2312"/>
          <w:color w:val="auto"/>
          <w:sz w:val="32"/>
          <w:szCs w:val="32"/>
          <w:highlight w:val="none"/>
          <w:lang w:eastAsia="zh-CN"/>
        </w:rPr>
        <w:t>兰溪市非农建设指标交易管理办法（试行）》</w:t>
      </w:r>
      <w:r>
        <w:rPr>
          <w:rFonts w:hint="eastAsia" w:ascii="仿宋_GB2312" w:hAnsi="仿宋_GB2312" w:eastAsia="仿宋_GB2312" w:cs="仿宋_GB2312"/>
          <w:color w:val="auto"/>
          <w:sz w:val="32"/>
          <w:szCs w:val="32"/>
          <w:lang w:eastAsia="zh-CN"/>
        </w:rPr>
        <w:t>，请</w:t>
      </w:r>
      <w:r>
        <w:rPr>
          <w:rFonts w:hint="eastAsia" w:ascii="仿宋_GB2312" w:hAnsi="仿宋_GB2312" w:eastAsia="仿宋_GB2312" w:cs="仿宋_GB2312"/>
          <w:color w:val="auto"/>
          <w:sz w:val="32"/>
          <w:szCs w:val="32"/>
          <w:highlight w:val="none"/>
          <w:lang w:eastAsia="zh-CN"/>
        </w:rPr>
        <w:t>你单位在</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日内将</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rPr>
        <w:t>城乡建设用地增减挂钩</w:t>
      </w:r>
      <w:r>
        <w:rPr>
          <w:rFonts w:hint="eastAsia" w:ascii="仿宋_GB2312" w:hAnsi="仿宋_GB2312" w:eastAsia="仿宋_GB2312" w:cs="仿宋_GB2312"/>
          <w:color w:val="auto"/>
          <w:sz w:val="32"/>
          <w:szCs w:val="32"/>
          <w:highlight w:val="none"/>
          <w:lang w:eastAsia="zh-CN"/>
        </w:rPr>
        <w:t>节余</w:t>
      </w:r>
      <w:r>
        <w:rPr>
          <w:rFonts w:hint="eastAsia" w:ascii="仿宋_GB2312" w:hAnsi="仿宋_GB2312" w:eastAsia="仿宋_GB2312" w:cs="仿宋_GB2312"/>
          <w:color w:val="auto"/>
          <w:sz w:val="32"/>
          <w:szCs w:val="32"/>
          <w:highlight w:val="none"/>
        </w:rPr>
        <w:t>指</w:t>
      </w:r>
      <w:r>
        <w:rPr>
          <w:rFonts w:hint="eastAsia" w:ascii="仿宋_GB2312" w:hAnsi="仿宋_GB2312" w:eastAsia="仿宋_GB2312" w:cs="仿宋_GB2312"/>
          <w:color w:val="auto"/>
          <w:sz w:val="32"/>
          <w:szCs w:val="32"/>
          <w:highlight w:val="none"/>
          <w:lang w:eastAsia="zh-CN"/>
        </w:rPr>
        <w:t>标</w:t>
      </w:r>
      <w:r>
        <w:rPr>
          <w:rFonts w:hint="eastAsia" w:ascii="仿宋_GB2312" w:hAnsi="仿宋_GB2312" w:eastAsia="仿宋_GB2312" w:cs="仿宋_GB2312"/>
          <w:color w:val="auto"/>
          <w:sz w:val="32"/>
          <w:szCs w:val="32"/>
          <w:highlight w:val="none"/>
          <w:lang w:val="en-US" w:eastAsia="zh-CN"/>
        </w:rPr>
        <w:t>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lang w:eastAsia="zh-CN"/>
        </w:rPr>
        <w:t>元</w:t>
      </w:r>
      <w:r>
        <w:rPr>
          <w:rFonts w:hint="eastAsia" w:ascii="仿宋_GB2312" w:hAnsi="仿宋_GB2312" w:eastAsia="仿宋_GB2312" w:cs="仿宋_GB2312"/>
          <w:color w:val="auto"/>
          <w:sz w:val="32"/>
          <w:szCs w:val="32"/>
          <w:highlight w:val="none"/>
          <w:lang w:val="en-US" w:eastAsia="zh-CN"/>
        </w:rPr>
        <w:t>缴纳至兰溪市财政局非税结算账户。</w:t>
      </w:r>
    </w:p>
    <w:p w14:paraId="00EF9E6D">
      <w:pPr>
        <w:pStyle w:val="4"/>
        <w:widowControl/>
        <w:spacing w:beforeAutospacing="0" w:afterAutospacing="0" w:line="525" w:lineRule="atLeas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户名：兰溪市财政局非税收入汇缴专户</w:t>
      </w:r>
      <w:r>
        <w:rPr>
          <w:rFonts w:hint="eastAsia" w:ascii="仿宋_GB2312" w:hAnsi="仿宋_GB2312" w:eastAsia="仿宋_GB2312" w:cs="仿宋_GB2312"/>
          <w:color w:val="auto"/>
          <w:sz w:val="32"/>
          <w:szCs w:val="32"/>
          <w:lang w:val="en-US" w:eastAsia="zh-CN"/>
        </w:rPr>
        <w:t>-电子缴款专户</w:t>
      </w:r>
    </w:p>
    <w:p w14:paraId="6F9B49EE">
      <w:pPr>
        <w:pStyle w:val="4"/>
        <w:widowControl/>
        <w:spacing w:beforeAutospacing="0" w:afterAutospacing="0" w:line="525" w:lineRule="atLeas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帐号：201000028360299005555</w:t>
      </w:r>
    </w:p>
    <w:p w14:paraId="61E9CF4A">
      <w:pPr>
        <w:pStyle w:val="4"/>
        <w:widowControl/>
        <w:spacing w:beforeAutospacing="0" w:afterAutospacing="0" w:line="525"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开户行：浙江兰溪农村商业银行</w:t>
      </w:r>
    </w:p>
    <w:p w14:paraId="730D3791">
      <w:pPr>
        <w:pStyle w:val="4"/>
        <w:widowControl/>
        <w:spacing w:beforeAutospacing="0" w:afterAutospacing="0" w:line="525" w:lineRule="atLeast"/>
        <w:ind w:firstLine="4160" w:firstLineChars="1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兰溪市自然资源和规划局</w:t>
      </w:r>
    </w:p>
    <w:p w14:paraId="70037F41">
      <w:pPr>
        <w:pStyle w:val="4"/>
        <w:widowControl/>
        <w:spacing w:beforeAutospacing="0" w:afterAutospacing="0" w:line="525" w:lineRule="atLeast"/>
        <w:ind w:firstLine="42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 年 月 日 </w:t>
      </w:r>
    </w:p>
    <w:p w14:paraId="634A4438">
      <w:pPr>
        <w:pStyle w:val="4"/>
        <w:widowControl/>
        <w:spacing w:beforeAutospacing="0" w:afterAutospacing="0" w:line="525" w:lineRule="atLeas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单位：亩、</w:t>
      </w:r>
      <w:r>
        <w:rPr>
          <w:rFonts w:hint="eastAsia" w:ascii="仿宋_GB2312" w:hAnsi="仿宋_GB2312" w:eastAsia="仿宋_GB2312" w:cs="仿宋_GB2312"/>
          <w:color w:val="auto"/>
          <w:sz w:val="32"/>
          <w:szCs w:val="32"/>
          <w:lang w:eastAsia="zh-CN"/>
        </w:rPr>
        <w:t>元</w:t>
      </w:r>
    </w:p>
    <w:tbl>
      <w:tblPr>
        <w:tblStyle w:val="5"/>
        <w:tblpPr w:leftFromText="180" w:rightFromText="180" w:vertAnchor="text" w:horzAnchor="page" w:tblpX="1440" w:tblpY="214"/>
        <w:tblOverlap w:val="neve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667"/>
        <w:gridCol w:w="3030"/>
        <w:gridCol w:w="1648"/>
        <w:gridCol w:w="1648"/>
      </w:tblGrid>
      <w:tr w14:paraId="62B20E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266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4EF32175">
            <w:pPr>
              <w:pStyle w:val="4"/>
              <w:widowControl/>
              <w:spacing w:beforeAutospacing="0" w:afterAutospacing="0" w:line="525" w:lineRule="atLeas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指标类型</w:t>
            </w:r>
          </w:p>
        </w:tc>
        <w:tc>
          <w:tcPr>
            <w:tcW w:w="3030" w:type="dxa"/>
            <w:tcBorders>
              <w:top w:val="single" w:color="auto" w:sz="6" w:space="0"/>
              <w:left w:val="nil"/>
              <w:bottom w:val="single" w:color="auto" w:sz="6" w:space="0"/>
              <w:right w:val="single" w:color="auto" w:sz="4" w:space="0"/>
            </w:tcBorders>
            <w:noWrap w:val="0"/>
            <w:tcMar>
              <w:left w:w="105" w:type="dxa"/>
              <w:right w:w="105" w:type="dxa"/>
            </w:tcMar>
            <w:vAlign w:val="center"/>
          </w:tcPr>
          <w:p w14:paraId="5A7584C2">
            <w:pPr>
              <w:pStyle w:val="4"/>
              <w:widowControl/>
              <w:spacing w:beforeAutospacing="0" w:afterAutospacing="0" w:line="525"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数量</w:t>
            </w:r>
            <w:r>
              <w:rPr>
                <w:rFonts w:hint="eastAsia" w:ascii="宋体" w:hAnsi="宋体" w:cs="宋体"/>
                <w:color w:val="auto"/>
                <w:sz w:val="28"/>
                <w:szCs w:val="28"/>
                <w:lang w:eastAsia="zh-CN"/>
              </w:rPr>
              <w:t>（亩）</w:t>
            </w:r>
          </w:p>
        </w:tc>
        <w:tc>
          <w:tcPr>
            <w:tcW w:w="3296" w:type="dxa"/>
            <w:gridSpan w:val="2"/>
            <w:tcBorders>
              <w:top w:val="single" w:color="auto" w:sz="6" w:space="0"/>
              <w:left w:val="single" w:color="auto" w:sz="4" w:space="0"/>
              <w:bottom w:val="single" w:color="auto" w:sz="6" w:space="0"/>
              <w:right w:val="single" w:color="auto" w:sz="6" w:space="0"/>
            </w:tcBorders>
            <w:noWrap w:val="0"/>
            <w:tcMar>
              <w:left w:w="105" w:type="dxa"/>
              <w:right w:w="105" w:type="dxa"/>
            </w:tcMar>
            <w:vAlign w:val="center"/>
          </w:tcPr>
          <w:p w14:paraId="439FFA40">
            <w:pPr>
              <w:spacing w:line="32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购买标准及费用</w:t>
            </w:r>
            <w:r>
              <w:rPr>
                <w:rFonts w:hint="eastAsia" w:ascii="宋体" w:hAnsi="宋体" w:eastAsia="宋体" w:cs="宋体"/>
                <w:color w:val="auto"/>
                <w:kern w:val="0"/>
                <w:sz w:val="28"/>
                <w:szCs w:val="28"/>
                <w:lang w:val="en-US" w:eastAsia="zh-CN"/>
              </w:rPr>
              <w:t xml:space="preserve"> </w:t>
            </w:r>
          </w:p>
          <w:p w14:paraId="4503517D">
            <w:pPr>
              <w:pStyle w:val="4"/>
              <w:widowControl/>
              <w:spacing w:beforeAutospacing="0" w:afterAutospacing="0" w:line="525" w:lineRule="atLeast"/>
              <w:jc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rPr>
              <w:t>（元/亩、元）</w:t>
            </w:r>
          </w:p>
        </w:tc>
      </w:tr>
      <w:tr w14:paraId="01AD79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2667" w:type="dxa"/>
            <w:vMerge w:val="restart"/>
            <w:tcBorders>
              <w:top w:val="nil"/>
              <w:left w:val="single" w:color="auto" w:sz="6" w:space="0"/>
              <w:right w:val="single" w:color="auto" w:sz="6" w:space="0"/>
            </w:tcBorders>
            <w:noWrap w:val="0"/>
            <w:tcMar>
              <w:left w:w="105" w:type="dxa"/>
              <w:right w:w="105" w:type="dxa"/>
            </w:tcMar>
            <w:vAlign w:val="center"/>
          </w:tcPr>
          <w:p w14:paraId="414D2722">
            <w:pPr>
              <w:widowControl/>
              <w:jc w:val="center"/>
              <w:textAlignment w:val="center"/>
              <w:rPr>
                <w:rFonts w:hint="eastAsia" w:ascii="宋体" w:hAnsi="宋体" w:eastAsia="宋体" w:cs="宋体"/>
                <w:color w:val="auto"/>
                <w:sz w:val="28"/>
                <w:szCs w:val="28"/>
              </w:rPr>
            </w:pPr>
            <w:r>
              <w:rPr>
                <w:rFonts w:hint="eastAsia" w:ascii="仿宋_GB2312" w:hAnsi="仿宋_GB2312" w:eastAsia="仿宋_GB2312" w:cs="仿宋_GB2312"/>
                <w:color w:val="auto"/>
                <w:sz w:val="32"/>
                <w:szCs w:val="32"/>
                <w:highlight w:val="none"/>
              </w:rPr>
              <w:t>城乡建设用地增减挂钩</w:t>
            </w:r>
            <w:r>
              <w:rPr>
                <w:rFonts w:hint="eastAsia" w:ascii="仿宋_GB2312" w:hAnsi="仿宋_GB2312" w:eastAsia="仿宋_GB2312" w:cs="仿宋_GB2312"/>
                <w:color w:val="auto"/>
                <w:sz w:val="32"/>
                <w:szCs w:val="32"/>
                <w:highlight w:val="none"/>
                <w:lang w:eastAsia="zh-CN"/>
              </w:rPr>
              <w:t>节余</w:t>
            </w:r>
            <w:r>
              <w:rPr>
                <w:rFonts w:hint="eastAsia" w:ascii="仿宋_GB2312" w:hAnsi="仿宋_GB2312" w:eastAsia="仿宋_GB2312" w:cs="仿宋_GB2312"/>
                <w:color w:val="auto"/>
                <w:sz w:val="32"/>
                <w:szCs w:val="32"/>
                <w:highlight w:val="none"/>
              </w:rPr>
              <w:t>指标</w:t>
            </w:r>
          </w:p>
        </w:tc>
        <w:tc>
          <w:tcPr>
            <w:tcW w:w="3030" w:type="dxa"/>
            <w:vMerge w:val="restart"/>
            <w:tcBorders>
              <w:top w:val="nil"/>
              <w:left w:val="nil"/>
              <w:right w:val="single" w:color="auto" w:sz="4" w:space="0"/>
            </w:tcBorders>
            <w:noWrap w:val="0"/>
            <w:tcMar>
              <w:left w:w="105" w:type="dxa"/>
              <w:right w:w="105" w:type="dxa"/>
            </w:tcMar>
            <w:vAlign w:val="center"/>
          </w:tcPr>
          <w:p w14:paraId="0E871151">
            <w:pPr>
              <w:widowControl/>
              <w:jc w:val="center"/>
              <w:textAlignment w:val="center"/>
              <w:rPr>
                <w:rFonts w:hint="eastAsia" w:ascii="宋体" w:hAnsi="宋体" w:eastAsia="宋体" w:cs="宋体"/>
                <w:color w:val="auto"/>
                <w:sz w:val="28"/>
                <w:szCs w:val="28"/>
              </w:rPr>
            </w:pP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24954D7F">
            <w:pPr>
              <w:widowControl/>
              <w:jc w:val="center"/>
              <w:textAlignment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标准</w:t>
            </w: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78EA3BA5">
            <w:pPr>
              <w:widowControl/>
              <w:jc w:val="center"/>
              <w:textAlignment w:val="center"/>
              <w:rPr>
                <w:rFonts w:hint="eastAsia" w:ascii="宋体" w:hAnsi="宋体" w:eastAsia="宋体" w:cs="宋体"/>
                <w:color w:val="auto"/>
                <w:sz w:val="28"/>
                <w:szCs w:val="28"/>
              </w:rPr>
            </w:pPr>
          </w:p>
        </w:tc>
      </w:tr>
      <w:tr w14:paraId="4319AB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7" w:hRule="atLeast"/>
        </w:trPr>
        <w:tc>
          <w:tcPr>
            <w:tcW w:w="2667" w:type="dxa"/>
            <w:vMerge w:val="continue"/>
            <w:tcBorders>
              <w:left w:val="single" w:color="auto" w:sz="6" w:space="0"/>
              <w:right w:val="single" w:color="auto" w:sz="6" w:space="0"/>
            </w:tcBorders>
            <w:noWrap w:val="0"/>
            <w:tcMar>
              <w:left w:w="105" w:type="dxa"/>
              <w:right w:w="105" w:type="dxa"/>
            </w:tcMar>
            <w:vAlign w:val="center"/>
          </w:tcPr>
          <w:p w14:paraId="2B3A7449">
            <w:pPr>
              <w:widowControl/>
              <w:jc w:val="center"/>
              <w:textAlignment w:val="center"/>
              <w:rPr>
                <w:rFonts w:hint="eastAsia" w:ascii="宋体" w:hAnsi="宋体" w:eastAsia="宋体" w:cs="宋体"/>
                <w:color w:val="auto"/>
                <w:sz w:val="28"/>
                <w:szCs w:val="28"/>
              </w:rPr>
            </w:pPr>
          </w:p>
        </w:tc>
        <w:tc>
          <w:tcPr>
            <w:tcW w:w="3030" w:type="dxa"/>
            <w:vMerge w:val="continue"/>
            <w:tcBorders>
              <w:left w:val="nil"/>
              <w:bottom w:val="single" w:color="auto" w:sz="6" w:space="0"/>
              <w:right w:val="single" w:color="auto" w:sz="4" w:space="0"/>
            </w:tcBorders>
            <w:noWrap w:val="0"/>
            <w:tcMar>
              <w:left w:w="105" w:type="dxa"/>
              <w:right w:w="105" w:type="dxa"/>
            </w:tcMar>
            <w:vAlign w:val="center"/>
          </w:tcPr>
          <w:p w14:paraId="1B1B206F">
            <w:pPr>
              <w:widowControl/>
              <w:jc w:val="center"/>
              <w:textAlignment w:val="center"/>
              <w:rPr>
                <w:rFonts w:hint="eastAsia" w:ascii="宋体" w:hAnsi="宋体" w:eastAsia="宋体" w:cs="宋体"/>
                <w:color w:val="auto"/>
                <w:sz w:val="28"/>
                <w:szCs w:val="28"/>
              </w:rPr>
            </w:pP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14166634">
            <w:pPr>
              <w:widowControl/>
              <w:jc w:val="center"/>
              <w:textAlignment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费用</w:t>
            </w: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65AF60CD">
            <w:pPr>
              <w:widowControl/>
              <w:jc w:val="center"/>
              <w:textAlignment w:val="center"/>
              <w:rPr>
                <w:rFonts w:hint="eastAsia" w:ascii="宋体" w:hAnsi="宋体" w:eastAsia="宋体" w:cs="宋体"/>
                <w:color w:val="auto"/>
                <w:sz w:val="28"/>
                <w:szCs w:val="28"/>
              </w:rPr>
            </w:pPr>
          </w:p>
        </w:tc>
      </w:tr>
    </w:tbl>
    <w:p w14:paraId="07C810C0">
      <w:pPr>
        <w:pStyle w:val="4"/>
        <w:widowControl/>
        <w:spacing w:beforeAutospacing="0" w:afterAutospacing="0" w:line="525" w:lineRule="atLeast"/>
        <w:rPr>
          <w:rFonts w:hint="eastAsia" w:ascii="仿宋_GB2312" w:hAnsi="仿宋_GB2312" w:eastAsia="仿宋_GB2312" w:cs="仿宋_GB2312"/>
          <w:color w:val="auto"/>
          <w:sz w:val="32"/>
          <w:szCs w:val="32"/>
          <w:highlight w:val="none"/>
        </w:rPr>
      </w:pPr>
    </w:p>
    <w:p w14:paraId="75EFD899">
      <w:pPr>
        <w:pStyle w:val="4"/>
        <w:widowControl/>
        <w:spacing w:beforeAutospacing="0" w:afterAutospacing="0" w:line="525" w:lineRule="atLeast"/>
        <w:rPr>
          <w:rFonts w:hint="eastAsia" w:ascii="仿宋_GB2312" w:hAnsi="仿宋_GB2312" w:eastAsia="仿宋_GB2312" w:cs="仿宋_GB2312"/>
          <w:color w:val="auto"/>
          <w:sz w:val="32"/>
          <w:szCs w:val="32"/>
          <w:highlight w:val="none"/>
        </w:rPr>
      </w:pPr>
    </w:p>
    <w:p w14:paraId="17EC8FA9">
      <w:pPr>
        <w:pStyle w:val="4"/>
        <w:widowControl/>
        <w:spacing w:beforeAutospacing="0" w:afterAutospacing="0" w:line="525" w:lineRule="atLeast"/>
        <w:rPr>
          <w:rFonts w:hint="eastAsia" w:ascii="仿宋_GB2312" w:hAnsi="仿宋_GB2312" w:eastAsia="仿宋_GB2312" w:cs="仿宋_GB2312"/>
          <w:color w:val="auto"/>
          <w:sz w:val="32"/>
          <w:szCs w:val="32"/>
          <w:highlight w:val="none"/>
        </w:rPr>
      </w:pPr>
    </w:p>
    <w:p w14:paraId="546B58D6">
      <w:pPr>
        <w:pStyle w:val="4"/>
        <w:widowControl/>
        <w:spacing w:beforeAutospacing="0" w:afterAutospacing="0" w:line="525" w:lineRule="atLeast"/>
        <w:rPr>
          <w:rFonts w:hint="eastAsia" w:ascii="仿宋_GB2312" w:hAnsi="仿宋_GB2312" w:eastAsia="仿宋_GB2312" w:cs="仿宋_GB2312"/>
          <w:color w:val="auto"/>
          <w:sz w:val="32"/>
          <w:szCs w:val="32"/>
          <w:highlight w:val="none"/>
        </w:rPr>
      </w:pPr>
    </w:p>
    <w:p w14:paraId="3C03EED6">
      <w:pPr>
        <w:pStyle w:val="4"/>
        <w:widowControl/>
        <w:spacing w:beforeAutospacing="0" w:afterAutospacing="0" w:line="525" w:lineRule="atLeast"/>
        <w:rPr>
          <w:rFonts w:hint="eastAsia" w:ascii="仿宋_GB2312" w:hAnsi="仿宋_GB2312" w:eastAsia="仿宋_GB2312" w:cs="仿宋_GB2312"/>
          <w:color w:val="auto"/>
          <w:sz w:val="32"/>
          <w:szCs w:val="32"/>
          <w:highlight w:val="none"/>
        </w:rPr>
      </w:pPr>
    </w:p>
    <w:p w14:paraId="489FA1CA">
      <w:pPr>
        <w:pStyle w:val="4"/>
        <w:widowControl/>
        <w:spacing w:beforeAutospacing="0" w:afterAutospacing="0" w:line="525" w:lineRule="atLeas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2-6</w:t>
      </w:r>
    </w:p>
    <w:p w14:paraId="23990D14">
      <w:pPr>
        <w:pStyle w:val="4"/>
        <w:widowControl/>
        <w:spacing w:beforeAutospacing="0" w:afterAutospacing="0" w:line="525" w:lineRule="atLeast"/>
        <w:ind w:firstLine="420"/>
        <w:jc w:val="center"/>
        <w:rPr>
          <w:rFonts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城乡建设用地增减挂钩</w:t>
      </w:r>
      <w:r>
        <w:rPr>
          <w:rFonts w:hint="eastAsia" w:ascii="仿宋_GB2312" w:hAnsi="仿宋_GB2312" w:eastAsia="仿宋_GB2312" w:cs="仿宋_GB2312"/>
          <w:b/>
          <w:bCs/>
          <w:color w:val="auto"/>
          <w:sz w:val="36"/>
          <w:szCs w:val="36"/>
          <w:highlight w:val="none"/>
          <w:lang w:eastAsia="zh-CN"/>
        </w:rPr>
        <w:t>节余</w:t>
      </w:r>
      <w:r>
        <w:rPr>
          <w:rFonts w:hint="eastAsia" w:ascii="仿宋_GB2312" w:hAnsi="仿宋_GB2312" w:eastAsia="仿宋_GB2312" w:cs="仿宋_GB2312"/>
          <w:b/>
          <w:bCs/>
          <w:color w:val="auto"/>
          <w:sz w:val="36"/>
          <w:szCs w:val="36"/>
          <w:highlight w:val="none"/>
        </w:rPr>
        <w:t>指标下达通知书</w:t>
      </w:r>
    </w:p>
    <w:p w14:paraId="481584CB">
      <w:pPr>
        <w:pStyle w:val="4"/>
        <w:widowControl/>
        <w:spacing w:beforeAutospacing="0" w:afterAutospacing="0" w:line="525" w:lineRule="atLeas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（业主单位）：</w:t>
      </w:r>
    </w:p>
    <w:p w14:paraId="01C52251">
      <w:pPr>
        <w:pStyle w:val="4"/>
        <w:widowControl/>
        <w:spacing w:beforeAutospacing="0" w:afterAutospacing="0" w:line="525" w:lineRule="atLeast"/>
        <w:ind w:left="319" w:leftChars="152"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根据你</w:t>
      </w:r>
      <w:r>
        <w:rPr>
          <w:rFonts w:hint="eastAsia" w:ascii="仿宋_GB2312" w:hAnsi="仿宋_GB2312" w:eastAsia="仿宋_GB2312" w:cs="仿宋_GB2312"/>
          <w:color w:val="auto"/>
          <w:sz w:val="32"/>
          <w:szCs w:val="32"/>
          <w:highlight w:val="none"/>
          <w:lang w:eastAsia="zh-CN"/>
        </w:rPr>
        <w:t>单位提交的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rPr>
        <w:t>城乡建设用地增减挂钩</w:t>
      </w:r>
      <w:r>
        <w:rPr>
          <w:rFonts w:hint="eastAsia" w:ascii="仿宋_GB2312" w:hAnsi="仿宋_GB2312" w:eastAsia="仿宋_GB2312" w:cs="仿宋_GB2312"/>
          <w:color w:val="auto"/>
          <w:sz w:val="32"/>
          <w:szCs w:val="32"/>
          <w:highlight w:val="none"/>
          <w:lang w:eastAsia="zh-CN"/>
        </w:rPr>
        <w:t>节余</w:t>
      </w:r>
      <w:r>
        <w:rPr>
          <w:rFonts w:hint="eastAsia" w:ascii="仿宋_GB2312" w:hAnsi="仿宋_GB2312" w:eastAsia="仿宋_GB2312" w:cs="仿宋_GB2312"/>
          <w:color w:val="auto"/>
          <w:sz w:val="32"/>
          <w:szCs w:val="32"/>
          <w:highlight w:val="none"/>
        </w:rPr>
        <w:t>指</w:t>
      </w:r>
      <w:r>
        <w:rPr>
          <w:rFonts w:hint="eastAsia" w:ascii="仿宋_GB2312" w:hAnsi="仿宋_GB2312" w:eastAsia="仿宋_GB2312" w:cs="仿宋_GB2312"/>
          <w:color w:val="auto"/>
          <w:sz w:val="32"/>
          <w:szCs w:val="32"/>
          <w:highlight w:val="none"/>
          <w:lang w:eastAsia="zh-CN"/>
        </w:rPr>
        <w:t>标申请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经市政府同意，现向你单位</w:t>
      </w:r>
      <w:r>
        <w:rPr>
          <w:rFonts w:hint="eastAsia" w:ascii="仿宋_GB2312" w:hAnsi="仿宋_GB2312" w:eastAsia="仿宋_GB2312" w:cs="仿宋_GB2312"/>
          <w:color w:val="auto"/>
          <w:sz w:val="32"/>
          <w:szCs w:val="32"/>
          <w:highlight w:val="none"/>
        </w:rPr>
        <w:t>下达</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亩的城乡建设用地增减挂钩</w:t>
      </w:r>
      <w:r>
        <w:rPr>
          <w:rFonts w:hint="eastAsia" w:ascii="仿宋_GB2312" w:hAnsi="仿宋_GB2312" w:eastAsia="仿宋_GB2312" w:cs="仿宋_GB2312"/>
          <w:color w:val="auto"/>
          <w:sz w:val="32"/>
          <w:szCs w:val="32"/>
          <w:highlight w:val="none"/>
          <w:lang w:eastAsia="zh-CN"/>
        </w:rPr>
        <w:t>节余</w:t>
      </w:r>
      <w:r>
        <w:rPr>
          <w:rFonts w:hint="eastAsia" w:ascii="仿宋_GB2312" w:hAnsi="仿宋_GB2312" w:eastAsia="仿宋_GB2312" w:cs="仿宋_GB2312"/>
          <w:color w:val="auto"/>
          <w:sz w:val="32"/>
          <w:szCs w:val="32"/>
          <w:highlight w:val="none"/>
        </w:rPr>
        <w:t>指标，该指标数量需在一年内使用完。若要分割使用，请在办理农用地转用和土地征收报批时告知我局。</w:t>
      </w:r>
    </w:p>
    <w:p w14:paraId="54ED7959">
      <w:pPr>
        <w:pStyle w:val="4"/>
        <w:widowControl/>
        <w:spacing w:beforeAutospacing="0" w:afterAutospacing="0" w:line="525" w:lineRule="atLeast"/>
        <w:ind w:firstLine="42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特此通知。</w:t>
      </w:r>
    </w:p>
    <w:p w14:paraId="34BED2CA">
      <w:pPr>
        <w:pStyle w:val="4"/>
        <w:widowControl/>
        <w:spacing w:beforeAutospacing="0" w:afterAutospacing="0" w:line="525" w:lineRule="atLeast"/>
        <w:ind w:firstLine="4160" w:firstLineChars="13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兰溪市自然资源和规划局</w:t>
      </w:r>
    </w:p>
    <w:p w14:paraId="1E261BA7">
      <w:pPr>
        <w:pStyle w:val="4"/>
        <w:widowControl/>
        <w:spacing w:beforeAutospacing="0" w:afterAutospacing="0" w:line="525" w:lineRule="atLeast"/>
        <w:ind w:firstLine="42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20 年 月 日</w:t>
      </w:r>
    </w:p>
    <w:p w14:paraId="05E56AE3">
      <w:pPr>
        <w:pStyle w:val="4"/>
        <w:widowControl/>
        <w:spacing w:beforeAutospacing="0" w:afterAutospacing="0" w:line="525" w:lineRule="atLeas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单位：亩、</w:t>
      </w:r>
      <w:r>
        <w:rPr>
          <w:rFonts w:hint="eastAsia" w:ascii="仿宋_GB2312" w:hAnsi="仿宋_GB2312" w:eastAsia="仿宋_GB2312" w:cs="仿宋_GB2312"/>
          <w:color w:val="auto"/>
          <w:sz w:val="32"/>
          <w:szCs w:val="32"/>
          <w:lang w:eastAsia="zh-CN"/>
        </w:rPr>
        <w:t>元</w:t>
      </w:r>
    </w:p>
    <w:tbl>
      <w:tblPr>
        <w:tblStyle w:val="5"/>
        <w:tblpPr w:leftFromText="180" w:rightFromText="180" w:vertAnchor="text" w:horzAnchor="page" w:tblpX="1440" w:tblpY="214"/>
        <w:tblOverlap w:val="neve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667"/>
        <w:gridCol w:w="3030"/>
        <w:gridCol w:w="1648"/>
        <w:gridCol w:w="1648"/>
      </w:tblGrid>
      <w:tr w14:paraId="10AE44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266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25B5A2A5">
            <w:pPr>
              <w:pStyle w:val="4"/>
              <w:widowControl/>
              <w:spacing w:beforeAutospacing="0" w:afterAutospacing="0" w:line="525" w:lineRule="atLeas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指标类型</w:t>
            </w:r>
          </w:p>
        </w:tc>
        <w:tc>
          <w:tcPr>
            <w:tcW w:w="3030" w:type="dxa"/>
            <w:tcBorders>
              <w:top w:val="single" w:color="auto" w:sz="6" w:space="0"/>
              <w:left w:val="nil"/>
              <w:bottom w:val="single" w:color="auto" w:sz="6" w:space="0"/>
              <w:right w:val="single" w:color="auto" w:sz="4" w:space="0"/>
            </w:tcBorders>
            <w:noWrap w:val="0"/>
            <w:tcMar>
              <w:left w:w="105" w:type="dxa"/>
              <w:right w:w="105" w:type="dxa"/>
            </w:tcMar>
            <w:vAlign w:val="center"/>
          </w:tcPr>
          <w:p w14:paraId="4AF775B0">
            <w:pPr>
              <w:pStyle w:val="4"/>
              <w:widowControl/>
              <w:spacing w:beforeAutospacing="0" w:afterAutospacing="0" w:line="525"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数量</w:t>
            </w:r>
            <w:r>
              <w:rPr>
                <w:rFonts w:hint="eastAsia" w:ascii="宋体" w:hAnsi="宋体" w:cs="宋体"/>
                <w:color w:val="auto"/>
                <w:sz w:val="28"/>
                <w:szCs w:val="28"/>
                <w:lang w:eastAsia="zh-CN"/>
              </w:rPr>
              <w:t>（亩）</w:t>
            </w:r>
          </w:p>
        </w:tc>
        <w:tc>
          <w:tcPr>
            <w:tcW w:w="3296" w:type="dxa"/>
            <w:gridSpan w:val="2"/>
            <w:tcBorders>
              <w:top w:val="single" w:color="auto" w:sz="6" w:space="0"/>
              <w:left w:val="single" w:color="auto" w:sz="4" w:space="0"/>
              <w:bottom w:val="single" w:color="auto" w:sz="6" w:space="0"/>
              <w:right w:val="single" w:color="auto" w:sz="6" w:space="0"/>
            </w:tcBorders>
            <w:noWrap w:val="0"/>
            <w:tcMar>
              <w:left w:w="105" w:type="dxa"/>
              <w:right w:w="105" w:type="dxa"/>
            </w:tcMar>
            <w:vAlign w:val="center"/>
          </w:tcPr>
          <w:p w14:paraId="2EDC4AB3">
            <w:pPr>
              <w:spacing w:line="32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购买标准及费用</w:t>
            </w:r>
            <w:r>
              <w:rPr>
                <w:rFonts w:hint="eastAsia" w:ascii="宋体" w:hAnsi="宋体" w:eastAsia="宋体" w:cs="宋体"/>
                <w:color w:val="auto"/>
                <w:kern w:val="0"/>
                <w:sz w:val="28"/>
                <w:szCs w:val="28"/>
                <w:lang w:val="en-US" w:eastAsia="zh-CN"/>
              </w:rPr>
              <w:t xml:space="preserve"> </w:t>
            </w:r>
          </w:p>
          <w:p w14:paraId="2BC7682B">
            <w:pPr>
              <w:pStyle w:val="4"/>
              <w:widowControl/>
              <w:spacing w:beforeAutospacing="0" w:afterAutospacing="0" w:line="525" w:lineRule="atLeast"/>
              <w:jc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rPr>
              <w:t>（元/亩、元）</w:t>
            </w:r>
          </w:p>
        </w:tc>
      </w:tr>
      <w:tr w14:paraId="01612A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2667" w:type="dxa"/>
            <w:vMerge w:val="restart"/>
            <w:tcBorders>
              <w:top w:val="nil"/>
              <w:left w:val="single" w:color="auto" w:sz="6" w:space="0"/>
              <w:right w:val="single" w:color="auto" w:sz="6" w:space="0"/>
            </w:tcBorders>
            <w:noWrap w:val="0"/>
            <w:tcMar>
              <w:left w:w="105" w:type="dxa"/>
              <w:right w:w="105" w:type="dxa"/>
            </w:tcMar>
            <w:vAlign w:val="center"/>
          </w:tcPr>
          <w:p w14:paraId="7BB92C16">
            <w:pPr>
              <w:widowControl/>
              <w:jc w:val="center"/>
              <w:textAlignment w:val="center"/>
              <w:rPr>
                <w:rFonts w:hint="eastAsia" w:ascii="宋体" w:hAnsi="宋体" w:eastAsia="宋体" w:cs="宋体"/>
                <w:color w:val="auto"/>
                <w:sz w:val="28"/>
                <w:szCs w:val="28"/>
              </w:rPr>
            </w:pPr>
            <w:r>
              <w:rPr>
                <w:rFonts w:hint="eastAsia" w:ascii="仿宋_GB2312" w:hAnsi="仿宋_GB2312" w:eastAsia="仿宋_GB2312" w:cs="仿宋_GB2312"/>
                <w:color w:val="auto"/>
                <w:sz w:val="32"/>
                <w:szCs w:val="32"/>
                <w:highlight w:val="none"/>
              </w:rPr>
              <w:t>城乡建设用地增减挂钩</w:t>
            </w:r>
            <w:r>
              <w:rPr>
                <w:rFonts w:hint="eastAsia" w:ascii="仿宋_GB2312" w:hAnsi="仿宋_GB2312" w:eastAsia="仿宋_GB2312" w:cs="仿宋_GB2312"/>
                <w:color w:val="auto"/>
                <w:sz w:val="32"/>
                <w:szCs w:val="32"/>
                <w:highlight w:val="none"/>
                <w:lang w:eastAsia="zh-CN"/>
              </w:rPr>
              <w:t>节余</w:t>
            </w:r>
            <w:r>
              <w:rPr>
                <w:rFonts w:hint="eastAsia" w:ascii="仿宋_GB2312" w:hAnsi="仿宋_GB2312" w:eastAsia="仿宋_GB2312" w:cs="仿宋_GB2312"/>
                <w:color w:val="auto"/>
                <w:sz w:val="32"/>
                <w:szCs w:val="32"/>
                <w:highlight w:val="none"/>
              </w:rPr>
              <w:t>指标</w:t>
            </w:r>
          </w:p>
        </w:tc>
        <w:tc>
          <w:tcPr>
            <w:tcW w:w="3030" w:type="dxa"/>
            <w:vMerge w:val="restart"/>
            <w:tcBorders>
              <w:top w:val="nil"/>
              <w:left w:val="nil"/>
              <w:right w:val="single" w:color="auto" w:sz="4" w:space="0"/>
            </w:tcBorders>
            <w:noWrap w:val="0"/>
            <w:tcMar>
              <w:left w:w="105" w:type="dxa"/>
              <w:right w:w="105" w:type="dxa"/>
            </w:tcMar>
            <w:vAlign w:val="center"/>
          </w:tcPr>
          <w:p w14:paraId="7ACD60C7">
            <w:pPr>
              <w:widowControl/>
              <w:jc w:val="center"/>
              <w:textAlignment w:val="center"/>
              <w:rPr>
                <w:rFonts w:hint="eastAsia" w:ascii="宋体" w:hAnsi="宋体" w:eastAsia="宋体" w:cs="宋体"/>
                <w:color w:val="auto"/>
                <w:sz w:val="28"/>
                <w:szCs w:val="28"/>
              </w:rPr>
            </w:pP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6BB07DB7">
            <w:pPr>
              <w:widowControl/>
              <w:jc w:val="center"/>
              <w:textAlignment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标准</w:t>
            </w: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62169CFA">
            <w:pPr>
              <w:widowControl/>
              <w:jc w:val="center"/>
              <w:textAlignment w:val="center"/>
              <w:rPr>
                <w:rFonts w:hint="eastAsia" w:ascii="宋体" w:hAnsi="宋体" w:eastAsia="宋体" w:cs="宋体"/>
                <w:color w:val="auto"/>
                <w:sz w:val="28"/>
                <w:szCs w:val="28"/>
              </w:rPr>
            </w:pPr>
          </w:p>
        </w:tc>
      </w:tr>
      <w:tr w14:paraId="12D200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7" w:hRule="atLeast"/>
        </w:trPr>
        <w:tc>
          <w:tcPr>
            <w:tcW w:w="2667" w:type="dxa"/>
            <w:vMerge w:val="continue"/>
            <w:tcBorders>
              <w:left w:val="single" w:color="auto" w:sz="6" w:space="0"/>
              <w:right w:val="single" w:color="auto" w:sz="6" w:space="0"/>
            </w:tcBorders>
            <w:noWrap w:val="0"/>
            <w:tcMar>
              <w:left w:w="105" w:type="dxa"/>
              <w:right w:w="105" w:type="dxa"/>
            </w:tcMar>
            <w:vAlign w:val="center"/>
          </w:tcPr>
          <w:p w14:paraId="3792796B">
            <w:pPr>
              <w:widowControl/>
              <w:jc w:val="center"/>
              <w:textAlignment w:val="center"/>
              <w:rPr>
                <w:rFonts w:hint="eastAsia" w:ascii="宋体" w:hAnsi="宋体" w:eastAsia="宋体" w:cs="宋体"/>
                <w:color w:val="auto"/>
                <w:sz w:val="28"/>
                <w:szCs w:val="28"/>
              </w:rPr>
            </w:pPr>
          </w:p>
        </w:tc>
        <w:tc>
          <w:tcPr>
            <w:tcW w:w="3030" w:type="dxa"/>
            <w:vMerge w:val="continue"/>
            <w:tcBorders>
              <w:left w:val="nil"/>
              <w:bottom w:val="single" w:color="auto" w:sz="6" w:space="0"/>
              <w:right w:val="single" w:color="auto" w:sz="4" w:space="0"/>
            </w:tcBorders>
            <w:noWrap w:val="0"/>
            <w:tcMar>
              <w:left w:w="105" w:type="dxa"/>
              <w:right w:w="105" w:type="dxa"/>
            </w:tcMar>
            <w:vAlign w:val="center"/>
          </w:tcPr>
          <w:p w14:paraId="7B3B19A3">
            <w:pPr>
              <w:widowControl/>
              <w:jc w:val="center"/>
              <w:textAlignment w:val="center"/>
              <w:rPr>
                <w:rFonts w:hint="eastAsia" w:ascii="宋体" w:hAnsi="宋体" w:eastAsia="宋体" w:cs="宋体"/>
                <w:color w:val="auto"/>
                <w:sz w:val="28"/>
                <w:szCs w:val="28"/>
              </w:rPr>
            </w:pP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41EFDF46">
            <w:pPr>
              <w:widowControl/>
              <w:jc w:val="center"/>
              <w:textAlignment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费用</w:t>
            </w:r>
          </w:p>
        </w:tc>
        <w:tc>
          <w:tcPr>
            <w:tcW w:w="1648" w:type="dxa"/>
            <w:tcBorders>
              <w:top w:val="nil"/>
              <w:left w:val="single" w:color="auto" w:sz="4" w:space="0"/>
              <w:bottom w:val="single" w:color="auto" w:sz="6" w:space="0"/>
              <w:right w:val="single" w:color="auto" w:sz="6" w:space="0"/>
            </w:tcBorders>
            <w:noWrap w:val="0"/>
            <w:tcMar>
              <w:left w:w="105" w:type="dxa"/>
              <w:right w:w="105" w:type="dxa"/>
            </w:tcMar>
            <w:vAlign w:val="center"/>
          </w:tcPr>
          <w:p w14:paraId="640B3CFA">
            <w:pPr>
              <w:widowControl/>
              <w:jc w:val="center"/>
              <w:textAlignment w:val="center"/>
              <w:rPr>
                <w:rFonts w:hint="eastAsia" w:ascii="宋体" w:hAnsi="宋体" w:eastAsia="宋体" w:cs="宋体"/>
                <w:color w:val="auto"/>
                <w:sz w:val="28"/>
                <w:szCs w:val="28"/>
              </w:rPr>
            </w:pPr>
          </w:p>
        </w:tc>
      </w:tr>
    </w:tbl>
    <w:p w14:paraId="0DF08680">
      <w:pPr>
        <w:spacing w:line="560" w:lineRule="exact"/>
        <w:ind w:left="0" w:leftChars="0" w:firstLine="0" w:firstLineChars="0"/>
        <w:rPr>
          <w:rFonts w:hint="eastAsia" w:ascii="仿宋_GB2312" w:hAnsi="仿宋_GB2312" w:eastAsia="仿宋_GB2312" w:cs="仿宋_GB2312"/>
          <w:color w:val="auto"/>
          <w:sz w:val="30"/>
          <w:szCs w:val="30"/>
        </w:rPr>
      </w:pPr>
    </w:p>
    <w:p w14:paraId="2C57EA0B">
      <w:pPr>
        <w:spacing w:line="680" w:lineRule="exact"/>
        <w:ind w:left="2640" w:hanging="2640" w:hangingChars="600"/>
        <w:rPr>
          <w:rFonts w:ascii="方正小标宋简体" w:eastAsia="方正小标宋简体"/>
          <w:sz w:val="44"/>
          <w:szCs w:val="44"/>
        </w:rPr>
      </w:pPr>
      <w:r>
        <w:rPr>
          <w:rFonts w:hint="default" w:ascii="方正小标宋简体" w:eastAsia="方正小标宋简体"/>
          <w:sz w:val="44"/>
          <w:szCs w:val="44"/>
        </w:rPr>
        <w:t xml:space="preserve">             </w:t>
      </w:r>
      <w:r>
        <w:rPr>
          <w:rFonts w:hint="eastAsia" w:ascii="方正小标宋简体" w:eastAsia="方正小标宋简体"/>
          <w:sz w:val="44"/>
          <w:szCs w:val="44"/>
        </w:rPr>
        <w:t>兰溪市建设占用耕地耕作层剥离和再利用实施办法(试行）</w:t>
      </w:r>
    </w:p>
    <w:p w14:paraId="61FBD609">
      <w:pPr>
        <w:rPr>
          <w:rFonts w:hint="eastAsia" w:ascii="方正小标宋简体" w:eastAsia="方正小标宋简体"/>
          <w:sz w:val="32"/>
          <w:szCs w:val="32"/>
        </w:rPr>
      </w:pPr>
    </w:p>
    <w:p w14:paraId="10AE6CE2">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强我市建设项目耕地耕作层剥离和再利用工作，切实提升土地开发整治项目新增耕地的质量和粮食产能，根据《土地管理法》等相关法律、法规和《中共中央国务院关于加强耕地保护和改进占补平衡的意见》（中发〔2017〕4号），结合我市实际，制定本办法 。</w:t>
      </w:r>
    </w:p>
    <w:p w14:paraId="2DC7533C">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建设占用耕地耕作层剥离和再利用（以下简称表土剥离再利用）工作是指采取工程手段对建设占用耕地的优质表土进行剥离，并将其用于垦造耕地、旱改水、耕地质量提升、农村土地综合整治、高标准基本农田建设等土地整治项目，以及违法用地和临时用地复垦、城市景观绿化等项目。</w:t>
      </w:r>
    </w:p>
    <w:p w14:paraId="4653A67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本办法所称表土剥离再利用适用于各类各项建设项目占用耕地和再利用的情况。</w:t>
      </w:r>
    </w:p>
    <w:p w14:paraId="14E0CF4F">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sz w:val="32"/>
          <w:szCs w:val="32"/>
        </w:rPr>
        <w:t>兰溪市全域土地综合整治工作</w:t>
      </w:r>
      <w:r>
        <w:rPr>
          <w:rFonts w:hint="eastAsia" w:ascii="仿宋_GB2312" w:hAnsi="仿宋_GB2312" w:eastAsia="仿宋_GB2312" w:cs="仿宋_GB2312"/>
          <w:sz w:val="32"/>
          <w:szCs w:val="32"/>
          <w:lang w:eastAsia="zh-CN"/>
        </w:rPr>
        <w:t>专班</w:t>
      </w:r>
      <w:r>
        <w:rPr>
          <w:rFonts w:hint="eastAsia" w:ascii="仿宋_GB2312" w:hAnsi="仿宋_GB2312" w:eastAsia="仿宋_GB2312" w:cs="仿宋_GB2312"/>
          <w:sz w:val="32"/>
          <w:szCs w:val="32"/>
        </w:rPr>
        <w:t>负</w:t>
      </w:r>
      <w:r>
        <w:rPr>
          <w:rFonts w:hint="eastAsia" w:ascii="仿宋_GB2312" w:hAnsi="仿宋_GB2312" w:eastAsia="仿宋_GB2312" w:cs="仿宋_GB2312"/>
          <w:color w:val="auto"/>
          <w:sz w:val="32"/>
          <w:szCs w:val="32"/>
          <w:highlight w:val="none"/>
        </w:rPr>
        <w:t>责全市表土剥离再利用的领导和管理工作，具体负责组织协调，指导督促、监督检查工作。</w:t>
      </w:r>
    </w:p>
    <w:p w14:paraId="243069EC">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市自然资源和规划局负责全市耕作层剥离与再利用指导</w:t>
      </w:r>
      <w:r>
        <w:rPr>
          <w:rFonts w:hint="eastAsia" w:ascii="仿宋_GB2312" w:hAnsi="仿宋_GB2312" w:eastAsia="仿宋_GB2312" w:cs="仿宋_GB2312"/>
          <w:sz w:val="32"/>
          <w:szCs w:val="32"/>
        </w:rPr>
        <w:t>协调、实施监管等工作；市农业农村局负责耕作层</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质量技术指导工作；市</w:t>
      </w:r>
      <w:r>
        <w:rPr>
          <w:rFonts w:hint="eastAsia" w:ascii="仿宋_GB2312" w:hAnsi="仿宋_GB2312" w:eastAsia="仿宋_GB2312" w:cs="仿宋_GB2312"/>
          <w:color w:val="auto"/>
          <w:sz w:val="32"/>
          <w:szCs w:val="32"/>
          <w:highlight w:val="none"/>
        </w:rPr>
        <w:t>水务局负责耕作层再利用水土保持监管；市公安局负责打击扰乱市场秩序、抢运、强运等非法行为，</w:t>
      </w:r>
      <w:bookmarkStart w:id="0" w:name="_GoBack"/>
      <w:bookmarkEnd w:id="0"/>
      <w:r>
        <w:rPr>
          <w:rFonts w:hint="eastAsia" w:ascii="仿宋_GB2312" w:hAnsi="仿宋_GB2312" w:eastAsia="仿宋_GB2312" w:cs="仿宋_GB2312"/>
          <w:color w:val="auto"/>
          <w:sz w:val="32"/>
          <w:szCs w:val="32"/>
          <w:highlight w:val="none"/>
        </w:rPr>
        <w:t>负责查处耕作层运输车辆（驾驶员）违反道路运输安全的违法行为；市交通运输局负责查处涉及违反公路保护及违反道路运输经营的违法行为；市公管办负责项目的招投标管理工作。各部门要按照各自职责，加强协调配合。</w:t>
      </w:r>
    </w:p>
    <w:p w14:paraId="796C7910">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rPr>
        <w:t xml:space="preserve"> 项目所在地乡镇（街道）负责及时协调、处理因耕作层剥离、堆放和再利用过程中的周边关系以及出现的矛盾纠纷等。</w:t>
      </w:r>
    </w:p>
    <w:p w14:paraId="3098F816">
      <w:pPr>
        <w:spacing w:line="560" w:lineRule="exact"/>
        <w:ind w:firstLine="643"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表土剥离再利用工作实施责任主体：用地单位（包括协议、划拨等方式出让的）明确的建设项目，其表土剥离的实施责任主体为用地单位；其他用地单位不明确要通过“招拍挂”方式公开出让的建设项目，其实施责任主体为兰溪市</w:t>
      </w:r>
      <w:r>
        <w:rPr>
          <w:rFonts w:hint="eastAsia" w:ascii="仿宋_GB2312" w:hAnsi="仿宋_GB2312" w:eastAsia="仿宋_GB2312" w:cs="仿宋_GB2312"/>
          <w:color w:val="auto"/>
          <w:sz w:val="32"/>
          <w:szCs w:val="32"/>
          <w:highlight w:val="none"/>
          <w:shd w:val="clear" w:color="auto" w:fill="FFFFFF"/>
        </w:rPr>
        <w:t>交投土地整治有限公司（下称土整公司）</w:t>
      </w:r>
      <w:r>
        <w:rPr>
          <w:rFonts w:hint="eastAsia" w:ascii="仿宋_GB2312" w:hAnsi="仿宋_GB2312" w:eastAsia="仿宋_GB2312" w:cs="仿宋_GB2312"/>
          <w:color w:val="auto"/>
          <w:sz w:val="32"/>
          <w:szCs w:val="32"/>
          <w:highlight w:val="none"/>
        </w:rPr>
        <w:t>。</w:t>
      </w:r>
    </w:p>
    <w:p w14:paraId="404C60CD">
      <w:pPr>
        <w:spacing w:line="560" w:lineRule="exact"/>
        <w:ind w:firstLine="64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第六条 </w:t>
      </w:r>
      <w:r>
        <w:rPr>
          <w:rFonts w:hint="eastAsia" w:ascii="仿宋_GB2312" w:hAnsi="仿宋_GB2312" w:eastAsia="仿宋_GB2312" w:cs="仿宋_GB2312"/>
          <w:color w:val="auto"/>
          <w:sz w:val="32"/>
          <w:szCs w:val="32"/>
          <w:highlight w:val="none"/>
        </w:rPr>
        <w:t xml:space="preserve"> 建设项目占用耕地，其耕作层经检测符合要求的，必须进行剥离。表土剥离厚度不低于20厘米，具体地块剥离厚度按批准的表土剥离再利用实施方案执行。对没有按要求开展建设项目占用耕地耕作层土壤剥离和再利用的，暂停办理建设项目供地手续。</w:t>
      </w:r>
    </w:p>
    <w:p w14:paraId="0BE792CC">
      <w:pPr>
        <w:spacing w:line="560" w:lineRule="exact"/>
        <w:ind w:firstLine="64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有下列情形之一的，经</w:t>
      </w:r>
      <w:r>
        <w:rPr>
          <w:rFonts w:hint="eastAsia" w:ascii="仿宋_GB2312" w:hAnsi="仿宋_GB2312" w:eastAsia="仿宋_GB2312" w:cs="仿宋_GB2312"/>
          <w:color w:val="auto"/>
          <w:sz w:val="32"/>
          <w:szCs w:val="32"/>
          <w:highlight w:val="none"/>
          <w:lang w:eastAsia="zh-CN"/>
        </w:rPr>
        <w:t>专班</w:t>
      </w:r>
      <w:r>
        <w:rPr>
          <w:rFonts w:hint="eastAsia" w:ascii="仿宋_GB2312" w:hAnsi="仿宋_GB2312" w:eastAsia="仿宋_GB2312" w:cs="仿宋_GB2312"/>
          <w:color w:val="auto"/>
          <w:sz w:val="32"/>
          <w:szCs w:val="32"/>
          <w:highlight w:val="none"/>
        </w:rPr>
        <w:t>同意后可以不剥离。</w:t>
      </w:r>
    </w:p>
    <w:p w14:paraId="51A279D2">
      <w:pPr>
        <w:spacing w:line="560" w:lineRule="exact"/>
        <w:ind w:firstLine="64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（一）土壤污染严重，缺乏肥力和劣质表土不宜种植农作物的；</w:t>
      </w:r>
    </w:p>
    <w:p w14:paraId="06E0FECB">
      <w:pPr>
        <w:spacing w:line="560" w:lineRule="exact"/>
        <w:ind w:firstLine="64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（二）区位条件、交通状况等不适应表土剥离的；</w:t>
      </w:r>
    </w:p>
    <w:p w14:paraId="51FCC3AC">
      <w:pPr>
        <w:spacing w:line="560" w:lineRule="exact"/>
        <w:ind w:firstLine="64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（三）面积小于30亩的；</w:t>
      </w:r>
    </w:p>
    <w:p w14:paraId="3954C71E">
      <w:pPr>
        <w:spacing w:line="560" w:lineRule="exact"/>
        <w:ind w:firstLine="64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（四）其他不适合进行表土剥离的。</w:t>
      </w:r>
    </w:p>
    <w:p w14:paraId="4A2B91D8">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第七条 </w:t>
      </w:r>
      <w:r>
        <w:rPr>
          <w:rFonts w:hint="eastAsia" w:ascii="仿宋_GB2312" w:hAnsi="仿宋_GB2312" w:eastAsia="仿宋_GB2312" w:cs="仿宋_GB2312"/>
          <w:color w:val="auto"/>
          <w:sz w:val="32"/>
          <w:szCs w:val="32"/>
          <w:highlight w:val="none"/>
        </w:rPr>
        <w:t xml:space="preserve"> 做地主体或建设项目明确的用地单位，须向</w:t>
      </w:r>
      <w:r>
        <w:rPr>
          <w:rFonts w:hint="eastAsia" w:ascii="仿宋_GB2312" w:hAnsi="仿宋_GB2312" w:eastAsia="仿宋_GB2312" w:cs="仿宋_GB2312"/>
          <w:color w:val="auto"/>
          <w:sz w:val="32"/>
          <w:szCs w:val="32"/>
          <w:highlight w:val="none"/>
          <w:lang w:eastAsia="zh-CN"/>
        </w:rPr>
        <w:t>专班</w:t>
      </w:r>
      <w:r>
        <w:rPr>
          <w:rFonts w:hint="eastAsia" w:ascii="仿宋_GB2312" w:hAnsi="仿宋_GB2312" w:eastAsia="仿宋_GB2312" w:cs="仿宋_GB2312"/>
          <w:color w:val="auto"/>
          <w:sz w:val="32"/>
          <w:szCs w:val="32"/>
          <w:highlight w:val="none"/>
        </w:rPr>
        <w:t>提交申请，由</w:t>
      </w:r>
      <w:r>
        <w:rPr>
          <w:rFonts w:hint="eastAsia" w:ascii="仿宋_GB2312" w:hAnsi="仿宋_GB2312" w:eastAsia="仿宋_GB2312" w:cs="仿宋_GB2312"/>
          <w:color w:val="auto"/>
          <w:sz w:val="32"/>
          <w:szCs w:val="32"/>
          <w:highlight w:val="none"/>
          <w:lang w:eastAsia="zh-CN"/>
        </w:rPr>
        <w:t>专班</w:t>
      </w:r>
      <w:r>
        <w:rPr>
          <w:rFonts w:hint="eastAsia" w:ascii="仿宋_GB2312" w:hAnsi="仿宋_GB2312" w:eastAsia="仿宋_GB2312" w:cs="仿宋_GB2312"/>
          <w:color w:val="auto"/>
          <w:sz w:val="32"/>
          <w:szCs w:val="32"/>
          <w:highlight w:val="none"/>
        </w:rPr>
        <w:t>委托土整公司负责实施。土整公司负责组织实施、耕作层剥离、运输、堆放、利用等相关工作。土整公司要成立工作机构，指定专人负责，确保规范有序开展。</w:t>
      </w:r>
    </w:p>
    <w:p w14:paraId="3DE287F5">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color w:val="auto"/>
          <w:sz w:val="32"/>
          <w:szCs w:val="32"/>
          <w:highlight w:val="none"/>
        </w:rPr>
        <w:t xml:space="preserve">  土整公司应根据待剥离耕作层土壤资源和土壤再利用需求情况，科学安排使用计划，尽量做到“剥—运—覆”同步实施，减少中转、存储环节，降低运输成本，并按尽可能不存储的原则安排使用计划。</w:t>
      </w:r>
    </w:p>
    <w:p w14:paraId="6CE5CF6A">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市根据实际情况，科学布点，可设置多个耕作层土壤集中收储点，集中收储点应尽量避免占用耕地，尽可能选择废弃地、未利用地、建设闲置土地，禁止在土壤污染区、地质灾害频发或隐患区、水源保护区等区域布点。集中收储点应依法办理相关用地审批手续。</w:t>
      </w:r>
    </w:p>
    <w:p w14:paraId="652EFC44">
      <w:pPr>
        <w:spacing w:line="560" w:lineRule="exact"/>
        <w:ind w:firstLine="643"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第九条</w:t>
      </w:r>
      <w:r>
        <w:rPr>
          <w:rFonts w:hint="eastAsia" w:ascii="仿宋_GB2312" w:hAnsi="仿宋_GB2312" w:eastAsia="仿宋_GB2312" w:cs="仿宋_GB2312"/>
          <w:color w:val="auto"/>
          <w:sz w:val="32"/>
          <w:szCs w:val="32"/>
          <w:highlight w:val="none"/>
        </w:rPr>
        <w:t xml:space="preserve">  土整公司负责集中收储点的日常管护和运营并承担相关费用，列入土地整治项目成本。耕作层土壤优先安排到附近乡镇（街道）的土地整治项目中使用。</w:t>
      </w:r>
    </w:p>
    <w:p w14:paraId="707A160A">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rPr>
        <w:t xml:space="preserve">  本实施办法自2023年 月 日起施行。《兰溪市建设占用耕地耕作层剥离和再利用实施办法》（试行）（兰政办发〔2017〕22号）废止。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F700BB"/>
    <w:rsid w:val="3FFF5D0B"/>
    <w:rsid w:val="FCB7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Calibri" w:hAnsi="Calibri" w:eastAsia="宋体" w:cs="Times New Roman"/>
    </w:rPr>
  </w:style>
  <w:style w:type="paragraph" w:styleId="3">
    <w:name w:val="Body Text First Indent"/>
    <w:basedOn w:val="2"/>
    <w:next w:val="1"/>
    <w:qFormat/>
    <w:uiPriority w:val="0"/>
    <w:pPr>
      <w:ind w:firstLine="420" w:firstLineChars="100"/>
    </w:pPr>
    <w:rPr>
      <w:rFonts w:ascii="Calibri" w:hAnsi="Calibri" w:eastAsia="宋体" w:cs="Times New Roman"/>
    </w:rPr>
  </w:style>
  <w:style w:type="paragraph" w:styleId="4">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rFonts w:ascii="Times New Roman" w:hAnsi="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TotalTime>
  <ScaleCrop>false</ScaleCrop>
  <LinksUpToDate>false</LinksUpToDate>
  <CharactersWithSpaces>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2023-09-05T17:04:00Z</dcterms:created>
  <dc:creator>Administrator</dc:creator>
  <cp:lastModifiedBy>luna</cp:lastModifiedBy>
  <dcterms:modified xsi:type="dcterms:W3CDTF">2025-04-27T18:04:20Z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069FE117A74B8C47AF000E68ADD99CEB_42</vt:lpwstr>
  </property>
</Properties>
</file>