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33CE7">
      <w:pPr>
        <w:pStyle w:val="2"/>
        <w:ind w:left="0"/>
        <w:rPr>
          <w:rFonts w:ascii="Times New Roman"/>
          <w:sz w:val="20"/>
        </w:rPr>
      </w:pPr>
      <w:r>
        <w:pict>
          <v:group id="docshapegroup13" o:spid="_x0000_s1038" o:spt="203" style="position:absolute;left:0pt;margin-left:289.35pt;margin-top:0.65pt;height:26.4pt;width:329.9pt;mso-position-horizontal-relative:page;mso-wrap-distance-bottom:0pt;mso-wrap-distance-top:0pt;z-index:-251657216;mso-width-relative:page;mso-height-relative:page;" coordorigin="5291,74" coordsize="6598,528">
            <o:lock v:ext="edit"/>
            <v:shape id="docshape14" o:spid="_x0000_s1039" o:spt="75" type="#_x0000_t75" style="position:absolute;left:5291;top:73;height:528;width:5280;" filled="f" stroked="f" coordsize="21600,21600">
              <v:path/>
              <v:fill on="f" focussize="0,0"/>
              <v:stroke on="f"/>
              <v:imagedata r:id="rId6" o:title=""/>
              <o:lock v:ext="edit" aspectratio="t"/>
            </v:shape>
            <v:shape id="docshape15" o:spid="_x0000_s1040" o:spt="75" type="#_x0000_t75" style="position:absolute;left:10130;top:73;height:528;width:1326;" filled="f" stroked="f" coordsize="21600,21600">
              <v:path/>
              <v:fill on="f" focussize="0,0"/>
              <v:stroke on="f"/>
              <v:imagedata r:id="rId7" o:title=""/>
              <o:lock v:ext="edit" aspectratio="t"/>
            </v:shape>
            <v:shape id="docshape16" o:spid="_x0000_s1041" o:spt="75" type="#_x0000_t75" style="position:absolute;left:11014;top:73;height:528;width:874;" filled="f" stroked="f" coordsize="21600,21600">
              <v:path/>
              <v:fill on="f" focussize="0,0"/>
              <v:stroke on="f"/>
              <v:imagedata r:id="rId8" o:title=""/>
              <o:lock v:ext="edit" aspectratio="t"/>
            </v:shape>
            <w10:wrap type="topAndBottom"/>
          </v:group>
        </w:pict>
      </w:r>
    </w:p>
    <w:tbl>
      <w:tblPr>
        <w:tblStyle w:val="3"/>
        <w:tblW w:w="1473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6023"/>
        <w:gridCol w:w="1708"/>
        <w:gridCol w:w="5712"/>
      </w:tblGrid>
      <w:tr w14:paraId="3020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292" w:type="dxa"/>
            <w:vAlign w:val="center"/>
          </w:tcPr>
          <w:p w14:paraId="1448C516">
            <w:pPr>
              <w:pStyle w:val="7"/>
              <w:spacing w:before="167"/>
              <w:ind w:left="355" w:right="351"/>
              <w:jc w:val="center"/>
              <w:rPr>
                <w:sz w:val="28"/>
              </w:rPr>
            </w:pPr>
            <w:r>
              <w:rPr>
                <w:w w:val="95"/>
                <w:sz w:val="28"/>
              </w:rPr>
              <w:t>序</w:t>
            </w:r>
            <w:r>
              <w:rPr>
                <w:spacing w:val="-10"/>
                <w:sz w:val="28"/>
              </w:rPr>
              <w:t>号</w:t>
            </w:r>
          </w:p>
        </w:tc>
        <w:tc>
          <w:tcPr>
            <w:tcW w:w="6023" w:type="dxa"/>
            <w:vAlign w:val="center"/>
          </w:tcPr>
          <w:p w14:paraId="63D9E8BC">
            <w:pPr>
              <w:pStyle w:val="7"/>
              <w:spacing w:before="167"/>
              <w:ind w:left="465" w:firstLine="1064" w:firstLineChars="400"/>
              <w:jc w:val="center"/>
              <w:rPr>
                <w:sz w:val="28"/>
              </w:rPr>
            </w:pPr>
            <w:r>
              <w:rPr>
                <w:w w:val="95"/>
                <w:sz w:val="28"/>
              </w:rPr>
              <w:t>文件名称及文</w:t>
            </w:r>
            <w:r>
              <w:rPr>
                <w:spacing w:val="-10"/>
                <w:w w:val="95"/>
                <w:sz w:val="28"/>
              </w:rPr>
              <w:t>号</w:t>
            </w:r>
          </w:p>
        </w:tc>
        <w:tc>
          <w:tcPr>
            <w:tcW w:w="1708" w:type="dxa"/>
            <w:vAlign w:val="center"/>
          </w:tcPr>
          <w:p w14:paraId="2C5B3CA7">
            <w:pPr>
              <w:pStyle w:val="7"/>
              <w:spacing w:before="167"/>
              <w:ind w:firstLine="266" w:firstLineChars="100"/>
              <w:jc w:val="both"/>
              <w:rPr>
                <w:sz w:val="28"/>
              </w:rPr>
            </w:pPr>
            <w:r>
              <w:rPr>
                <w:w w:val="95"/>
                <w:sz w:val="28"/>
              </w:rPr>
              <w:t>清理进</w:t>
            </w:r>
            <w:r>
              <w:rPr>
                <w:spacing w:val="-10"/>
                <w:w w:val="95"/>
                <w:sz w:val="28"/>
              </w:rPr>
              <w:t>展</w:t>
            </w:r>
          </w:p>
        </w:tc>
        <w:tc>
          <w:tcPr>
            <w:tcW w:w="5712" w:type="dxa"/>
            <w:vAlign w:val="center"/>
          </w:tcPr>
          <w:p w14:paraId="5267FF6B">
            <w:pPr>
              <w:pStyle w:val="7"/>
              <w:spacing w:before="167"/>
              <w:jc w:val="center"/>
              <w:rPr>
                <w:sz w:val="28"/>
              </w:rPr>
            </w:pPr>
            <w:r>
              <w:rPr>
                <w:w w:val="95"/>
                <w:sz w:val="28"/>
              </w:rPr>
              <w:t>理</w:t>
            </w:r>
            <w:r>
              <w:rPr>
                <w:spacing w:val="-10"/>
                <w:w w:val="95"/>
                <w:sz w:val="28"/>
              </w:rPr>
              <w:t>由</w:t>
            </w:r>
          </w:p>
        </w:tc>
      </w:tr>
      <w:tr w14:paraId="1FD31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292" w:type="dxa"/>
            <w:vAlign w:val="center"/>
          </w:tcPr>
          <w:p w14:paraId="57C21355">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w:t>
            </w:r>
          </w:p>
        </w:tc>
        <w:tc>
          <w:tcPr>
            <w:tcW w:w="6023" w:type="dxa"/>
            <w:vAlign w:val="center"/>
          </w:tcPr>
          <w:p w14:paraId="27013C3D">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《关于印发&lt;土地市场管理中涉及补办土地使用权出让手续等有关问题的规定&gt;的通知》(桐土〔2004〕74号)</w:t>
            </w:r>
          </w:p>
        </w:tc>
        <w:tc>
          <w:tcPr>
            <w:tcW w:w="1708" w:type="dxa"/>
            <w:vAlign w:val="center"/>
          </w:tcPr>
          <w:p w14:paraId="29148BDB">
            <w:pPr>
              <w:pStyle w:val="7"/>
              <w:jc w:val="center"/>
              <w:rPr>
                <w:rFonts w:hint="eastAsia" w:ascii="仿宋_GB2312" w:hAnsi="仿宋_GB2312" w:eastAsia="仿宋_GB2312" w:cs="仿宋_GB2312"/>
                <w:kern w:val="2"/>
                <w:sz w:val="28"/>
                <w:szCs w:val="28"/>
                <w:lang w:val="en-US" w:eastAsia="zh-CN" w:bidi="ar"/>
              </w:rPr>
            </w:pPr>
            <w:r>
              <w:rPr>
                <w:rFonts w:hint="default" w:ascii="仿宋_GB2312" w:hAnsi="仿宋_GB2312" w:eastAsia="仿宋_GB2312" w:cs="仿宋_GB2312"/>
                <w:kern w:val="2"/>
                <w:sz w:val="28"/>
                <w:szCs w:val="28"/>
                <w:lang w:val="en-US" w:eastAsia="zh-CN" w:bidi="ar"/>
              </w:rPr>
              <w:t>继续有效</w:t>
            </w:r>
          </w:p>
        </w:tc>
        <w:tc>
          <w:tcPr>
            <w:tcW w:w="5712" w:type="dxa"/>
            <w:vAlign w:val="center"/>
          </w:tcPr>
          <w:p w14:paraId="13986546">
            <w:pPr>
              <w:pStyle w:val="7"/>
              <w:jc w:val="center"/>
              <w:rPr>
                <w:rFonts w:hint="eastAsia" w:ascii="仿宋_GB2312" w:hAnsi="仿宋_GB2312" w:eastAsia="仿宋_GB2312" w:cs="仿宋_GB2312"/>
                <w:kern w:val="2"/>
                <w:sz w:val="28"/>
                <w:szCs w:val="28"/>
                <w:lang w:val="en-US" w:eastAsia="zh-CN" w:bidi="ar"/>
              </w:rPr>
            </w:pPr>
          </w:p>
        </w:tc>
      </w:tr>
      <w:tr w14:paraId="5245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292" w:type="dxa"/>
            <w:vAlign w:val="center"/>
          </w:tcPr>
          <w:p w14:paraId="7C98865A">
            <w:pPr>
              <w:pStyle w:val="7"/>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w:t>
            </w:r>
          </w:p>
        </w:tc>
        <w:tc>
          <w:tcPr>
            <w:tcW w:w="6023" w:type="dxa"/>
            <w:vAlign w:val="center"/>
          </w:tcPr>
          <w:p w14:paraId="0498C988">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 xml:space="preserve"> 《关于下发国土资源行政处罚中涉及裁量行使若干标准的通知》（桐土〔2008〕130号）</w:t>
            </w:r>
          </w:p>
        </w:tc>
        <w:tc>
          <w:tcPr>
            <w:tcW w:w="1708" w:type="dxa"/>
            <w:vAlign w:val="center"/>
          </w:tcPr>
          <w:p w14:paraId="6A3A3D30">
            <w:pPr>
              <w:pStyle w:val="7"/>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拟废止</w:t>
            </w:r>
          </w:p>
        </w:tc>
        <w:tc>
          <w:tcPr>
            <w:tcW w:w="5712" w:type="dxa"/>
            <w:vAlign w:val="center"/>
          </w:tcPr>
          <w:p w14:paraId="60E9EF4F">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《浙江省自然资源厅关于印发&lt;浙江省自然资源行政处罚裁量基准（矿产类、测绘类、规划类）&gt;的通知》出台</w:t>
            </w:r>
          </w:p>
        </w:tc>
      </w:tr>
      <w:tr w14:paraId="53D4A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92" w:type="dxa"/>
            <w:vAlign w:val="center"/>
          </w:tcPr>
          <w:p w14:paraId="5D274DAB">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w:t>
            </w:r>
          </w:p>
        </w:tc>
        <w:tc>
          <w:tcPr>
            <w:tcW w:w="6023" w:type="dxa"/>
            <w:vAlign w:val="center"/>
          </w:tcPr>
          <w:p w14:paraId="75E23FBB">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《关于印发&lt;桐庐县村庄地籍调查权属调（核）查实施意见&gt;的通知》(桐土〔2010〕125号)</w:t>
            </w:r>
          </w:p>
        </w:tc>
        <w:tc>
          <w:tcPr>
            <w:tcW w:w="1708" w:type="dxa"/>
            <w:vAlign w:val="center"/>
          </w:tcPr>
          <w:p w14:paraId="01EDAFAD">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2"/>
              </w:rPr>
              <w:t>继续有效</w:t>
            </w:r>
          </w:p>
        </w:tc>
        <w:tc>
          <w:tcPr>
            <w:tcW w:w="5712" w:type="dxa"/>
            <w:vAlign w:val="center"/>
          </w:tcPr>
          <w:p w14:paraId="0E0DC9F6">
            <w:pPr>
              <w:pStyle w:val="7"/>
              <w:jc w:val="center"/>
              <w:rPr>
                <w:rFonts w:hint="eastAsia" w:ascii="仿宋_GB2312" w:hAnsi="仿宋_GB2312" w:eastAsia="仿宋_GB2312" w:cs="仿宋_GB2312"/>
                <w:kern w:val="2"/>
                <w:sz w:val="28"/>
                <w:szCs w:val="28"/>
                <w:lang w:val="en-US" w:eastAsia="zh-CN" w:bidi="ar"/>
              </w:rPr>
            </w:pPr>
          </w:p>
        </w:tc>
      </w:tr>
      <w:tr w14:paraId="399F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258CEA44">
            <w:pPr>
              <w:pStyle w:val="7"/>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w:t>
            </w:r>
          </w:p>
        </w:tc>
        <w:tc>
          <w:tcPr>
            <w:tcW w:w="6023" w:type="dxa"/>
            <w:vAlign w:val="center"/>
          </w:tcPr>
          <w:p w14:paraId="669502E8">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《关于进一步规范农村私人建房地质灾害危险性评估工作的通知》(桐土〔2012〕141号)</w:t>
            </w:r>
          </w:p>
        </w:tc>
        <w:tc>
          <w:tcPr>
            <w:tcW w:w="1708" w:type="dxa"/>
            <w:vAlign w:val="center"/>
          </w:tcPr>
          <w:p w14:paraId="3D490D0B">
            <w:pPr>
              <w:ind w:left="0" w:leftChars="0" w:right="0" w:rightChars="0"/>
              <w:jc w:val="center"/>
              <w:rPr>
                <w:rFonts w:hint="default" w:ascii="仿宋_GB2312" w:hAnsi="仿宋_GB2312" w:eastAsia="仿宋_GB2312" w:cs="仿宋_GB2312"/>
                <w:kern w:val="2"/>
                <w:sz w:val="28"/>
                <w:szCs w:val="28"/>
                <w:lang w:eastAsia="zh-CN" w:bidi="ar"/>
                <w:woUserID w:val="10"/>
              </w:rPr>
            </w:pPr>
            <w:r>
              <w:rPr>
                <w:rFonts w:hint="eastAsia" w:cs="仿宋_GB2312"/>
                <w:kern w:val="2"/>
                <w:sz w:val="28"/>
                <w:szCs w:val="28"/>
                <w:lang w:eastAsia="zh-CN" w:bidi="ar"/>
                <w:woUserID w:val="10"/>
              </w:rPr>
              <w:t>拟</w:t>
            </w:r>
            <w:r>
              <w:rPr>
                <w:rFonts w:hint="default" w:cs="仿宋_GB2312"/>
                <w:kern w:val="2"/>
                <w:sz w:val="28"/>
                <w:szCs w:val="28"/>
                <w:lang w:eastAsia="zh-CN" w:bidi="ar"/>
                <w:woUserID w:val="10"/>
              </w:rPr>
              <w:t>废止</w:t>
            </w:r>
          </w:p>
        </w:tc>
        <w:tc>
          <w:tcPr>
            <w:tcW w:w="5712" w:type="dxa"/>
            <w:vAlign w:val="center"/>
          </w:tcPr>
          <w:p w14:paraId="1A0E07AB">
            <w:pPr>
              <w:pStyle w:val="7"/>
              <w:jc w:val="center"/>
              <w:rPr>
                <w:rFonts w:hint="eastAsia" w:ascii="Times New Roman" w:eastAsia="仿宋_GB2312"/>
                <w:sz w:val="28"/>
                <w:szCs w:val="28"/>
                <w:lang w:val="en-US" w:eastAsia="zh-CN"/>
                <w:woUserID w:val="10"/>
              </w:rPr>
            </w:pPr>
            <w:r>
              <w:rPr>
                <w:rFonts w:hint="default" w:ascii="仿宋_GB2312" w:hAnsi="仿宋_GB2312" w:eastAsia="仿宋_GB2312" w:cs="仿宋_GB2312"/>
                <w:kern w:val="2"/>
                <w:sz w:val="28"/>
                <w:szCs w:val="28"/>
                <w:lang w:eastAsia="zh-CN" w:bidi="ar"/>
                <w:woUserID w:val="10"/>
              </w:rPr>
              <w:t>《桐庐县规划和自然资源局关于进一步规范农村切坡建房地质灾害危险性评估与控制管理的通知》（</w:t>
            </w:r>
            <w:r>
              <w:rPr>
                <w:rFonts w:hint="eastAsia" w:ascii="仿宋_GB2312" w:hAnsi="仿宋_GB2312" w:eastAsia="仿宋_GB2312" w:cs="仿宋_GB2312"/>
                <w:kern w:val="2"/>
                <w:sz w:val="28"/>
                <w:szCs w:val="28"/>
                <w:lang w:val="en-US" w:eastAsia="zh-CN" w:bidi="ar"/>
                <w:woUserID w:val="10"/>
              </w:rPr>
              <w:t>桐规划资源 〔20</w:t>
            </w:r>
            <w:r>
              <w:rPr>
                <w:rFonts w:hint="default" w:ascii="仿宋_GB2312" w:hAnsi="仿宋_GB2312" w:eastAsia="仿宋_GB2312" w:cs="仿宋_GB2312"/>
                <w:kern w:val="2"/>
                <w:sz w:val="28"/>
                <w:szCs w:val="28"/>
                <w:lang w:eastAsia="zh-CN" w:bidi="ar"/>
                <w:woUserID w:val="10"/>
              </w:rPr>
              <w:t>23</w:t>
            </w:r>
            <w:r>
              <w:rPr>
                <w:rFonts w:hint="eastAsia" w:ascii="仿宋_GB2312" w:hAnsi="仿宋_GB2312" w:eastAsia="仿宋_GB2312" w:cs="仿宋_GB2312"/>
                <w:kern w:val="2"/>
                <w:sz w:val="28"/>
                <w:szCs w:val="28"/>
                <w:lang w:val="en-US" w:eastAsia="zh-CN" w:bidi="ar"/>
                <w:woUserID w:val="10"/>
              </w:rPr>
              <w:t>〕</w:t>
            </w:r>
            <w:r>
              <w:rPr>
                <w:rFonts w:hint="default" w:ascii="仿宋_GB2312" w:hAnsi="仿宋_GB2312" w:eastAsia="仿宋_GB2312" w:cs="仿宋_GB2312"/>
                <w:kern w:val="2"/>
                <w:sz w:val="28"/>
                <w:szCs w:val="28"/>
                <w:lang w:val="en-US" w:eastAsia="zh-CN" w:bidi="ar"/>
                <w:woUserID w:val="10"/>
              </w:rPr>
              <w:t xml:space="preserve"> 75号</w:t>
            </w:r>
            <w:r>
              <w:rPr>
                <w:rFonts w:hint="default" w:ascii="仿宋_GB2312" w:hAnsi="仿宋_GB2312" w:eastAsia="仿宋_GB2312" w:cs="仿宋_GB2312"/>
                <w:kern w:val="2"/>
                <w:sz w:val="28"/>
                <w:szCs w:val="28"/>
                <w:lang w:eastAsia="zh-CN" w:bidi="ar"/>
                <w:woUserID w:val="10"/>
              </w:rPr>
              <w:t>）</w:t>
            </w:r>
            <w:r>
              <w:rPr>
                <w:rFonts w:hint="eastAsia" w:ascii="仿宋_GB2312" w:hAnsi="仿宋_GB2312" w:eastAsia="仿宋_GB2312" w:cs="仿宋_GB2312"/>
                <w:kern w:val="2"/>
                <w:sz w:val="28"/>
                <w:szCs w:val="28"/>
                <w:lang w:eastAsia="zh-CN" w:bidi="ar"/>
                <w:woUserID w:val="10"/>
              </w:rPr>
              <w:t>出台</w:t>
            </w:r>
          </w:p>
        </w:tc>
      </w:tr>
      <w:tr w14:paraId="1322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780AE05D">
            <w:pPr>
              <w:pStyle w:val="7"/>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w:t>
            </w:r>
          </w:p>
        </w:tc>
        <w:tc>
          <w:tcPr>
            <w:tcW w:w="6023" w:type="dxa"/>
            <w:vAlign w:val="center"/>
          </w:tcPr>
          <w:p w14:paraId="2A95E4F1">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《关于加快农村宅基地确权发证相关政策处置意见的通知》(桐土〔2014〕150号)</w:t>
            </w:r>
          </w:p>
        </w:tc>
        <w:tc>
          <w:tcPr>
            <w:tcW w:w="1708" w:type="dxa"/>
            <w:vAlign w:val="center"/>
          </w:tcPr>
          <w:p w14:paraId="0B0B91AB">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2"/>
              </w:rPr>
              <w:t>继续有效</w:t>
            </w:r>
          </w:p>
        </w:tc>
        <w:tc>
          <w:tcPr>
            <w:tcW w:w="5712" w:type="dxa"/>
            <w:vAlign w:val="center"/>
          </w:tcPr>
          <w:p w14:paraId="7BF659DF">
            <w:pPr>
              <w:pStyle w:val="7"/>
              <w:jc w:val="center"/>
              <w:rPr>
                <w:rFonts w:ascii="Times New Roman"/>
                <w:sz w:val="26"/>
              </w:rPr>
            </w:pPr>
          </w:p>
        </w:tc>
      </w:tr>
      <w:tr w14:paraId="558E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7D615817">
            <w:pPr>
              <w:pStyle w:val="7"/>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6</w:t>
            </w:r>
          </w:p>
        </w:tc>
        <w:tc>
          <w:tcPr>
            <w:tcW w:w="6023" w:type="dxa"/>
            <w:vAlign w:val="center"/>
          </w:tcPr>
          <w:p w14:paraId="216F9350">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《关于盘活农村闲置建设用地破解农民建房难的通知》(桐土资〔2015〕121号)</w:t>
            </w:r>
          </w:p>
        </w:tc>
        <w:tc>
          <w:tcPr>
            <w:tcW w:w="1708" w:type="dxa"/>
            <w:vAlign w:val="center"/>
          </w:tcPr>
          <w:p w14:paraId="1D275500">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ascii="仿宋_GB2312" w:hAnsi="仿宋_GB2312" w:eastAsia="仿宋_GB2312" w:cs="仿宋_GB2312"/>
                <w:kern w:val="2"/>
                <w:sz w:val="28"/>
                <w:szCs w:val="28"/>
                <w:lang w:val="en-US" w:eastAsia="zh-CN" w:bidi="ar"/>
                <w:woUserID w:val="9"/>
              </w:rPr>
              <w:t>继续有效</w:t>
            </w:r>
          </w:p>
        </w:tc>
        <w:tc>
          <w:tcPr>
            <w:tcW w:w="5712" w:type="dxa"/>
            <w:vAlign w:val="center"/>
          </w:tcPr>
          <w:p w14:paraId="3BFD56BF">
            <w:pPr>
              <w:pStyle w:val="7"/>
              <w:jc w:val="center"/>
              <w:rPr>
                <w:rFonts w:ascii="Times New Roman"/>
                <w:sz w:val="26"/>
              </w:rPr>
            </w:pPr>
          </w:p>
        </w:tc>
      </w:tr>
      <w:tr w14:paraId="02B0E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7702DF3D">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7</w:t>
            </w:r>
          </w:p>
        </w:tc>
        <w:tc>
          <w:tcPr>
            <w:tcW w:w="6023" w:type="dxa"/>
            <w:vAlign w:val="center"/>
          </w:tcPr>
          <w:p w14:paraId="45D6CF99">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《关于建立国土资源联合执法长效机制的通知》（桐土资〔2017〕19号）</w:t>
            </w:r>
          </w:p>
        </w:tc>
        <w:tc>
          <w:tcPr>
            <w:tcW w:w="1708" w:type="dxa"/>
            <w:vAlign w:val="center"/>
          </w:tcPr>
          <w:p w14:paraId="2904A9D9">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11"/>
              </w:rPr>
              <w:t>继续有效</w:t>
            </w:r>
          </w:p>
        </w:tc>
        <w:tc>
          <w:tcPr>
            <w:tcW w:w="5712" w:type="dxa"/>
            <w:vAlign w:val="center"/>
          </w:tcPr>
          <w:p w14:paraId="5AA6AFFE">
            <w:pPr>
              <w:pStyle w:val="7"/>
              <w:jc w:val="center"/>
              <w:rPr>
                <w:rFonts w:ascii="Times New Roman"/>
                <w:sz w:val="26"/>
              </w:rPr>
            </w:pPr>
          </w:p>
        </w:tc>
      </w:tr>
      <w:tr w14:paraId="0C30A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244B36D2">
            <w:pPr>
              <w:pStyle w:val="7"/>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8</w:t>
            </w:r>
          </w:p>
        </w:tc>
        <w:tc>
          <w:tcPr>
            <w:tcW w:w="6023" w:type="dxa"/>
            <w:vAlign w:val="center"/>
          </w:tcPr>
          <w:p w14:paraId="5EFF8E95">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《桐庐县永久基本农田保护标识管护责任制度》（桐土资〔2017〕57号）</w:t>
            </w:r>
          </w:p>
        </w:tc>
        <w:tc>
          <w:tcPr>
            <w:tcW w:w="1708" w:type="dxa"/>
            <w:vAlign w:val="center"/>
          </w:tcPr>
          <w:p w14:paraId="599A31BC">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7"/>
              </w:rPr>
              <w:t>继续有效</w:t>
            </w:r>
          </w:p>
        </w:tc>
        <w:tc>
          <w:tcPr>
            <w:tcW w:w="5712" w:type="dxa"/>
            <w:vAlign w:val="center"/>
          </w:tcPr>
          <w:p w14:paraId="7DB3A447">
            <w:pPr>
              <w:pStyle w:val="7"/>
              <w:jc w:val="center"/>
              <w:rPr>
                <w:rFonts w:ascii="Times New Roman"/>
                <w:sz w:val="26"/>
              </w:rPr>
            </w:pPr>
          </w:p>
        </w:tc>
      </w:tr>
      <w:tr w14:paraId="2BE3E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72C210EF">
            <w:pPr>
              <w:pStyle w:val="7"/>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9</w:t>
            </w:r>
          </w:p>
        </w:tc>
        <w:tc>
          <w:tcPr>
            <w:tcW w:w="6023" w:type="dxa"/>
            <w:vAlign w:val="center"/>
          </w:tcPr>
          <w:p w14:paraId="40C0579F">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《关于进一步规范基层国土资源所执法监察动态巡查工作的通知》（桐土资〔2017〕67号）</w:t>
            </w:r>
          </w:p>
        </w:tc>
        <w:tc>
          <w:tcPr>
            <w:tcW w:w="1708" w:type="dxa"/>
            <w:vAlign w:val="center"/>
          </w:tcPr>
          <w:p w14:paraId="6C39D095">
            <w:pPr>
              <w:ind w:left="0" w:leftChars="0" w:right="0" w:rightChars="0"/>
              <w:jc w:val="center"/>
              <w:rPr>
                <w:rFonts w:hint="default" w:ascii="仿宋_GB2312" w:hAnsi="仿宋_GB2312" w:eastAsia="仿宋_GB2312" w:cs="仿宋_GB2312"/>
                <w:kern w:val="2"/>
                <w:sz w:val="28"/>
                <w:szCs w:val="28"/>
                <w:lang w:eastAsia="zh-CN" w:bidi="ar"/>
                <w:woUserID w:val="11"/>
              </w:rPr>
            </w:pPr>
            <w:r>
              <w:rPr>
                <w:rFonts w:hint="default" w:cs="仿宋_GB2312"/>
                <w:kern w:val="2"/>
                <w:sz w:val="28"/>
                <w:szCs w:val="28"/>
                <w:lang w:eastAsia="zh-CN" w:bidi="ar"/>
                <w:woUserID w:val="11"/>
              </w:rPr>
              <w:t>继续有效</w:t>
            </w:r>
          </w:p>
        </w:tc>
        <w:tc>
          <w:tcPr>
            <w:tcW w:w="5712" w:type="dxa"/>
            <w:vAlign w:val="center"/>
          </w:tcPr>
          <w:p w14:paraId="452854A4">
            <w:pPr>
              <w:pStyle w:val="7"/>
              <w:jc w:val="center"/>
              <w:rPr>
                <w:rFonts w:ascii="Times New Roman"/>
                <w:sz w:val="26"/>
              </w:rPr>
            </w:pPr>
          </w:p>
        </w:tc>
      </w:tr>
      <w:tr w14:paraId="0E208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1496A558">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10</w:t>
            </w:r>
          </w:p>
        </w:tc>
        <w:tc>
          <w:tcPr>
            <w:tcW w:w="6023" w:type="dxa"/>
            <w:vAlign w:val="center"/>
          </w:tcPr>
          <w:p w14:paraId="028FBCA9">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《桐庐县国土资源局国土资源违法行为巡查工作方案》（桐土资〔2017〕94号）</w:t>
            </w:r>
          </w:p>
        </w:tc>
        <w:tc>
          <w:tcPr>
            <w:tcW w:w="1708" w:type="dxa"/>
            <w:vAlign w:val="center"/>
          </w:tcPr>
          <w:p w14:paraId="542C6E7B">
            <w:pPr>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cs="仿宋_GB2312"/>
                <w:kern w:val="2"/>
                <w:sz w:val="28"/>
                <w:szCs w:val="28"/>
                <w:lang w:eastAsia="zh-CN" w:bidi="ar"/>
                <w:woUserID w:val="11"/>
              </w:rPr>
              <w:t>拟</w:t>
            </w:r>
            <w:r>
              <w:rPr>
                <w:rFonts w:hint="default" w:cs="仿宋_GB2312"/>
                <w:kern w:val="2"/>
                <w:sz w:val="28"/>
                <w:szCs w:val="28"/>
                <w:lang w:eastAsia="zh-CN" w:bidi="ar"/>
                <w:woUserID w:val="11"/>
              </w:rPr>
              <w:t>废止</w:t>
            </w:r>
          </w:p>
        </w:tc>
        <w:tc>
          <w:tcPr>
            <w:tcW w:w="5712" w:type="dxa"/>
            <w:vAlign w:val="center"/>
          </w:tcPr>
          <w:p w14:paraId="6607627C">
            <w:pPr>
              <w:pStyle w:val="7"/>
              <w:jc w:val="center"/>
              <w:rPr>
                <w:rFonts w:hint="default" w:ascii="Times New Roman"/>
                <w:sz w:val="26"/>
                <w:woUserID w:val="11"/>
              </w:rPr>
            </w:pPr>
            <w:r>
              <w:rPr>
                <w:rFonts w:hint="eastAsia" w:ascii="仿宋_GB2312" w:hAnsi="仿宋_GB2312" w:eastAsia="仿宋_GB2312" w:cs="仿宋_GB2312"/>
                <w:kern w:val="2"/>
                <w:sz w:val="28"/>
                <w:szCs w:val="28"/>
                <w:lang w:val="en-US" w:eastAsia="zh-CN" w:bidi="ar"/>
              </w:rPr>
              <w:t>根据《浙江省土地管理条例》第六十五条 乡镇人民政府、街道办事处应当建立土地日常巡查制度，及时发现和制止土地违法行为。</w:t>
            </w:r>
          </w:p>
        </w:tc>
      </w:tr>
      <w:tr w14:paraId="35EFD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2399F10F">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11</w:t>
            </w:r>
          </w:p>
        </w:tc>
        <w:tc>
          <w:tcPr>
            <w:tcW w:w="6023" w:type="dxa"/>
            <w:vAlign w:val="center"/>
          </w:tcPr>
          <w:p w14:paraId="76B2165B">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《关于进一步加强与规范宅基地使用权及房屋所有权注销登记程序的通知》（桐土资〔2017〕112号）</w:t>
            </w:r>
          </w:p>
        </w:tc>
        <w:tc>
          <w:tcPr>
            <w:tcW w:w="1708" w:type="dxa"/>
            <w:vAlign w:val="center"/>
          </w:tcPr>
          <w:p w14:paraId="5E70254C">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2"/>
              </w:rPr>
              <w:t>继续有效</w:t>
            </w:r>
          </w:p>
        </w:tc>
        <w:tc>
          <w:tcPr>
            <w:tcW w:w="5712" w:type="dxa"/>
            <w:vAlign w:val="center"/>
          </w:tcPr>
          <w:p w14:paraId="17798763">
            <w:pPr>
              <w:pStyle w:val="7"/>
              <w:jc w:val="center"/>
              <w:rPr>
                <w:rFonts w:ascii="Times New Roman"/>
                <w:sz w:val="26"/>
              </w:rPr>
            </w:pPr>
          </w:p>
        </w:tc>
      </w:tr>
      <w:tr w14:paraId="5828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20126543">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12</w:t>
            </w:r>
          </w:p>
        </w:tc>
        <w:tc>
          <w:tcPr>
            <w:tcW w:w="6023" w:type="dxa"/>
            <w:vAlign w:val="center"/>
          </w:tcPr>
          <w:p w14:paraId="6626DFEF">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《关于印发&lt;桐庐县没收违法建筑物处置办法&gt;的通知》（桐土资〔2018〕36号）</w:t>
            </w:r>
          </w:p>
        </w:tc>
        <w:tc>
          <w:tcPr>
            <w:tcW w:w="1708" w:type="dxa"/>
            <w:vAlign w:val="center"/>
          </w:tcPr>
          <w:p w14:paraId="634074C8">
            <w:pPr>
              <w:ind w:right="0" w:rightChars="0" w:firstLine="280" w:firstLineChars="100"/>
              <w:jc w:val="both"/>
              <w:rPr>
                <w:rFonts w:hint="eastAsia"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11"/>
              </w:rPr>
              <w:t>继续有效</w:t>
            </w:r>
          </w:p>
        </w:tc>
        <w:tc>
          <w:tcPr>
            <w:tcW w:w="5712" w:type="dxa"/>
            <w:vAlign w:val="center"/>
          </w:tcPr>
          <w:p w14:paraId="3D33E8B4">
            <w:pPr>
              <w:pStyle w:val="7"/>
              <w:jc w:val="center"/>
              <w:rPr>
                <w:rFonts w:ascii="Times New Roman"/>
                <w:sz w:val="26"/>
              </w:rPr>
            </w:pPr>
          </w:p>
        </w:tc>
      </w:tr>
      <w:tr w14:paraId="0A39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60EEEE48">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13</w:t>
            </w:r>
          </w:p>
        </w:tc>
        <w:tc>
          <w:tcPr>
            <w:tcW w:w="6023" w:type="dxa"/>
            <w:vAlign w:val="center"/>
          </w:tcPr>
          <w:p w14:paraId="507AA99D">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《关于印发&lt;桐庐县不动产登记与水电气过户联动办理工作实施方案（试行）&gt;的通知》（桐土资〔2018〕95号）</w:t>
            </w:r>
          </w:p>
        </w:tc>
        <w:tc>
          <w:tcPr>
            <w:tcW w:w="1708" w:type="dxa"/>
            <w:vAlign w:val="center"/>
          </w:tcPr>
          <w:p w14:paraId="3FFD863D">
            <w:pPr>
              <w:ind w:left="0" w:leftChars="0" w:right="0" w:rightChars="0"/>
              <w:jc w:val="center"/>
              <w:rPr>
                <w:rFonts w:hint="default" w:ascii="仿宋_GB2312" w:hAnsi="仿宋_GB2312" w:eastAsia="仿宋_GB2312" w:cs="仿宋_GB2312"/>
                <w:kern w:val="2"/>
                <w:sz w:val="28"/>
                <w:szCs w:val="28"/>
                <w:lang w:eastAsia="zh-CN" w:bidi="ar"/>
                <w:woUserID w:val="3"/>
              </w:rPr>
            </w:pPr>
            <w:r>
              <w:rPr>
                <w:rFonts w:hint="default" w:cs="仿宋_GB2312"/>
                <w:kern w:val="2"/>
                <w:sz w:val="28"/>
                <w:szCs w:val="28"/>
                <w:lang w:eastAsia="zh-CN" w:bidi="ar"/>
                <w:woUserID w:val="3"/>
              </w:rPr>
              <w:t>继续有效</w:t>
            </w:r>
          </w:p>
        </w:tc>
        <w:tc>
          <w:tcPr>
            <w:tcW w:w="5712" w:type="dxa"/>
            <w:vAlign w:val="center"/>
          </w:tcPr>
          <w:p w14:paraId="428B27C6">
            <w:pPr>
              <w:pStyle w:val="7"/>
              <w:jc w:val="center"/>
              <w:rPr>
                <w:rFonts w:ascii="Times New Roman"/>
                <w:sz w:val="26"/>
              </w:rPr>
            </w:pPr>
          </w:p>
        </w:tc>
      </w:tr>
      <w:tr w14:paraId="0C9F4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10C99B27">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14</w:t>
            </w:r>
          </w:p>
        </w:tc>
        <w:tc>
          <w:tcPr>
            <w:tcW w:w="6023" w:type="dxa"/>
            <w:vAlign w:val="center"/>
          </w:tcPr>
          <w:p w14:paraId="4BF0FC47">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《关于印发&lt;桐庐县规划方案公示实施细则（试行）&gt;的通知》（桐建设通〔2006〕29号）</w:t>
            </w:r>
          </w:p>
        </w:tc>
        <w:tc>
          <w:tcPr>
            <w:tcW w:w="1708" w:type="dxa"/>
            <w:vAlign w:val="center"/>
          </w:tcPr>
          <w:p w14:paraId="1FB10910">
            <w:pPr>
              <w:ind w:right="0" w:rightChars="0" w:firstLine="280" w:firstLineChars="100"/>
              <w:jc w:val="both"/>
              <w:rPr>
                <w:rFonts w:hint="default"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5"/>
              </w:rPr>
              <w:t>继续有效</w:t>
            </w:r>
          </w:p>
        </w:tc>
        <w:tc>
          <w:tcPr>
            <w:tcW w:w="5712" w:type="dxa"/>
            <w:vAlign w:val="center"/>
          </w:tcPr>
          <w:p w14:paraId="71B834F0">
            <w:pPr>
              <w:pStyle w:val="7"/>
              <w:jc w:val="center"/>
              <w:rPr>
                <w:rFonts w:ascii="Times New Roman"/>
                <w:sz w:val="26"/>
              </w:rPr>
            </w:pPr>
          </w:p>
        </w:tc>
      </w:tr>
      <w:tr w14:paraId="108E2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12506CF4">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15</w:t>
            </w:r>
          </w:p>
        </w:tc>
        <w:tc>
          <w:tcPr>
            <w:tcW w:w="6023" w:type="dxa"/>
            <w:vAlign w:val="center"/>
          </w:tcPr>
          <w:p w14:paraId="3E483208">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《关于使用&lt;浙江省房屋建筑面积测绘成果书（示范文本）&gt;的实施意见》（桐建设通〔2008〕23号）</w:t>
            </w:r>
          </w:p>
        </w:tc>
        <w:tc>
          <w:tcPr>
            <w:tcW w:w="1708" w:type="dxa"/>
            <w:vAlign w:val="center"/>
          </w:tcPr>
          <w:p w14:paraId="7F4D2DD4">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cs="仿宋_GB2312"/>
                <w:kern w:val="2"/>
                <w:sz w:val="28"/>
                <w:szCs w:val="28"/>
                <w:lang w:eastAsia="zh-CN" w:bidi="ar"/>
                <w:woUserID w:val="2"/>
              </w:rPr>
              <w:t>继续有效</w:t>
            </w:r>
          </w:p>
        </w:tc>
        <w:tc>
          <w:tcPr>
            <w:tcW w:w="5712" w:type="dxa"/>
            <w:vAlign w:val="center"/>
          </w:tcPr>
          <w:p w14:paraId="5FB92B39">
            <w:pPr>
              <w:pStyle w:val="7"/>
              <w:jc w:val="center"/>
              <w:rPr>
                <w:rFonts w:ascii="Times New Roman"/>
                <w:sz w:val="26"/>
              </w:rPr>
            </w:pPr>
          </w:p>
        </w:tc>
      </w:tr>
      <w:tr w14:paraId="6A314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525B99DC">
            <w:pPr>
              <w:pStyle w:val="7"/>
              <w:ind w:left="0"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16</w:t>
            </w:r>
          </w:p>
        </w:tc>
        <w:tc>
          <w:tcPr>
            <w:tcW w:w="6023" w:type="dxa"/>
            <w:vAlign w:val="center"/>
          </w:tcPr>
          <w:p w14:paraId="59813886">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《关于印发&lt;桐庐县被征地人员参加社会保障实行“人地对应”的实施办法&gt;的通知》（桐规划资源（2019）114号）</w:t>
            </w:r>
          </w:p>
        </w:tc>
        <w:tc>
          <w:tcPr>
            <w:tcW w:w="1708" w:type="dxa"/>
            <w:vAlign w:val="center"/>
          </w:tcPr>
          <w:p w14:paraId="4691431B">
            <w:pPr>
              <w:ind w:left="0" w:leftChars="0" w:right="0" w:rightChars="0"/>
              <w:jc w:val="center"/>
              <w:rPr>
                <w:rFonts w:hint="default" w:ascii="仿宋_GB2312" w:hAnsi="仿宋_GB2312" w:eastAsia="仿宋_GB2312" w:cs="仿宋_GB2312"/>
                <w:kern w:val="2"/>
                <w:sz w:val="28"/>
                <w:szCs w:val="28"/>
                <w:lang w:eastAsia="zh-CN" w:bidi="ar"/>
                <w:woUserID w:val="1"/>
              </w:rPr>
            </w:pPr>
            <w:r>
              <w:rPr>
                <w:rFonts w:hint="default" w:cs="仿宋_GB2312"/>
                <w:kern w:val="2"/>
                <w:sz w:val="28"/>
                <w:szCs w:val="28"/>
                <w:lang w:eastAsia="zh-CN" w:bidi="ar"/>
                <w:woUserID w:val="1"/>
              </w:rPr>
              <w:t>继续有效</w:t>
            </w:r>
          </w:p>
        </w:tc>
        <w:tc>
          <w:tcPr>
            <w:tcW w:w="5712" w:type="dxa"/>
            <w:vAlign w:val="center"/>
          </w:tcPr>
          <w:p w14:paraId="040BB06F">
            <w:pPr>
              <w:pStyle w:val="7"/>
              <w:jc w:val="center"/>
              <w:rPr>
                <w:rFonts w:ascii="Times New Roman"/>
                <w:sz w:val="26"/>
              </w:rPr>
            </w:pPr>
          </w:p>
        </w:tc>
      </w:tr>
      <w:tr w14:paraId="76B6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14DE7EF2">
            <w:pPr>
              <w:pStyle w:val="7"/>
              <w:spacing w:before="107"/>
              <w:ind w:left="8" w:leftChars="0" w:right="0" w:rightChars="0"/>
              <w:jc w:val="center"/>
              <w:rPr>
                <w:rFonts w:hint="default"/>
                <w:w w:val="100"/>
                <w:sz w:val="32"/>
                <w:lang w:val="en-US" w:eastAsia="zh-CN"/>
              </w:rPr>
            </w:pPr>
            <w:r>
              <w:rPr>
                <w:rFonts w:hint="eastAsia" w:ascii="仿宋_GB2312" w:hAnsi="仿宋_GB2312" w:eastAsia="仿宋_GB2312" w:cs="仿宋_GB2312"/>
                <w:kern w:val="2"/>
                <w:sz w:val="28"/>
                <w:szCs w:val="28"/>
                <w:lang w:val="en-US" w:eastAsia="zh-CN" w:bidi="ar"/>
              </w:rPr>
              <w:t>17</w:t>
            </w:r>
          </w:p>
        </w:tc>
        <w:tc>
          <w:tcPr>
            <w:tcW w:w="6023" w:type="dxa"/>
            <w:vAlign w:val="center"/>
          </w:tcPr>
          <w:p w14:paraId="1D374582">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《桐庐县规划和自然资源局关于公布规范性文件清理结果的通知》（桐规划资源（2022）70号）</w:t>
            </w:r>
          </w:p>
        </w:tc>
        <w:tc>
          <w:tcPr>
            <w:tcW w:w="1708" w:type="dxa"/>
            <w:vAlign w:val="center"/>
          </w:tcPr>
          <w:p w14:paraId="7838F151">
            <w:pPr>
              <w:ind w:left="0" w:leftChars="0" w:right="0" w:rightChars="0"/>
              <w:jc w:val="center"/>
              <w:rPr>
                <w:rFonts w:hint="eastAsia" w:ascii="仿宋_GB2312" w:hAnsi="仿宋_GB2312" w:eastAsia="仿宋_GB2312" w:cs="仿宋_GB2312"/>
                <w:kern w:val="2"/>
                <w:sz w:val="28"/>
                <w:szCs w:val="28"/>
                <w:lang w:val="en-US" w:eastAsia="zh-CN" w:bidi="ar"/>
              </w:rPr>
            </w:pPr>
            <w:r>
              <w:rPr>
                <w:rFonts w:hint="eastAsia" w:cs="仿宋_GB2312"/>
                <w:kern w:val="2"/>
                <w:sz w:val="28"/>
                <w:szCs w:val="28"/>
                <w:lang w:val="en-US" w:eastAsia="zh-CN" w:bidi="ar"/>
              </w:rPr>
              <w:t>拟废止</w:t>
            </w:r>
          </w:p>
        </w:tc>
        <w:tc>
          <w:tcPr>
            <w:tcW w:w="5712" w:type="dxa"/>
            <w:vAlign w:val="center"/>
          </w:tcPr>
          <w:p w14:paraId="15907F9B">
            <w:pPr>
              <w:pStyle w:val="7"/>
              <w:jc w:val="center"/>
              <w:rPr>
                <w:rFonts w:hint="eastAsia" w:ascii="Times New Roman" w:eastAsia="黑体"/>
                <w:sz w:val="26"/>
                <w:lang w:eastAsia="zh-CN"/>
              </w:rPr>
            </w:pPr>
            <w:r>
              <w:rPr>
                <w:rFonts w:hint="eastAsia" w:ascii="仿宋_GB2312" w:hAnsi="仿宋_GB2312" w:eastAsia="仿宋_GB2312" w:cs="仿宋_GB2312"/>
                <w:kern w:val="2"/>
                <w:sz w:val="28"/>
                <w:szCs w:val="28"/>
                <w:lang w:val="en-US" w:eastAsia="zh-CN" w:bidi="ar"/>
              </w:rPr>
              <w:t>新的规范性文件清理结果将出台</w:t>
            </w:r>
          </w:p>
        </w:tc>
      </w:tr>
      <w:tr w14:paraId="5749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605F6AE5">
            <w:pPr>
              <w:pStyle w:val="7"/>
              <w:spacing w:before="107"/>
              <w:ind w:left="8"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18</w:t>
            </w:r>
          </w:p>
        </w:tc>
        <w:tc>
          <w:tcPr>
            <w:tcW w:w="6023" w:type="dxa"/>
            <w:vAlign w:val="center"/>
          </w:tcPr>
          <w:p w14:paraId="72AA5B06">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《桐庐县规划和自然资源局 桐庐县住房和城乡建设局 桐庐县综合行政执法局 关于加快解决国有建设用地上不动产登记若干历史遗留问题的办法》（桐规划资源（2023）18号）</w:t>
            </w:r>
          </w:p>
        </w:tc>
        <w:tc>
          <w:tcPr>
            <w:tcW w:w="1708" w:type="dxa"/>
            <w:vAlign w:val="center"/>
          </w:tcPr>
          <w:p w14:paraId="6E5570A0">
            <w:pPr>
              <w:ind w:left="0" w:leftChars="0" w:right="0" w:rightChars="0"/>
              <w:jc w:val="center"/>
              <w:rPr>
                <w:rFonts w:hint="default" w:ascii="仿宋_GB2312" w:hAnsi="仿宋_GB2312" w:eastAsia="仿宋_GB2312" w:cs="仿宋_GB2312"/>
                <w:kern w:val="2"/>
                <w:sz w:val="28"/>
                <w:szCs w:val="28"/>
                <w:lang w:eastAsia="zh-CN" w:bidi="ar"/>
                <w:woUserID w:val="3"/>
              </w:rPr>
            </w:pPr>
            <w:r>
              <w:rPr>
                <w:rFonts w:hint="default" w:cs="仿宋_GB2312"/>
                <w:kern w:val="2"/>
                <w:sz w:val="28"/>
                <w:szCs w:val="28"/>
                <w:lang w:eastAsia="zh-CN" w:bidi="ar"/>
                <w:woUserID w:val="3"/>
              </w:rPr>
              <w:t>继续有效</w:t>
            </w:r>
          </w:p>
        </w:tc>
        <w:tc>
          <w:tcPr>
            <w:tcW w:w="5712" w:type="dxa"/>
            <w:vAlign w:val="center"/>
          </w:tcPr>
          <w:p w14:paraId="739D66E1">
            <w:pPr>
              <w:pStyle w:val="7"/>
              <w:jc w:val="center"/>
              <w:rPr>
                <w:rFonts w:ascii="Times New Roman"/>
                <w:sz w:val="26"/>
              </w:rPr>
            </w:pPr>
          </w:p>
        </w:tc>
      </w:tr>
      <w:tr w14:paraId="5001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39FD8BC8">
            <w:pPr>
              <w:pStyle w:val="7"/>
              <w:spacing w:before="107"/>
              <w:ind w:left="8" w:leftChars="0" w:right="0" w:rightChars="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19</w:t>
            </w:r>
          </w:p>
        </w:tc>
        <w:tc>
          <w:tcPr>
            <w:tcW w:w="6023" w:type="dxa"/>
            <w:vAlign w:val="center"/>
          </w:tcPr>
          <w:p w14:paraId="392D2E81">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《关于切实加强农村住房建设管理的通知》</w:t>
            </w:r>
          </w:p>
          <w:p w14:paraId="153E330D">
            <w:pPr>
              <w:pStyle w:val="7"/>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（桐规划资源（2024）12号）</w:t>
            </w:r>
          </w:p>
        </w:tc>
        <w:tc>
          <w:tcPr>
            <w:tcW w:w="1708" w:type="dxa"/>
            <w:vAlign w:val="center"/>
          </w:tcPr>
          <w:p w14:paraId="73001BF6">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ascii="仿宋_GB2312" w:hAnsi="仿宋_GB2312" w:eastAsia="仿宋_GB2312" w:cs="仿宋_GB2312"/>
                <w:kern w:val="2"/>
                <w:sz w:val="28"/>
                <w:szCs w:val="28"/>
                <w:lang w:val="en-US" w:eastAsia="zh-CN" w:bidi="ar"/>
                <w:woUserID w:val="12"/>
              </w:rPr>
              <w:t>继续有效</w:t>
            </w:r>
          </w:p>
        </w:tc>
        <w:tc>
          <w:tcPr>
            <w:tcW w:w="5712" w:type="dxa"/>
            <w:vAlign w:val="center"/>
          </w:tcPr>
          <w:p w14:paraId="1E6B557B">
            <w:pPr>
              <w:pStyle w:val="7"/>
              <w:jc w:val="center"/>
              <w:rPr>
                <w:rFonts w:ascii="Times New Roman"/>
                <w:sz w:val="26"/>
              </w:rPr>
            </w:pPr>
          </w:p>
        </w:tc>
      </w:tr>
      <w:tr w14:paraId="7C787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92" w:type="dxa"/>
            <w:vAlign w:val="center"/>
          </w:tcPr>
          <w:p w14:paraId="71BF66F5">
            <w:pPr>
              <w:pStyle w:val="7"/>
              <w:spacing w:before="107"/>
              <w:ind w:left="8"/>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20</w:t>
            </w:r>
          </w:p>
        </w:tc>
        <w:tc>
          <w:tcPr>
            <w:tcW w:w="6023" w:type="dxa"/>
            <w:vAlign w:val="center"/>
          </w:tcPr>
          <w:p w14:paraId="79C0E19C">
            <w:pPr>
              <w:pStyle w:val="7"/>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《关于推行农村“优地优居”改革的意见》</w:t>
            </w:r>
          </w:p>
          <w:p w14:paraId="3BC98257">
            <w:pPr>
              <w:pStyle w:val="7"/>
              <w:jc w:val="both"/>
              <w:rPr>
                <w:rFonts w:hint="eastAsia" w:ascii="仿宋_GB2312" w:hAnsi="仿宋_GB2312" w:eastAsia="仿宋_GB2312" w:cs="仿宋_GB2312"/>
                <w:kern w:val="2"/>
                <w:sz w:val="28"/>
                <w:szCs w:val="28"/>
                <w:lang w:val="en-US" w:eastAsia="zh-CN" w:bidi="ar"/>
              </w:rPr>
            </w:pPr>
            <w:bookmarkStart w:id="0" w:name="_GoBack"/>
            <w:bookmarkEnd w:id="0"/>
            <w:r>
              <w:rPr>
                <w:rFonts w:hint="eastAsia" w:ascii="仿宋_GB2312" w:hAnsi="仿宋_GB2312" w:eastAsia="仿宋_GB2312" w:cs="仿宋_GB2312"/>
                <w:kern w:val="2"/>
                <w:sz w:val="28"/>
                <w:szCs w:val="28"/>
                <w:lang w:val="en-US" w:eastAsia="zh-CN" w:bidi="ar"/>
              </w:rPr>
              <w:t>（桐规划资源（2024）23号）</w:t>
            </w:r>
          </w:p>
        </w:tc>
        <w:tc>
          <w:tcPr>
            <w:tcW w:w="1708" w:type="dxa"/>
            <w:vAlign w:val="center"/>
          </w:tcPr>
          <w:p w14:paraId="43BF8FCB">
            <w:pPr>
              <w:ind w:left="0" w:leftChars="0" w:right="0" w:rightChars="0"/>
              <w:jc w:val="center"/>
              <w:rPr>
                <w:rFonts w:hint="eastAsia" w:ascii="仿宋_GB2312" w:hAnsi="仿宋_GB2312" w:eastAsia="仿宋_GB2312" w:cs="仿宋_GB2312"/>
                <w:kern w:val="2"/>
                <w:sz w:val="28"/>
                <w:szCs w:val="28"/>
                <w:lang w:val="en-US" w:eastAsia="zh-CN" w:bidi="ar"/>
              </w:rPr>
            </w:pPr>
            <w:r>
              <w:rPr>
                <w:rFonts w:hint="default" w:ascii="仿宋_GB2312" w:hAnsi="仿宋_GB2312" w:eastAsia="仿宋_GB2312" w:cs="仿宋_GB2312"/>
                <w:kern w:val="2"/>
                <w:sz w:val="28"/>
                <w:szCs w:val="28"/>
                <w:lang w:val="en-US" w:eastAsia="zh-CN" w:bidi="ar"/>
                <w:woUserID w:val="12"/>
              </w:rPr>
              <w:t>继续有效</w:t>
            </w:r>
          </w:p>
        </w:tc>
        <w:tc>
          <w:tcPr>
            <w:tcW w:w="5712" w:type="dxa"/>
            <w:vAlign w:val="center"/>
          </w:tcPr>
          <w:p w14:paraId="770E471B">
            <w:pPr>
              <w:pStyle w:val="7"/>
              <w:jc w:val="center"/>
              <w:rPr>
                <w:rFonts w:hint="eastAsia" w:ascii="Times New Roman" w:eastAsia="黑体"/>
                <w:sz w:val="26"/>
                <w:lang w:eastAsia="zh-CN"/>
              </w:rPr>
            </w:pPr>
          </w:p>
        </w:tc>
      </w:tr>
    </w:tbl>
    <w:p w14:paraId="102EF75A">
      <w:pPr>
        <w:spacing w:before="209" w:line="434" w:lineRule="auto"/>
        <w:ind w:right="434"/>
        <w:jc w:val="left"/>
        <w:rPr>
          <w:rFonts w:hint="eastAsia" w:ascii="楷体_GB2312" w:hAnsi="楷体_GB2312" w:eastAsia="楷体_GB2312"/>
          <w:sz w:val="24"/>
          <w:lang w:val="en-US" w:eastAsia="zh-CN"/>
        </w:rPr>
        <w:sectPr>
          <w:pgSz w:w="16840" w:h="11910" w:orient="landscape"/>
          <w:pgMar w:top="1100" w:right="980" w:bottom="280" w:left="1220" w:header="720" w:footer="720" w:gutter="0"/>
          <w:cols w:space="720" w:num="1"/>
        </w:sectPr>
      </w:pPr>
    </w:p>
    <w:p w14:paraId="06E317EC">
      <w:pPr>
        <w:pStyle w:val="2"/>
        <w:spacing w:before="129"/>
        <w:ind w:left="0" w:leftChars="0" w:firstLine="0" w:firstLineChars="0"/>
      </w:pPr>
    </w:p>
    <w:sectPr>
      <w:pgSz w:w="11910" w:h="16840"/>
      <w:pgMar w:top="1520" w:right="15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mRmNjQ1ZThlMzBmNDk1YjFmOGFjMjZiZDBjNjdiZDQifQ=="/>
  </w:docVars>
  <w:rsids>
    <w:rsidRoot w:val="00000000"/>
    <w:rsid w:val="000F3E38"/>
    <w:rsid w:val="008263A7"/>
    <w:rsid w:val="00FC6311"/>
    <w:rsid w:val="01143F7A"/>
    <w:rsid w:val="018B433A"/>
    <w:rsid w:val="02C73A00"/>
    <w:rsid w:val="02C81745"/>
    <w:rsid w:val="02ED78AA"/>
    <w:rsid w:val="042E2F9D"/>
    <w:rsid w:val="055E32F7"/>
    <w:rsid w:val="06EF4E2C"/>
    <w:rsid w:val="09DF1567"/>
    <w:rsid w:val="0AA7129C"/>
    <w:rsid w:val="0B994EA4"/>
    <w:rsid w:val="0BEA7692"/>
    <w:rsid w:val="0C5A1C17"/>
    <w:rsid w:val="0C664D2E"/>
    <w:rsid w:val="0CBE0B5A"/>
    <w:rsid w:val="0D385B21"/>
    <w:rsid w:val="0D415F14"/>
    <w:rsid w:val="0D8D55CF"/>
    <w:rsid w:val="0E9163AD"/>
    <w:rsid w:val="0EF47662"/>
    <w:rsid w:val="0F0342EE"/>
    <w:rsid w:val="0F803666"/>
    <w:rsid w:val="102B47BB"/>
    <w:rsid w:val="10487171"/>
    <w:rsid w:val="10C304B2"/>
    <w:rsid w:val="1115264F"/>
    <w:rsid w:val="12971B2C"/>
    <w:rsid w:val="13157522"/>
    <w:rsid w:val="134753CA"/>
    <w:rsid w:val="135C409A"/>
    <w:rsid w:val="138E24E4"/>
    <w:rsid w:val="14182B58"/>
    <w:rsid w:val="143D5468"/>
    <w:rsid w:val="1505382D"/>
    <w:rsid w:val="15622032"/>
    <w:rsid w:val="175F45F2"/>
    <w:rsid w:val="17FD3388"/>
    <w:rsid w:val="18C675AF"/>
    <w:rsid w:val="1A7F5051"/>
    <w:rsid w:val="1B5865B3"/>
    <w:rsid w:val="1D5E3939"/>
    <w:rsid w:val="1E170C8E"/>
    <w:rsid w:val="1F3B25A8"/>
    <w:rsid w:val="1F666033"/>
    <w:rsid w:val="20323F2A"/>
    <w:rsid w:val="20407B14"/>
    <w:rsid w:val="22D06745"/>
    <w:rsid w:val="23615928"/>
    <w:rsid w:val="23776424"/>
    <w:rsid w:val="24784374"/>
    <w:rsid w:val="24B76870"/>
    <w:rsid w:val="25C77ED8"/>
    <w:rsid w:val="271058C9"/>
    <w:rsid w:val="27652431"/>
    <w:rsid w:val="27BE7662"/>
    <w:rsid w:val="2999069F"/>
    <w:rsid w:val="2BB76FE6"/>
    <w:rsid w:val="2BEE3514"/>
    <w:rsid w:val="2C425D9E"/>
    <w:rsid w:val="2C4A7F23"/>
    <w:rsid w:val="2C736DD8"/>
    <w:rsid w:val="2CB556E1"/>
    <w:rsid w:val="2D0A2DD1"/>
    <w:rsid w:val="2E193DAF"/>
    <w:rsid w:val="2E8F0D4A"/>
    <w:rsid w:val="2EC12DE1"/>
    <w:rsid w:val="2EDF78A5"/>
    <w:rsid w:val="2FDB6575"/>
    <w:rsid w:val="31401161"/>
    <w:rsid w:val="319C5F3C"/>
    <w:rsid w:val="32DC15E2"/>
    <w:rsid w:val="337C1A93"/>
    <w:rsid w:val="33C053B5"/>
    <w:rsid w:val="34D32B0A"/>
    <w:rsid w:val="3575596F"/>
    <w:rsid w:val="38EA0422"/>
    <w:rsid w:val="3916063C"/>
    <w:rsid w:val="39D54C2E"/>
    <w:rsid w:val="3A330254"/>
    <w:rsid w:val="3AC3316C"/>
    <w:rsid w:val="3BDF1D94"/>
    <w:rsid w:val="3CBF11A5"/>
    <w:rsid w:val="3D121CF5"/>
    <w:rsid w:val="3E8B2BA8"/>
    <w:rsid w:val="400B75FC"/>
    <w:rsid w:val="404A71C2"/>
    <w:rsid w:val="41F540C0"/>
    <w:rsid w:val="420559F8"/>
    <w:rsid w:val="42425686"/>
    <w:rsid w:val="42927B60"/>
    <w:rsid w:val="42FC76D0"/>
    <w:rsid w:val="431D3180"/>
    <w:rsid w:val="435E60AC"/>
    <w:rsid w:val="43E9D611"/>
    <w:rsid w:val="47845F6F"/>
    <w:rsid w:val="48103BBD"/>
    <w:rsid w:val="481B23A6"/>
    <w:rsid w:val="48251A4B"/>
    <w:rsid w:val="4873528C"/>
    <w:rsid w:val="4A853033"/>
    <w:rsid w:val="4AE713C3"/>
    <w:rsid w:val="4B0B4674"/>
    <w:rsid w:val="4B9D5D25"/>
    <w:rsid w:val="4BAB57EF"/>
    <w:rsid w:val="4CD60F91"/>
    <w:rsid w:val="4CEE1E37"/>
    <w:rsid w:val="4D1F60F2"/>
    <w:rsid w:val="4F0973FC"/>
    <w:rsid w:val="50CF3D2E"/>
    <w:rsid w:val="517A4680"/>
    <w:rsid w:val="523C1897"/>
    <w:rsid w:val="55761912"/>
    <w:rsid w:val="557E6E78"/>
    <w:rsid w:val="561C51BA"/>
    <w:rsid w:val="577D7676"/>
    <w:rsid w:val="57C132F7"/>
    <w:rsid w:val="5886561A"/>
    <w:rsid w:val="58BF28DA"/>
    <w:rsid w:val="58D75F90"/>
    <w:rsid w:val="5C677510"/>
    <w:rsid w:val="5CC65628"/>
    <w:rsid w:val="5D395758"/>
    <w:rsid w:val="5D4A1993"/>
    <w:rsid w:val="5F743BEA"/>
    <w:rsid w:val="5F8623A3"/>
    <w:rsid w:val="5FF15D1F"/>
    <w:rsid w:val="6005151A"/>
    <w:rsid w:val="606E1637"/>
    <w:rsid w:val="609478FB"/>
    <w:rsid w:val="622D4D58"/>
    <w:rsid w:val="6268123D"/>
    <w:rsid w:val="640552C7"/>
    <w:rsid w:val="64B2095C"/>
    <w:rsid w:val="65174366"/>
    <w:rsid w:val="664B39FF"/>
    <w:rsid w:val="66863BEF"/>
    <w:rsid w:val="66961D05"/>
    <w:rsid w:val="67B850C4"/>
    <w:rsid w:val="6813679E"/>
    <w:rsid w:val="690A46F8"/>
    <w:rsid w:val="69AA5F20"/>
    <w:rsid w:val="69AF055A"/>
    <w:rsid w:val="6A0D594B"/>
    <w:rsid w:val="6A2373AF"/>
    <w:rsid w:val="6A9F4709"/>
    <w:rsid w:val="6AB16D4F"/>
    <w:rsid w:val="6ADE1FDD"/>
    <w:rsid w:val="6AE67C30"/>
    <w:rsid w:val="6C2467CF"/>
    <w:rsid w:val="6C4B4758"/>
    <w:rsid w:val="6F0B4673"/>
    <w:rsid w:val="6F8A5598"/>
    <w:rsid w:val="71370B10"/>
    <w:rsid w:val="71B51B2C"/>
    <w:rsid w:val="735C724B"/>
    <w:rsid w:val="73892E8E"/>
    <w:rsid w:val="738A6504"/>
    <w:rsid w:val="742E3BA7"/>
    <w:rsid w:val="74356E73"/>
    <w:rsid w:val="745B5755"/>
    <w:rsid w:val="7503779B"/>
    <w:rsid w:val="75C62E6D"/>
    <w:rsid w:val="767E1BCE"/>
    <w:rsid w:val="76F075CB"/>
    <w:rsid w:val="77A7065F"/>
    <w:rsid w:val="77DC56E3"/>
    <w:rsid w:val="795B5845"/>
    <w:rsid w:val="7975478C"/>
    <w:rsid w:val="798175E5"/>
    <w:rsid w:val="79FF2FCC"/>
    <w:rsid w:val="7A5E0446"/>
    <w:rsid w:val="7AA53BCD"/>
    <w:rsid w:val="7BBFE6E8"/>
    <w:rsid w:val="7C4A4A2C"/>
    <w:rsid w:val="7D9F2B56"/>
    <w:rsid w:val="7DE26BC0"/>
    <w:rsid w:val="7E6C2B7C"/>
    <w:rsid w:val="7EE9542B"/>
    <w:rsid w:val="7EF471F9"/>
    <w:rsid w:val="7F7B7539"/>
    <w:rsid w:val="7F840255"/>
    <w:rsid w:val="7FE93E1C"/>
    <w:rsid w:val="BBFFADD6"/>
    <w:rsid w:val="DFCCE2B9"/>
    <w:rsid w:val="F5BFF0B1"/>
    <w:rsid w:val="FEAB20AC"/>
    <w:rsid w:val="FECE07F9"/>
    <w:rsid w:val="FFBF26C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cs="仿宋_GB2312"/>
      <w:sz w:val="32"/>
      <w:szCs w:val="32"/>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34"/>
      <w:ind w:left="2203" w:hanging="321"/>
    </w:pPr>
    <w:rPr>
      <w:rFonts w:ascii="仿宋_GB2312" w:hAnsi="仿宋_GB2312" w:eastAsia="仿宋_GB2312" w:cs="仿宋_GB2312"/>
      <w:lang w:val="en-US" w:eastAsia="zh-CN" w:bidi="ar-SA"/>
    </w:rPr>
  </w:style>
  <w:style w:type="paragraph" w:customStyle="1" w:styleId="7">
    <w:name w:val="Table Paragraph"/>
    <w:basedOn w:val="1"/>
    <w:qFormat/>
    <w:uiPriority w:val="1"/>
    <w:rPr>
      <w:rFonts w:ascii="黑体" w:hAnsi="黑体" w:eastAsia="黑体" w:cs="黑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40"/>
    <customShpInfo spid="_x0000_s1041"/>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1094</Words>
  <Characters>1196</Characters>
  <TotalTime>112</TotalTime>
  <ScaleCrop>false</ScaleCrop>
  <LinksUpToDate>false</LinksUpToDate>
  <CharactersWithSpaces>1203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2023-05-18T07:28:00Z</dcterms:created>
  <dc:creator>lenovo</dc:creator>
  <cp:lastModifiedBy>Administrator</cp:lastModifiedBy>
  <dcterms:modified xsi:type="dcterms:W3CDTF">2024-10-31T01:30:34Z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2010</vt:lpwstr>
  </property>
  <property fmtid="{D5CDD505-2E9C-101B-9397-08002B2CF9AE}" pid="4" name="LastSaved">
    <vt:filetime>2023-05-16T00:00:00Z</vt:filetime>
  </property>
  <property fmtid="{D5CDD505-2E9C-101B-9397-08002B2CF9AE}" pid="5" name="KSOProductBuildVer">
    <vt:lpwstr>2052-12.1.0.18608</vt:lpwstr>
  </property>
  <property fmtid="{D5CDD505-2E9C-101B-9397-08002B2CF9AE}" pid="6" name="ICV">
    <vt:lpwstr>9FB1A86BB477486EB8343B4EF3821210_12</vt:lpwstr>
  </property>
</Properties>
</file>