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1100" w:lineRule="exact"/>
        <w:ind w:firstLine="0" w:firstLineChars="0"/>
        <w:jc w:val="center"/>
        <w:rPr>
          <w:rFonts w:hint="eastAsia" w:ascii="方正小标宋简体" w:hAnsi="Tahoma" w:eastAsia="方正小标宋简体" w:cs="Times New Roman"/>
          <w:color w:val="FF0000"/>
          <w:kern w:val="0"/>
          <w:sz w:val="62"/>
          <w:szCs w:val="62"/>
        </w:rPr>
      </w:pPr>
      <w:bookmarkStart w:id="0" w:name="title"/>
      <w:r>
        <w:rPr>
          <w:rFonts w:hint="eastAsia" w:ascii="方正小标宋简体" w:hAnsi="Tahoma" w:eastAsia="方正小标宋简体" w:cs="Times New Roman"/>
          <w:color w:val="FF0000"/>
          <w:kern w:val="0"/>
          <w:sz w:val="62"/>
          <w:szCs w:val="62"/>
        </w:rPr>
        <w:t>台州市森林防灭火指挥部办公室</w:t>
      </w:r>
    </w:p>
    <w:p>
      <w:pPr>
        <w:widowControl/>
        <w:adjustRightInd w:val="0"/>
        <w:snapToGrid w:val="0"/>
        <w:spacing w:after="200" w:line="200" w:lineRule="exact"/>
        <w:ind w:firstLine="0" w:firstLineChars="0"/>
        <w:jc w:val="center"/>
        <w:rPr>
          <w:rFonts w:hint="eastAsia" w:ascii="方正小标宋简体" w:hAnsi="Tahoma" w:eastAsia="方正小标宋简体" w:cs="Times New Roman"/>
          <w:color w:val="FFFFFF"/>
          <w:kern w:val="0"/>
          <w:sz w:val="40"/>
          <w:szCs w:val="40"/>
        </w:rPr>
      </w:pPr>
      <w:r>
        <w:rPr>
          <w:rFonts w:hint="eastAsia" w:ascii="Tahoma" w:hAnsi="Tahoma" w:eastAsia="微软雅黑" w:cs="Times New Roman"/>
          <w:color w:val="FFFFF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45085</wp:posOffset>
                </wp:positionV>
                <wp:extent cx="5632450" cy="12065"/>
                <wp:effectExtent l="0" t="28575" r="6350" b="35560"/>
                <wp:wrapNone/>
                <wp:docPr id="2" name="直接连接符 2"/>
                <wp:cNvGraphicFramePr/>
                <a:graphic xmlns:a="http://schemas.openxmlformats.org/drawingml/2006/main">
                  <a:graphicData uri="http://schemas.microsoft.com/office/word/2010/wordprocessingShape">
                    <wps:wsp>
                      <wps:cNvCnPr/>
                      <wps:spPr>
                        <a:xfrm flipV="true">
                          <a:off x="0" y="0"/>
                          <a:ext cx="5632450" cy="12065"/>
                        </a:xfrm>
                        <a:prstGeom prst="line">
                          <a:avLst/>
                        </a:prstGeom>
                        <a:ln w="57150" cap="flat" cmpd="thinThick">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75pt;margin-top:3.55pt;height:0.95pt;width:443.5pt;z-index:251659264;mso-width-relative:page;mso-height-relative:page;" filled="f" stroked="t" coordsize="21600,21600" o:gfxdata="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zBkmUtYAAAAGAQAADwAAAAAAAAABACAAAAA4AAAAZHJz&#10;L2Rvd25yZXYueG1sUEsBAhQAFAAAAAgAh07iQHQs4+jwAQAAvwMAAA4AAAAAAAAAAQAgAAAAOwEA&#10;AGRycy9lMm9Eb2MueG1sUEsFBgAAAAAGAAYAWQEAAJ0FAAAAAA==&#10;">
                <v:fill on="f" focussize="0,0"/>
                <v:stroke weight="4.5pt" color="#FF0000" linestyle="thinThick" joinstyle="round"/>
                <v:imagedata o:title=""/>
                <o:lock v:ext="edit" aspectratio="f"/>
              </v:line>
            </w:pict>
          </mc:Fallback>
        </mc:AlternateContent>
      </w:r>
    </w:p>
    <w:bookmarkEnd w:id="0"/>
    <w:p>
      <w:pPr>
        <w:spacing w:line="240" w:lineRule="auto"/>
        <w:ind w:firstLine="0" w:firstLineChars="0"/>
        <w:rPr>
          <w:rFonts w:hint="eastAsia" w:ascii="Calibri" w:hAnsi="Calibri" w:eastAsia="宋体" w:cs="Times New Roman"/>
          <w:kern w:val="2"/>
          <w:sz w:val="21"/>
          <w:szCs w:val="24"/>
        </w:rPr>
      </w:pPr>
    </w:p>
    <w:p>
      <w:pPr>
        <w:pStyle w:val="3"/>
        <w:bidi w:val="0"/>
        <w:rPr>
          <w:rFonts w:hint="eastAsia"/>
        </w:rPr>
      </w:pPr>
      <w:r>
        <w:rPr>
          <w:rFonts w:hint="eastAsia"/>
        </w:rPr>
        <w:t>关于征求《台州市贯彻落实关于</w:t>
      </w:r>
    </w:p>
    <w:p>
      <w:pPr>
        <w:pStyle w:val="3"/>
        <w:bidi w:val="0"/>
        <w:rPr>
          <w:rFonts w:hint="eastAsia"/>
        </w:rPr>
      </w:pPr>
      <w:r>
        <w:rPr>
          <w:rFonts w:hint="eastAsia"/>
        </w:rPr>
        <w:t>全面加强新形势下森林防灭火工作实施意见的任务清单（征求意见稿）》意见的函</w:t>
      </w:r>
    </w:p>
    <w:p>
      <w:pPr>
        <w:rPr>
          <w:rFonts w:hint="eastAsia"/>
        </w:rPr>
      </w:pPr>
    </w:p>
    <w:p>
      <w:pPr>
        <w:ind w:left="0" w:leftChars="0" w:firstLine="0" w:firstLineChars="0"/>
        <w:rPr>
          <w:rFonts w:hint="eastAsia"/>
        </w:rPr>
      </w:pPr>
      <w:r>
        <w:rPr>
          <w:rFonts w:hint="eastAsia"/>
        </w:rPr>
        <w:t>各县（市、区）森林防灭火指挥部、市级有关单位：</w:t>
      </w:r>
    </w:p>
    <w:p>
      <w:pPr>
        <w:rPr>
          <w:rFonts w:hint="eastAsia"/>
        </w:rPr>
      </w:pPr>
      <w:r>
        <w:rPr>
          <w:rFonts w:hint="eastAsia"/>
        </w:rPr>
        <w:t>为全面加强新形势下全市森林防灭火工作，切实提高森林火灾综合防控能力，根据省委办公厅、省政府办公厅《关于全面加强新形势下森林防灭火工作的实施意见》文件精神，市森防指办公室起草了《台州市贯彻落实关于全面加强新形势下森林防灭火工作实施意见的任务清单（征求意见稿）》，现征求你们意见，请于9月8日下班前，将修改意见书面盖章件及电子稿通过浙政钉反馈市森防指办公室，无意见也请书面反馈。</w:t>
      </w:r>
    </w:p>
    <w:p>
      <w:pPr>
        <w:rPr>
          <w:rFonts w:hint="eastAsia"/>
        </w:rPr>
      </w:pPr>
      <w:r>
        <w:rPr>
          <w:rFonts w:hint="eastAsia"/>
        </w:rPr>
        <w:t>联系人：陈兴林，</w:t>
      </w:r>
      <w:r>
        <w:rPr>
          <w:rFonts w:hint="eastAsia"/>
          <w:lang w:eastAsia="zh-CN"/>
        </w:rPr>
        <w:t>联系电话</w:t>
      </w:r>
      <w:r>
        <w:rPr>
          <w:rFonts w:hint="eastAsia"/>
        </w:rPr>
        <w:t>：</w:t>
      </w:r>
      <w:r>
        <w:rPr>
          <w:rFonts w:hint="eastAsia"/>
          <w:lang w:val="en-US" w:eastAsia="zh-CN"/>
        </w:rPr>
        <w:t>0576-88511532</w:t>
      </w:r>
      <w:r>
        <w:rPr>
          <w:rFonts w:hint="eastAsia"/>
        </w:rPr>
        <w:t>。</w:t>
      </w:r>
    </w:p>
    <w:p>
      <w:pPr>
        <w:rPr>
          <w:rFonts w:hint="eastAsia"/>
        </w:rPr>
      </w:pPr>
    </w:p>
    <w:p>
      <w:pPr>
        <w:rPr>
          <w:rFonts w:hint="eastAsia"/>
        </w:rPr>
      </w:pPr>
    </w:p>
    <w:p>
      <w:pPr>
        <w:rPr>
          <w:rFonts w:hint="eastAsia"/>
        </w:rPr>
      </w:pPr>
    </w:p>
    <w:p>
      <w:pPr>
        <w:jc w:val="right"/>
        <w:rPr>
          <w:rFonts w:hint="eastAsia"/>
        </w:rPr>
      </w:pPr>
      <w:r>
        <w:rPr>
          <w:rFonts w:hint="eastAsia"/>
        </w:rPr>
        <w:t>台州市森林防灭火指挥部办公室</w:t>
      </w:r>
    </w:p>
    <w:p>
      <w:pPr>
        <w:wordWrap w:val="0"/>
        <w:jc w:val="right"/>
        <w:rPr>
          <w:rFonts w:hint="eastAsia"/>
          <w:lang w:val="en-US" w:eastAsia="zh-CN"/>
        </w:rPr>
        <w:sectPr>
          <w:footerReference r:id="rId5" w:type="default"/>
          <w:pgSz w:w="11906" w:h="16838"/>
          <w:pgMar w:top="1701" w:right="1531" w:bottom="1701" w:left="1531" w:header="851" w:footer="709"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rPr>
        <w:t>2023年8月28日</w:t>
      </w:r>
      <w:r>
        <w:rPr>
          <w:rFonts w:hint="eastAsia"/>
          <w:lang w:val="en-US" w:eastAsia="zh-CN"/>
        </w:rPr>
        <w:t xml:space="preserve">      </w:t>
      </w:r>
    </w:p>
    <w:p>
      <w:pPr>
        <w:pStyle w:val="3"/>
        <w:bidi w:val="0"/>
        <w:rPr>
          <w:rFonts w:hint="default"/>
          <w:lang w:val="en-US" w:eastAsia="zh-CN"/>
        </w:rPr>
      </w:pPr>
      <w:r>
        <w:rPr>
          <w:rFonts w:hint="default"/>
          <w:lang w:val="en-US" w:eastAsia="zh-CN"/>
        </w:rPr>
        <w:t>台州市贯彻落实关于全面加强新形势下森林防灭火工作</w:t>
      </w:r>
    </w:p>
    <w:p>
      <w:pPr>
        <w:pStyle w:val="3"/>
        <w:bidi w:val="0"/>
        <w:rPr>
          <w:rFonts w:hint="default"/>
          <w:lang w:val="en-US" w:eastAsia="zh-CN"/>
        </w:rPr>
      </w:pPr>
      <w:r>
        <w:rPr>
          <w:rFonts w:hint="default"/>
          <w:lang w:val="en-US" w:eastAsia="zh-CN"/>
        </w:rPr>
        <w:t>实施意见的任务清单</w:t>
      </w:r>
    </w:p>
    <w:tbl>
      <w:tblPr>
        <w:tblStyle w:val="12"/>
        <w:tblW w:w="1407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40"/>
        <w:gridCol w:w="1230"/>
        <w:gridCol w:w="836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114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总要求</w:t>
            </w: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具体工作</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主要任务</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lang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w:t>
            </w:r>
          </w:p>
        </w:tc>
        <w:tc>
          <w:tcPr>
            <w:tcW w:w="11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强化工作职责，压实火灾防控责任</w:t>
            </w: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从严从紧压实党政领导责任</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党政同责、一岗双责、齐抓共管、失职追责的要求，强化属地责任。加强各级党委对森林防灭火工作的领导，实行地方政府行政首长负责制，结合落实林长制压实第一责任人森林火灾防控责任。完善全覆盖、全过程责任考核和动态评价机制，切实将责任落实到防火一线。着力推进全市乡镇森林防灭火工作规范化建设，到2023年底，各县（市、区）至少选择1个有森林防灭火任务的重点乡镇完成规范化建设工作；2024年底，全市60%的乡镇完成规范化建设任务；2025年底实现乡镇规范化建设全覆盖。</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市森防指办公室</w:t>
            </w:r>
            <w:r>
              <w:rPr>
                <w:rFonts w:hint="eastAsia" w:ascii="仿宋_GB2312" w:hAnsi="仿宋_GB2312" w:eastAsia="仿宋_GB2312" w:cs="仿宋_GB2312"/>
                <w:sz w:val="24"/>
                <w:szCs w:val="24"/>
                <w:lang w:eastAsia="zh-CN"/>
              </w:rPr>
              <w:t>，各县(市、区)党委和政府；列第一位的为牵头单位，下同；以下各项均需各县(市、区)党委和政府落实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2</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落实落细职能部门监管责任</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充分发挥市森林防灭火指挥部牵头抓总作用，强化组织、协调、指导、督促职能，综合运用褒扬激励、约谈督办、调查处理等方式，推动各级各类责任落实。应急管理部门负责综合指导各地和相关部门森林火灾防控工作，牵头开展火灾预警监测和信息发布,组织指导协调森林火灾处置工作。林业部门具体负责火灾预防，组织指导和开展防火巡护、火源管理、日常检查、宣传教育、防火设施建设和火情早期处理等工作并加强监督检查。公安部门负责火场警戒、交通疏导、治安维护、火案侦破，协同林业部门开展防火宣传、火灾隐患排查、重点区城巡护、违规用火处罚等工作。各县(市、区)森林防灭火指挥机构和市级各成员单位细化任务分工，明确衔接关系，加快形成上下贯通、统筹联动的工作格局。</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市应急管理局、市公安局、市自然资源规划（林业）局，市森防指其他成员单位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3</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强化落实经营单位和个人责任</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在林区内从事生产经营、调查设计、建设施工、采石采矿等各类活动的单位和个人要严格履行责任，划定责任区，确定责任人，签订责任书，认真落实各项火灾防控措施。</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市自然资源规划（林业）局、市民政局、市农业农村局、市文化广电旅游体育局、市应急管理局、台州电业局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4</w:t>
            </w:r>
          </w:p>
        </w:tc>
        <w:tc>
          <w:tcPr>
            <w:tcW w:w="11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加强力量建设，稳步提升科学扑救能力</w:t>
            </w: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加强指挥能力建设</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善各级森林防灭火指挥机构，实现上下基本对应。加强各级指挥机构办公室和主管部门业务能力建设，在主管部门领导班子中配备防灭火实战经验丰富的领导干部。加强指挥员队伍建设，强化指挥员培训和业务提升，按照国家规定实行指挥员持证上岗制度，提升火场前线专业指挥能力。</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市应急管理局、市委组织部、市公安局、市自然资源规划（林业）局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5</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加强防灭火专业力量建设</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建设标准化、管理规范化、装备机械化为重点，2025年底前，全面加强5个森林火灾高风险县(市、区)防灭火专业队伍建设。规范森林防灭火专业、半专业力量的训练内容、组训方式、考核标淮，完善管理和保障机制。气象部门充分发挥人工增雨在森林防灭火中的积极作用，建立关键时期集中作业机制。加强军队、民兵等力量及干部群众的防灭火技能训练和装备配备。林业部门统筹加强火情早期处理能力建设，对火情快速反应，做到早发现、早报告、早出动和安全高效处置。</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市应急管理局、市自然资源规划（林业）局、市消防救援支队、台州军分区、武警台州支队、市气象局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6</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加强专业人才队伍建设</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各级要加强森林防灭火智库建设，健全防灭火专家咨询制度，提供专业技术支撑。加强森林防灭火人才培养，搭建专业人才培养平台，构建完善的人才培养应用通道，并注重在实战中发现、培养和使用人才。</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市应急管理局、市教育局、市自然资源规划（林业）局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7</w:t>
            </w:r>
          </w:p>
        </w:tc>
        <w:tc>
          <w:tcPr>
            <w:tcW w:w="11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建强基础设施，全面夯实森林防火根基</w:t>
            </w: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坚持统筹规划</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善各级森林防灭火专项规划并推动实施，优化建设任务，提升工程建设质量。加强国土空间总体规划与森林防灭火专项规划衔接，明确林区防灭火设施布局，林区各类工程建设同步规划、同步设计、同步施工、同步验收防灭火设施。</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市自然资源规划（林业）局、市应急管理局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8</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全面加强重要基础设施建设</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推进实施生态防火工程建设，通过新建与改造相结合，因地制宜推广耐火树种，提升林业生态系统耐火阻燃能力。加强森林防火应急路网建设，2023年至2025年力争建设防火巡护道100公里，到2027年力争再建设100公里。军事、能源等重要目标周边构建集自然阻隔带、工程阻隔带和生物阻隔带于一体的现代科学林火阻隔系统。重点加强环区域、环目标核心圈的防火道、隔离带、视频监控、检查站、蓄水池等防灭火设施建设。加快建设起降点、取水点等航空消防基础设施。加强重点林区通信基础设施建设，构建应急指挥网、卫星通信网、370M集群通信网等多种技术手段相结合的应急通信网络，保障断路、断网、断电等极端条件下通信畅通。</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市自然资源规划（林业）局、市应急管理局、市经信局、市通信发展办公室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9</w:t>
            </w:r>
          </w:p>
        </w:tc>
        <w:tc>
          <w:tcPr>
            <w:tcW w:w="11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强化源头治理，积极主动事前防范</w:t>
            </w: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筑牢宣传教育防线</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坚持不懈强化群众防火意识，持续开展“3·19”森林防灭火系列宣传活动，推进宣传教育常态化、全覆盖。突出对重点时段、重点地区、重点人群的宣传教育，全面构筑群防群控的安全屏障。丰富宣教手段，依托农村应急广播、流动宣传车、声光电警示装置等设施设备，融合村规民约，创新运用贴近群众、丰富多样的短视频、微信公众号等宣传形式。强化警示教育，通过媒体及时曝光典型案例，以案释法，形成强大震慑效应，织密织牢群防群治的思想防线。</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市委宣传部、市自然资源规划（林业）局，</w:t>
            </w:r>
            <w:r>
              <w:rPr>
                <w:rFonts w:hint="eastAsia" w:ascii="仿宋_GB2312" w:hAnsi="仿宋_GB2312" w:eastAsia="仿宋_GB2312" w:cs="仿宋_GB2312"/>
                <w:sz w:val="24"/>
                <w:szCs w:val="24"/>
              </w:rPr>
              <w:t>市森防指</w:t>
            </w:r>
            <w:r>
              <w:rPr>
                <w:rFonts w:hint="eastAsia" w:ascii="仿宋_GB2312" w:hAnsi="仿宋_GB2312" w:eastAsia="仿宋_GB2312" w:cs="仿宋_GB2312"/>
                <w:sz w:val="24"/>
                <w:szCs w:val="24"/>
                <w:vertAlign w:val="baseline"/>
                <w:lang w:val="en-US" w:eastAsia="zh-CN"/>
              </w:rPr>
              <w:t>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10</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筑牢火源管控防线</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针对林区和农林交错地区森林火险情况，坚持疏堵结合，严格落实用火审批，加强事中事后监管，有效化解森林防火与生产性用火矛盾。严格落实防火检查、日常巡护等常态化管控手段，重点加强祭扫用火、农事用火、林区施工生产用火和景区野外用火管理。倡导绿色祭祀、文明祭祀，减少祭祀用火行为。定期开展专项行动，严厉打击野外违规用火行为。统筹优化农作物秸秆综合利用，力争综合利用率稳定在95%以上。</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市自然资源规划（林业）局、市综合行政执法局、市公安局、市民政局、市农业农村局、市文化广电旅游体育局、市应急管理局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11</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筑牢隐患排查整治防线</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持续推进森林火灾风险普查工作，高质量完成普查、评估、区划等工作。科学组织计划烧除和清理重点林缘部位可燃物。深入开展火灾隐患排查整治，突出国家公园、城市面山、林间村等重要区域，以及核电站、林内输配电线路、林区油气管道、民用爆炸物品器材仓库等重要目标，建立隐患台账及责任清单，实行销号管理；对一时难以彻底解决的风险隐患，明确日常监管责任和应对措施，坚决防止“查而不处”酿成大祸；探索重大问题隐患责任倒查机制，将重大火灾隐患按程序纳入市委“七张问题清单”整改落实。发展改革(能源）、民政、交通运输、农业农村、文旅等部门及石油化工、电力等企业在各级森林防灭火指挥机构的组织下，协同开展本行业领域森林火灾隐患的排查整治。有关军事机关配合抓好军事设施周边火险隐患排查整治。</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市自然资源规划（林业）局、市发展改革委、市民政局、市交通运输局、市农业农村局、市文化广电旅游体育局、市应急管理局、台州电业局，</w:t>
            </w:r>
            <w:r>
              <w:rPr>
                <w:rFonts w:hint="eastAsia" w:ascii="仿宋_GB2312" w:hAnsi="仿宋_GB2312" w:eastAsia="仿宋_GB2312" w:cs="仿宋_GB2312"/>
                <w:sz w:val="24"/>
                <w:szCs w:val="24"/>
              </w:rPr>
              <w:t>市森防指</w:t>
            </w:r>
            <w:r>
              <w:rPr>
                <w:rFonts w:hint="eastAsia" w:ascii="仿宋_GB2312" w:hAnsi="仿宋_GB2312" w:eastAsia="仿宋_GB2312" w:cs="仿宋_GB2312"/>
                <w:sz w:val="24"/>
                <w:szCs w:val="24"/>
                <w:vertAlign w:val="baseline"/>
                <w:lang w:val="en-US" w:eastAsia="zh-CN"/>
              </w:rPr>
              <w:t>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12</w:t>
            </w:r>
          </w:p>
        </w:tc>
        <w:tc>
          <w:tcPr>
            <w:tcW w:w="11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加大科技创新，不断提高智治防控水平</w:t>
            </w: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强化科技赋能</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挥高校和科研院所优势，深入研究森林火灾防御技术和林火机理，开发和推广应用森林防火新技术，开展森林防灭火实用技术培训，加速森林防灭火科研成果转化和产业发展。加快装备转型升级，重点突出以水灭火、个人防护等装备建设，推广应用高科技防灭火装备。搭建科技创新</w:t>
            </w:r>
            <w:r>
              <w:rPr>
                <w:rFonts w:hint="eastAsia" w:cs="仿宋_GB2312"/>
                <w:sz w:val="24"/>
                <w:szCs w:val="24"/>
                <w:vertAlign w:val="baseline"/>
                <w:lang w:val="en-US" w:eastAsia="zh-CN"/>
              </w:rPr>
              <w:t>平台</w:t>
            </w:r>
            <w:r>
              <w:rPr>
                <w:rFonts w:hint="eastAsia" w:ascii="仿宋_GB2312" w:hAnsi="仿宋_GB2312" w:eastAsia="仿宋_GB2312" w:cs="仿宋_GB2312"/>
                <w:sz w:val="24"/>
                <w:szCs w:val="24"/>
                <w:vertAlign w:val="baseline"/>
                <w:lang w:val="en-US" w:eastAsia="zh-CN"/>
              </w:rPr>
              <w:t>，引导高新技术企业加强智慧防火、智能灭火技术的研发应用，提升科技赋能的质量效益。</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市应急管理局、市教育局、市科技局、市自然资源规划（林业）局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13</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提升精密智控水平</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持续做好“森林防灭火在线”和省静止卫星林火监测系统应用，利用卫星监测、视频监控、地面巡护等多种手段，不断提升火情监测覆盖率、识别准确率、核查反馈率。推动“森林防灭火在线”应用与“基层治理四</w:t>
            </w:r>
            <w:bookmarkStart w:id="1" w:name="_GoBack"/>
            <w:bookmarkEnd w:id="1"/>
            <w:r>
              <w:rPr>
                <w:rFonts w:hint="eastAsia" w:cs="仿宋_GB2312"/>
                <w:sz w:val="24"/>
                <w:szCs w:val="24"/>
                <w:vertAlign w:val="baseline"/>
                <w:lang w:val="en-US" w:eastAsia="zh-CN"/>
              </w:rPr>
              <w:t>平台</w:t>
            </w:r>
            <w:r>
              <w:rPr>
                <w:rFonts w:hint="eastAsia" w:ascii="仿宋_GB2312" w:hAnsi="仿宋_GB2312" w:eastAsia="仿宋_GB2312" w:cs="仿宋_GB2312"/>
                <w:sz w:val="24"/>
                <w:szCs w:val="24"/>
                <w:vertAlign w:val="baseline"/>
                <w:lang w:val="en-US" w:eastAsia="zh-CN"/>
              </w:rPr>
              <w:t>”一体贯通，实现信息共享、互联互通。推广运用台州市“森林智眼”森林防火综合监测预警平台，实现市县共享，加快指导推进黄岩区“森防智哨”平台建设和推广应用。</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市应急管理局、市自然资源规划（林业）局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14</w:t>
            </w:r>
          </w:p>
        </w:tc>
        <w:tc>
          <w:tcPr>
            <w:tcW w:w="11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强化应急处置，科学高效安全灭火</w:t>
            </w: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优化运行机制</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严格执行会商研判、预警响应、信息共享、督查检查等机制，定期组织公安、应急管理、林业、气象等部门开展会商研判，指导督促采取针对性防控措施；完善信息共享平台，实时互通互报火险预警、火情热点等即时信息；加强督导检查，确保各项防控措施落实到位。</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市应急管理局、市公安局、市自然资源规划（林业）局、市气象局，</w:t>
            </w:r>
            <w:r>
              <w:rPr>
                <w:rFonts w:hint="eastAsia" w:ascii="仿宋_GB2312" w:hAnsi="仿宋_GB2312" w:eastAsia="仿宋_GB2312" w:cs="仿宋_GB2312"/>
                <w:sz w:val="24"/>
                <w:szCs w:val="24"/>
              </w:rPr>
              <w:t>市森防指</w:t>
            </w:r>
            <w:r>
              <w:rPr>
                <w:rFonts w:hint="eastAsia" w:ascii="仿宋_GB2312" w:hAnsi="仿宋_GB2312" w:eastAsia="仿宋_GB2312" w:cs="仿宋_GB2312"/>
                <w:sz w:val="24"/>
                <w:szCs w:val="24"/>
                <w:vertAlign w:val="baseline"/>
                <w:lang w:val="en-US" w:eastAsia="zh-CN"/>
              </w:rPr>
              <w:t>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15</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强化应急准备</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全各级各类森林火灾应急预案，强化针对性演练，5个森林火灾高风险县(市、区)每年至少开展1次应急演练。动态优化部署，在重点时段、重点地区实施指挥、力量、装备靠前驻防。深化对不同区域环境、多方力量协同、多种作战样式综合运用的战法研究。建立健全防灭火物资全链条保障机制，确保关键时刻拿得出、调得快、用得上。</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市应急管理局、市发展改革委、市自然资源规划（林业）局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16</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有效应对极端情况</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常态化防控的基础上，综合运用现代火险感知手段和多渠道信息，提升大火巨灾早期预判能力，加强预警响应，全力阻断致灾因子耦合导致大火巨灾。把林区重要目标、村居、林(农)场、重要输电线路等列入重大风险清单，科学谋划应对措施、前置安排以及保底手段，强化组织指挥、力量编成、扑火资源调配，完善配套保障，确保防范化解重大风险。建立极端天气条件下联合督查机制，加强对乡镇一线森林防灭火工作的督促检查，压实防控责任和措施。</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市应急管理局、市公安局、市自然资源规划（林业）局，</w:t>
            </w:r>
            <w:r>
              <w:rPr>
                <w:rFonts w:hint="eastAsia" w:ascii="仿宋_GB2312" w:hAnsi="仿宋_GB2312" w:eastAsia="仿宋_GB2312" w:cs="仿宋_GB2312"/>
                <w:sz w:val="24"/>
                <w:szCs w:val="24"/>
              </w:rPr>
              <w:t>市森防指</w:t>
            </w:r>
            <w:r>
              <w:rPr>
                <w:rFonts w:hint="eastAsia" w:ascii="仿宋_GB2312" w:hAnsi="仿宋_GB2312" w:eastAsia="仿宋_GB2312" w:cs="仿宋_GB2312"/>
                <w:sz w:val="24"/>
                <w:szCs w:val="24"/>
                <w:vertAlign w:val="baseline"/>
                <w:lang w:val="en-US" w:eastAsia="zh-CN"/>
              </w:rPr>
              <w:t>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17</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抓好安全建设</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强化经常性教育培训，突出日常扑火安全教育、科学指挥扑火技能和紧急避险技能训练，提升安全扑火及自救互救能力。落实专业指挥的刚性要求，加强火场安全管控，预先做好紧急情况下的避险方案，安全高效展开扑救。按照有关标准严格配备防灭火人员防护装备。</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市应急管理局、市公安局、市自然资源规划（林业）局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18</w:t>
            </w:r>
          </w:p>
        </w:tc>
        <w:tc>
          <w:tcPr>
            <w:tcW w:w="11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完善制度体系，积极推进依法治火</w:t>
            </w: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健全完善相关制度</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优化健全森林防灭火标准体系，坚持急用先行制定相关标准。完善防灭火工作监督、检查、考评等制度。</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市应急管理局、市自然资源规划（林业）局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
              </w:rPr>
            </w:pPr>
            <w:r>
              <w:rPr>
                <w:rFonts w:hint="eastAsia" w:ascii="仿宋_GB2312" w:hAnsi="仿宋_GB2312" w:eastAsia="仿宋_GB2312" w:cs="仿宋_GB2312"/>
                <w:sz w:val="24"/>
                <w:szCs w:val="24"/>
                <w:vertAlign w:val="baseline"/>
                <w:lang w:val="en-US" w:eastAsia="zh"/>
              </w:rPr>
              <w:t>19</w:t>
            </w:r>
          </w:p>
        </w:tc>
        <w:tc>
          <w:tcPr>
            <w:tcW w:w="11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2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严格依法责任追究</w:t>
            </w:r>
          </w:p>
        </w:tc>
        <w:tc>
          <w:tcPr>
            <w:tcW w:w="83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强化森林防灭火工作执法，依法查处违法违规行为，提高火案侦破效率。健全火灾责任追究制度，严格按照要求开展森林火灾调查评估，严肃追究火灾肇事者法律责任，对防灭火工作中失职失责造成严重后果或者恶劣影响的，依规依纪依法追究党委和政府、有关部门、经营单位及有关人员的责任。</w:t>
            </w:r>
          </w:p>
        </w:tc>
        <w:tc>
          <w:tcPr>
            <w:tcW w:w="2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市自然资源规划（林业）局、市纪委市监委、市公安局、市司法局、市应急管理局</w:t>
            </w:r>
          </w:p>
        </w:tc>
      </w:tr>
    </w:tbl>
    <w:p>
      <w:pPr>
        <w:pStyle w:val="2"/>
        <w:rPr>
          <w:rFonts w:hint="default"/>
          <w:lang w:val="en-US" w:eastAsia="zh-CN"/>
        </w:rPr>
      </w:pPr>
    </w:p>
    <w:sectPr>
      <w:pgSz w:w="16838" w:h="11906" w:orient="landscape"/>
      <w:pgMar w:top="1531" w:right="1701" w:bottom="1531" w:left="1701" w:header="851" w:footer="709"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47764A"/>
    <w:rsid w:val="05780F2C"/>
    <w:rsid w:val="077E7F88"/>
    <w:rsid w:val="2EF788D3"/>
    <w:rsid w:val="34FBC554"/>
    <w:rsid w:val="37FF6F52"/>
    <w:rsid w:val="3EBC9DEA"/>
    <w:rsid w:val="3F77D2DA"/>
    <w:rsid w:val="4CFF9A03"/>
    <w:rsid w:val="4F3B4512"/>
    <w:rsid w:val="597D8C5C"/>
    <w:rsid w:val="5DEF5BFE"/>
    <w:rsid w:val="5F370FF8"/>
    <w:rsid w:val="5F75063D"/>
    <w:rsid w:val="5FAF81FA"/>
    <w:rsid w:val="5FBC9023"/>
    <w:rsid w:val="5FF829A3"/>
    <w:rsid w:val="67DF882D"/>
    <w:rsid w:val="695FC71B"/>
    <w:rsid w:val="6CEEC709"/>
    <w:rsid w:val="6F718BCE"/>
    <w:rsid w:val="6F9E80E1"/>
    <w:rsid w:val="6FE1196A"/>
    <w:rsid w:val="6FFF688D"/>
    <w:rsid w:val="737B5C0C"/>
    <w:rsid w:val="737FE945"/>
    <w:rsid w:val="73FBABFD"/>
    <w:rsid w:val="775FC108"/>
    <w:rsid w:val="77B6DDFB"/>
    <w:rsid w:val="77BF99B7"/>
    <w:rsid w:val="77DF55D8"/>
    <w:rsid w:val="797F88C1"/>
    <w:rsid w:val="7AF3EDA3"/>
    <w:rsid w:val="7BFD631D"/>
    <w:rsid w:val="7CFE8266"/>
    <w:rsid w:val="7D97CAE6"/>
    <w:rsid w:val="7FB95333"/>
    <w:rsid w:val="7FF70BF6"/>
    <w:rsid w:val="7FFE4BDA"/>
    <w:rsid w:val="7FFF5448"/>
    <w:rsid w:val="959FBB76"/>
    <w:rsid w:val="97A74050"/>
    <w:rsid w:val="99F7BB59"/>
    <w:rsid w:val="9FE70764"/>
    <w:rsid w:val="A7DF02B1"/>
    <w:rsid w:val="B547764A"/>
    <w:rsid w:val="BBE988FC"/>
    <w:rsid w:val="BFBF3C7D"/>
    <w:rsid w:val="BFE743D0"/>
    <w:rsid w:val="D73E5BC6"/>
    <w:rsid w:val="D8EB747E"/>
    <w:rsid w:val="DD4DC192"/>
    <w:rsid w:val="DDFE81F2"/>
    <w:rsid w:val="E77E1BE0"/>
    <w:rsid w:val="EB67F052"/>
    <w:rsid w:val="EBBB0A2F"/>
    <w:rsid w:val="ED5FD7A8"/>
    <w:rsid w:val="F57BFF16"/>
    <w:rsid w:val="F7BF059E"/>
    <w:rsid w:val="F7DEE46A"/>
    <w:rsid w:val="FAF2B2BD"/>
    <w:rsid w:val="FB7CE32F"/>
    <w:rsid w:val="FCDBADC3"/>
    <w:rsid w:val="FD9FB49F"/>
    <w:rsid w:val="FDA7FCBF"/>
    <w:rsid w:val="FDDE2AAF"/>
    <w:rsid w:val="FE62CDC9"/>
    <w:rsid w:val="FEBD437B"/>
    <w:rsid w:val="FEBFBAF1"/>
    <w:rsid w:val="FEFAB7D9"/>
    <w:rsid w:val="FF9F7DBE"/>
    <w:rsid w:val="FFDAD3CA"/>
    <w:rsid w:val="FFF54509"/>
    <w:rsid w:val="FFFF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spacing w:line="600" w:lineRule="exact"/>
      <w:ind w:firstLine="640" w:firstLineChars="200"/>
      <w:jc w:val="both"/>
    </w:pPr>
    <w:rPr>
      <w:rFonts w:ascii="仿宋_GB2312" w:hAnsi="仿宋_GB2312" w:eastAsia="仿宋_GB2312" w:cs="宋体"/>
      <w:kern w:val="12"/>
      <w:sz w:val="32"/>
      <w:szCs w:val="32"/>
      <w:lang w:val="en-US" w:eastAsia="zh-CN" w:bidi="ar-SA"/>
    </w:rPr>
  </w:style>
  <w:style w:type="paragraph" w:styleId="3">
    <w:name w:val="heading 1"/>
    <w:basedOn w:val="1"/>
    <w:next w:val="1"/>
    <w:link w:val="15"/>
    <w:qFormat/>
    <w:uiPriority w:val="0"/>
    <w:pPr>
      <w:keepNext/>
      <w:keepLines/>
      <w:spacing w:beforeLines="0" w:beforeAutospacing="0" w:afterLines="0" w:afterAutospacing="0" w:line="700" w:lineRule="exact"/>
      <w:ind w:firstLine="0" w:firstLineChars="0"/>
      <w:jc w:val="center"/>
      <w:outlineLvl w:val="0"/>
    </w:pPr>
    <w:rPr>
      <w:rFonts w:ascii="Times New Roman" w:hAnsi="Times New Roman" w:eastAsia="方正小标宋简体" w:cs="方正小标宋简体"/>
      <w:kern w:val="44"/>
      <w:sz w:val="44"/>
      <w:szCs w:val="24"/>
    </w:rPr>
  </w:style>
  <w:style w:type="paragraph" w:styleId="4">
    <w:name w:val="heading 2"/>
    <w:basedOn w:val="1"/>
    <w:next w:val="1"/>
    <w:link w:val="16"/>
    <w:semiHidden/>
    <w:unhideWhenUsed/>
    <w:qFormat/>
    <w:uiPriority w:val="0"/>
    <w:pPr>
      <w:keepNext w:val="0"/>
      <w:keepLines w:val="0"/>
      <w:spacing w:beforeLines="0" w:beforeAutospacing="0" w:afterLines="0" w:afterAutospacing="0" w:line="600" w:lineRule="exact"/>
      <w:ind w:firstLine="800" w:firstLineChars="200"/>
      <w:jc w:val="left"/>
      <w:outlineLvl w:val="1"/>
    </w:pPr>
    <w:rPr>
      <w:rFonts w:ascii="黑体" w:hAnsi="黑体" w:eastAsia="黑体"/>
    </w:rPr>
  </w:style>
  <w:style w:type="paragraph" w:styleId="5">
    <w:name w:val="heading 3"/>
    <w:basedOn w:val="1"/>
    <w:next w:val="1"/>
    <w:link w:val="17"/>
    <w:semiHidden/>
    <w:unhideWhenUsed/>
    <w:qFormat/>
    <w:uiPriority w:val="0"/>
    <w:pPr>
      <w:keepNext w:val="0"/>
      <w:keepLines w:val="0"/>
      <w:spacing w:beforeLines="0" w:beforeAutospacing="0" w:afterLines="0" w:afterAutospacing="0" w:line="600" w:lineRule="exact"/>
      <w:ind w:firstLine="640" w:firstLineChars="200"/>
      <w:jc w:val="both"/>
      <w:outlineLvl w:val="2"/>
    </w:pPr>
    <w:rPr>
      <w:rFonts w:ascii="楷体_GB2312" w:hAnsi="楷体_GB2312" w:eastAsia="楷体_GB2312"/>
      <w:b/>
    </w:rPr>
  </w:style>
  <w:style w:type="paragraph" w:styleId="6">
    <w:name w:val="heading 4"/>
    <w:basedOn w:val="1"/>
    <w:next w:val="1"/>
    <w:link w:val="22"/>
    <w:semiHidden/>
    <w:unhideWhenUsed/>
    <w:qFormat/>
    <w:uiPriority w:val="0"/>
    <w:pPr>
      <w:keepNext/>
      <w:keepLines/>
      <w:spacing w:beforeLines="0" w:beforeAutospacing="0" w:afterLines="0" w:afterAutospacing="0" w:line="600" w:lineRule="exact"/>
      <w:outlineLvl w:val="3"/>
    </w:pPr>
    <w:rPr>
      <w:b/>
    </w:rPr>
  </w:style>
  <w:style w:type="character" w:default="1" w:styleId="13">
    <w:name w:val="Default Paragraph Font"/>
    <w:semiHidden/>
    <w:qFormat/>
    <w:uiPriority w:val="0"/>
    <w:rPr>
      <w:rFonts w:ascii="Calibri" w:hAnsi="Calibri" w:eastAsia="仿宋_GB2312"/>
      <w:sz w:val="32"/>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8"/>
    </w:rPr>
  </w:style>
  <w:style w:type="paragraph" w:styleId="7">
    <w:name w:val="Normal Indent"/>
    <w:basedOn w:val="1"/>
    <w:qFormat/>
    <w:uiPriority w:val="0"/>
    <w:pPr>
      <w:ind w:firstLine="420" w:firstLineChars="200"/>
    </w:pPr>
  </w:style>
  <w:style w:type="paragraph" w:styleId="8">
    <w:name w:val="footer"/>
    <w:basedOn w:val="1"/>
    <w:qFormat/>
    <w:uiPriority w:val="0"/>
    <w:pPr>
      <w:tabs>
        <w:tab w:val="center" w:pos="4153"/>
        <w:tab w:val="right" w:pos="8306"/>
      </w:tabs>
      <w:snapToGrid w:val="0"/>
      <w:spacing w:line="240" w:lineRule="auto"/>
      <w:ind w:firstLine="0" w:firstLineChars="0"/>
      <w:jc w:val="left"/>
    </w:pPr>
    <w:rPr>
      <w:rFonts w:ascii="黑体" w:hAnsi="黑体" w:eastAsia="黑体" w:cs="宋体"/>
      <w:sz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ind w:firstLine="0" w:firstLineChars="0"/>
    </w:pPr>
    <w:rPr>
      <w:rFonts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link w:val="1"/>
    <w:semiHidden/>
    <w:qFormat/>
    <w:uiPriority w:val="0"/>
    <w:rPr>
      <w:rFonts w:ascii="仿宋_GB2312" w:hAnsi="仿宋_GB2312" w:eastAsia="仿宋_GB2312" w:cs="宋体"/>
      <w:kern w:val="2"/>
      <w:sz w:val="32"/>
      <w:szCs w:val="24"/>
      <w:lang w:val="en-US" w:eastAsia="zh-CN" w:bidi="ar-SA"/>
    </w:rPr>
  </w:style>
  <w:style w:type="character" w:customStyle="1" w:styleId="15">
    <w:name w:val="标题 1 Char"/>
    <w:link w:val="3"/>
    <w:qFormat/>
    <w:uiPriority w:val="0"/>
    <w:rPr>
      <w:rFonts w:ascii="Times New Roman" w:hAnsi="Times New Roman" w:eastAsia="方正小标宋简体" w:cs="方正小标宋简体"/>
      <w:kern w:val="44"/>
      <w:sz w:val="44"/>
      <w:szCs w:val="24"/>
    </w:rPr>
  </w:style>
  <w:style w:type="character" w:customStyle="1" w:styleId="16">
    <w:name w:val="标题 2 Char"/>
    <w:link w:val="4"/>
    <w:qFormat/>
    <w:uiPriority w:val="0"/>
    <w:rPr>
      <w:rFonts w:ascii="黑体" w:hAnsi="黑体" w:eastAsia="黑体" w:cs="Times New Roman"/>
      <w:sz w:val="32"/>
    </w:rPr>
  </w:style>
  <w:style w:type="character" w:customStyle="1" w:styleId="17">
    <w:name w:val="标题 3 Char"/>
    <w:link w:val="5"/>
    <w:qFormat/>
    <w:uiPriority w:val="0"/>
    <w:rPr>
      <w:rFonts w:ascii="楷体_GB2312" w:hAnsi="楷体_GB2312" w:eastAsia="楷体_GB2312" w:cs="Times New Roman"/>
      <w:b/>
      <w:sz w:val="32"/>
    </w:rPr>
  </w:style>
  <w:style w:type="paragraph" w:customStyle="1" w:styleId="18">
    <w:name w:val="表格"/>
    <w:basedOn w:val="1"/>
    <w:qFormat/>
    <w:uiPriority w:val="0"/>
    <w:pPr>
      <w:spacing w:before="20" w:beforeLines="20" w:after="20" w:afterLines="20" w:line="320" w:lineRule="exact"/>
      <w:ind w:left="64" w:leftChars="20" w:right="64" w:rightChars="20" w:firstLine="0" w:firstLineChars="0"/>
    </w:pPr>
    <w:rPr>
      <w:rFonts w:cstheme="minorBidi"/>
      <w:kern w:val="2"/>
      <w:sz w:val="24"/>
      <w:szCs w:val="24"/>
    </w:rPr>
  </w:style>
  <w:style w:type="paragraph" w:customStyle="1" w:styleId="19">
    <w:name w:val="落款"/>
    <w:basedOn w:val="18"/>
    <w:qFormat/>
    <w:uiPriority w:val="0"/>
    <w:pPr>
      <w:spacing w:line="600" w:lineRule="exact"/>
      <w:jc w:val="center"/>
    </w:pPr>
    <w:rPr>
      <w:rFonts w:eastAsia="楷体_GB2312"/>
      <w:sz w:val="32"/>
    </w:rPr>
  </w:style>
  <w:style w:type="paragraph" w:customStyle="1" w:styleId="20">
    <w:name w:val="第X章"/>
    <w:basedOn w:val="1"/>
    <w:next w:val="1"/>
    <w:qFormat/>
    <w:uiPriority w:val="0"/>
    <w:pPr>
      <w:spacing w:before="100" w:beforeLines="100" w:after="100" w:afterLines="100"/>
      <w:ind w:firstLine="0" w:firstLineChars="0"/>
      <w:jc w:val="center"/>
    </w:pPr>
    <w:rPr>
      <w:rFonts w:ascii="黑体" w:hAnsi="黑体" w:eastAsia="黑体" w:cs="Times New Roman"/>
      <w:szCs w:val="32"/>
    </w:rPr>
  </w:style>
  <w:style w:type="paragraph" w:customStyle="1" w:styleId="21">
    <w:name w:val="第X条"/>
    <w:basedOn w:val="1"/>
    <w:next w:val="1"/>
    <w:qFormat/>
    <w:uiPriority w:val="0"/>
    <w:rPr>
      <w:rFonts w:ascii="楷体_GB2312" w:hAnsi="楷体_GB2312" w:eastAsia="楷体_GB2312"/>
      <w:b/>
      <w:bCs/>
      <w:szCs w:val="32"/>
    </w:rPr>
  </w:style>
  <w:style w:type="character" w:customStyle="1" w:styleId="22">
    <w:name w:val="标题 4 Char"/>
    <w:link w:val="6"/>
    <w:qFormat/>
    <w:uiPriority w:val="0"/>
    <w:rPr>
      <w:rFonts w:ascii="仿宋_GB2312" w:hAnsi="仿宋_GB2312" w:eastAsia="仿宋_GB2312"/>
      <w:b/>
      <w:sz w:val="32"/>
    </w:rPr>
  </w:style>
  <w:style w:type="paragraph" w:customStyle="1" w:styleId="23">
    <w:name w:val="落款时间"/>
    <w:basedOn w:val="1"/>
    <w:qFormat/>
    <w:uiPriority w:val="0"/>
    <w:pPr>
      <w:ind w:right="960" w:rightChars="300" w:firstLine="0" w:firstLineChars="0"/>
      <w:jc w:val="right"/>
    </w:pPr>
    <w:rPr>
      <w:szCs w:val="32"/>
    </w:rPr>
  </w:style>
  <w:style w:type="paragraph" w:customStyle="1" w:styleId="24">
    <w:name w:val="附件"/>
    <w:basedOn w:val="1"/>
    <w:next w:val="1"/>
    <w:qFormat/>
    <w:uiPriority w:val="0"/>
    <w:pPr>
      <w:ind w:firstLine="0" w:firstLineChars="0"/>
      <w:jc w:val="left"/>
    </w:pPr>
    <w:rPr>
      <w:rFonts w:ascii="黑体" w:hAnsi="黑体" w:eastAsia="黑体"/>
      <w:szCs w:val="32"/>
    </w:rPr>
  </w:style>
  <w:style w:type="paragraph" w:customStyle="1" w:styleId="25">
    <w:name w:val="图注"/>
    <w:basedOn w:val="1"/>
    <w:qFormat/>
    <w:uiPriority w:val="0"/>
    <w:pPr>
      <w:spacing w:before="25" w:beforeLines="25" w:after="25" w:afterLines="25" w:line="300" w:lineRule="exact"/>
      <w:ind w:left="0" w:hanging="728" w:hangingChars="100"/>
      <w:jc w:val="left"/>
    </w:pPr>
    <w:rPr>
      <w:rFonts w:eastAsia="楷体_GB2312"/>
      <w:sz w:val="21"/>
    </w:rPr>
  </w:style>
  <w:style w:type="paragraph" w:customStyle="1" w:styleId="26">
    <w:name w:val="图片"/>
    <w:basedOn w:val="1"/>
    <w:qFormat/>
    <w:uiPriority w:val="0"/>
    <w:pPr>
      <w:spacing w:line="240" w:lineRule="auto"/>
      <w:ind w:firstLine="0" w:firstLineChars="0"/>
      <w:jc w:val="center"/>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2023-08-29T15:58:00Z</dcterms:created>
  <dc:creator>吴威娜</dc:creator>
  <cp:lastModifiedBy>user</cp:lastModifiedBy>
  <dcterms:modified xsi:type="dcterms:W3CDTF">2025-04-29T09:33:07Z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9393F81400849006824969657C7C9CBB</vt:lpwstr>
  </property>
</Properties>
</file>