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trike/>
          <w:dstrike w:val="0"/>
          <w:sz w:val="32"/>
          <w:szCs w:val="32"/>
        </w:rPr>
      </w:pPr>
      <w:r>
        <w:rPr>
          <w:rFonts w:hint="eastAsia"/>
          <w:b/>
          <w:sz w:val="32"/>
          <w:szCs w:val="32"/>
        </w:rPr>
        <w:t>《浙江省交通建设工程从业主</w:t>
      </w:r>
      <w:r>
        <w:rPr>
          <w:rFonts w:hint="eastAsia"/>
          <w:b/>
          <w:sz w:val="32"/>
          <w:szCs w:val="32"/>
          <w:lang w:val="en-US" w:eastAsia="zh-CN"/>
        </w:rPr>
        <w:t>体</w:t>
      </w:r>
      <w:r>
        <w:rPr>
          <w:rFonts w:hint="eastAsia"/>
          <w:b/>
          <w:sz w:val="32"/>
          <w:szCs w:val="32"/>
        </w:rPr>
        <w:t>信用评价管理细则》修订</w:t>
      </w:r>
      <w:r>
        <w:rPr>
          <w:b/>
          <w:sz w:val="32"/>
          <w:szCs w:val="32"/>
        </w:rPr>
        <w:t>反馈意见及采纳情况</w:t>
      </w:r>
    </w:p>
    <w:tbl>
      <w:tblPr>
        <w:tblStyle w:val="4"/>
        <w:tblpPr w:leftFromText="180" w:rightFromText="180" w:vertAnchor="text" w:horzAnchor="page" w:tblpXSpec="center" w:tblpY="640"/>
        <w:tblOverlap w:val="never"/>
        <w:tblW w:w="8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906"/>
        <w:gridCol w:w="2336"/>
        <w:gridCol w:w="1731"/>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t>序号</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t>条款</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t>建议</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t>是否</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t>采纳</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1</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浙江省交通建设工程从业主体信用评价管理细则》附件6公路水运建设工程从业主体信用行为评价标准中监理企业主体信用评价评分标准的扣分项，扣分分值普遍大幅提高。如JL07评价内容为质量安全、环保监理，评价指标为未按规定进行审批的内容，由原来浙交[2022]68号省交通运输厅关于印发《浙江省公路水运建设工程从业主体信用评价管理细则（试行）》的通知中扣2分/次，提高到5分/次</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将大幅提高的扣分项分值相应降低。</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不采纳，提升扣分分值一是与交通运输部《公路水运工程监理信用评价办法》扣分分值相匹配，二是可以提高从业企业信用评价区分度。</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浙江省交通建设工程从业主体信用评价管理细则》中部分扣分项由原来浙交[2022]68号的通知中的对项目进行扣分，变换到现在扣从业单位综合评分，且扣分类目较多，扣分分值大幅提高，不利于监理企业营商环境，不利于监理企业可持续发展。如JL21评价内容为其他行为，评价指标为被挂牌督办、约谈、行政处罚的内容。</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将该JL21评价内容为其他行为，评价指标为被挂牌督办、约谈、行政处罚的内容条款，依旧对项目进行扣分。</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不采纳，约谈、行政处罚的主体为监理企业，应扣监理企业综合评价得分；挂牌督办扣监理标段分数。</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细则适用范围</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试验检测项目负责人是否包括监理工地试验室的试验室主任</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采纳，在附件6备注里增加“试验检测项目负责人包括施工、监理工地试验室的试验室主任”</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附件5从业人员信用评价负面清单中RF26“项目经理、总监理工程师在其他项目履职时，参与项目招投标”</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在备注中明确履职的岗位是否包含副总监或专业监理工程师岗位。如果招标时，投标总监为其他在建项目的副总监或专业监理工程师，是否也要信用等级降二级？</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部分采纳，RF26修改为“在建项目履职的项目经理、总监理工程师、副总监理工程师参与其他项目招投标，拟任项目经理、总监理工程师的”</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default" w:ascii="仿宋" w:hAnsi="仿宋" w:eastAsia="仿宋" w:cs="仿宋"/>
                <w:color w:val="000000" w:themeColor="text1"/>
                <w:sz w:val="24"/>
                <w:szCs w:val="24"/>
                <w:highlight w:val="none"/>
                <w:lang w:val="en-US" w:eastAsia="zh-CN"/>
                <w14:textFill>
                  <w14:solidFill>
                    <w14:schemeClr w14:val="tx1"/>
                  </w14:solidFill>
                </w14:textFill>
              </w:rPr>
              <w:t>部分条款扣分分值过高</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default" w:ascii="仿宋" w:hAnsi="仿宋" w:eastAsia="仿宋" w:cs="仿宋"/>
                <w:color w:val="000000" w:themeColor="text1"/>
                <w:sz w:val="24"/>
                <w:szCs w:val="24"/>
                <w:highlight w:val="none"/>
                <w:lang w:val="en-US" w:eastAsia="zh-CN"/>
                <w14:textFill>
                  <w14:solidFill>
                    <w14:schemeClr w14:val="tx1"/>
                  </w14:solidFill>
                </w14:textFill>
              </w:rPr>
              <w:t>如JC03（试验检测档案管理不规范）属于现场检测项目最常见问题之一，单项扣5分是否过严。</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部分采纳，修改为第1项扣5分，第2、3项扣2分</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参评范围</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是否对监理企业的参评太具体化了，会不会有可能在一个项目施工单位可以参评，而因监理合同额未到50万不能参评的情况</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不采纳，监理标段参评范围为合同额50万元及以上，与交通运输部《公路水运工程监理信用评价办法》一致</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《新细则》第七条，（三）评价结果发布：除自然人外，从业主体的评价结果通过“浙江交通”网站向社会公开发布，也可通过系统查询并打印。</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自然人（如总监、副总监、试验检测负责人等）从业主体的评价结果也通过“浙江交通”网站向社会公开发布。</w:t>
            </w:r>
          </w:p>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理由：目前在监理评标过程中，人员信用评价结果是用企业账号登录信用评价系统查询截图，评标专家无从核实验证真伪，存在造假风险</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不采纳，根据《浙江省公共信用信息管理条例》第15条和第17条规定，自然人的公共信用信息，通过政务共享和查询的方式披露，除法律、法规有明确规定外，不予公开。</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《新细则》附件第56页（检测科）</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原文：JC18-企业管理，表格中的责任人为试验检测项目负责人。</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认为不合理，不应由试验检测项目负责人作为责任人。</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采纳，附件6备注里增加“JC17与试验检测项目负责人无关的不扣其信用分。”</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b/>
                <w:bCs/>
                <w:strike w:val="0"/>
                <w:dstrike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实施细则中，水运参评项目范围</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水运项目中外海项目与内河项目建设规模差距较大，建议分类设置项目的参评规模。具体意见如下：参评范围调整为“投资额5000万元以上的在建沿海水运建设工程项目或总投资额1000万元以上的在建内河水运建设工程项目。”</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不采纳，当前水运项目参评范围标准已经经过多期信用评价实施，内河水运项目基本可以参与评价，不宜修改</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《新细则》附件第7页，从业单位AA信用评价等级标准原文：铁路施工单位。</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建议：修改为“地方铁路、城际铁路及轨道交通施工单位”</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采纳</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《新细则》附件4，第13页原文：TLQF24  社会责任问题。</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建议增加以下评价指标:</w:t>
            </w:r>
          </w:p>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（1）因施工单位原因未及时将施工临时占地、借地恢复原状，导致上访、投诉事件的，双方另有协定的除外。</w:t>
            </w:r>
          </w:p>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（2）因施工单位原因未及时将施工受损的临近建筑恢复原状，导致上访、投诉事件的，双方另有协定的除外。</w:t>
            </w:r>
          </w:p>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（3）因施工单位原因在工程所在地发生社会治安、刑事事件受处罚的。</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部分采纳，（1）、（2）采纳，第（3）表述不清，缺少操作性，不予采纳。</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《新细则》附件4第14页原文：TLQF27-因施工单位原因故意不移交竣工验收资料，经建设单位书面通知后仍拒不执行。</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建议：因施工单位原因故意不移交竣工验收资料、工程档案等资料，经建设单位书面通知后仍拒不执行</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采纳</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both"/>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《新细则》附件 TLSG21，认定标准为：因施工安全质量问题被……约谈。</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建议：认定标准为：因施工安全质量问题、合同履约问题被……约谈。</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采纳，同步修改从业单位扣分指标</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14</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七、信用评价流程</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（一）评价信息录入</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“……对延迟录入的给予从业主体信用扣分……”</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从业主体仅可提醒、催促建设单位录入，无法掌控信息录入进度，承担信息录入不及时的后果不妥。</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采纳，已删除该项扣分指标</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四、评价范围(二)常规评价项目范围”“1.公路建设项目主体工程(公路路基、路面、桥梁、隧道、交叉工程)合同价在2000万元及以上且项目概算总投资在1亿元及以上的施工标段;</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建议修改为“公路建设项目主体工程(公路路基、路面、桥梁、隧道、交叉工程)合同价在2000万元及以上且项目概算总投资在1亿元及以上的施工标段或合同价在</w:t>
            </w:r>
            <w:r>
              <w:rPr>
                <w:rFonts w:hint="default"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val="en-US" w:eastAsia="zh-CN"/>
                <w14:textFill>
                  <w14:solidFill>
                    <w14:schemeClr w14:val="tx1"/>
                  </w14:solidFill>
                </w14:textFill>
              </w:rPr>
              <w:t>000万元以上的施工标段”。</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采纳</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16</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《浙江省交通建设工程从业主体信用评价管理细则》公开征求意见</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建议增加全国水运信用评价AA级单位在浙江省无参评项目可认定为浙江省信用评价AA级或A级，以避免以不合理条件排斥其他中标人。</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不采纳，没有浙江省信用评价，也可以参与省内项目投标，并无排斥投标。</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17</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《浙江省交通建设工程从业主体信用评价管理细则》公开征求意见</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建议评价周期还是按原来半年一次不变。</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不采纳，交通部信用评价工作周期为每年一次，与交通运输部评价周期一致，减轻基层和企业负担。</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18</w:t>
            </w:r>
          </w:p>
        </w:tc>
        <w:tc>
          <w:tcPr>
            <w:tcW w:w="290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七、信用评价流程（一）评价信息录入中……12月底前未录入项目基础信息和从业主体基础信息的不再参与本周期信用评价，并按负面清单进行动态管理；</w:t>
            </w:r>
          </w:p>
        </w:tc>
        <w:tc>
          <w:tcPr>
            <w:tcW w:w="2336" w:type="dxa"/>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如因建设单位原因项目未及时录入系统，不应将从业主体纳入负面清单进行动态管理。</w:t>
            </w:r>
          </w:p>
        </w:tc>
        <w:tc>
          <w:tcPr>
            <w:tcW w:w="1731"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不采纳，对建设单位不履职的，可向有关交通运输主管部门提出申诉。</w:t>
            </w:r>
          </w:p>
        </w:tc>
        <w:tc>
          <w:tcPr>
            <w:tcW w:w="705"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网站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OTk3ZDZkYWIyMGUxODUzODVlOWU3NWE5YzlmYjIifQ=="/>
  </w:docVars>
  <w:rsids>
    <w:rsidRoot w:val="3A5652F8"/>
    <w:rsid w:val="06E8488A"/>
    <w:rsid w:val="23C464A4"/>
    <w:rsid w:val="2F137585"/>
    <w:rsid w:val="31064E2C"/>
    <w:rsid w:val="3A5652F8"/>
    <w:rsid w:val="5CC7796B"/>
    <w:rsid w:val="655E2519"/>
    <w:rsid w:val="6B5B68D1"/>
    <w:rsid w:val="6E6D2704"/>
    <w:rsid w:val="73A920C8"/>
    <w:rsid w:val="74650514"/>
    <w:rsid w:val="74721D55"/>
    <w:rsid w:val="7FA4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20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2024-04-09T07:47:00Z</dcterms:created>
  <dc:creator>94092</dc:creator>
  <cp:lastModifiedBy>94092</cp:lastModifiedBy>
  <dcterms:modified xsi:type="dcterms:W3CDTF">2024-04-17T03:28:04Z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55C1C617B20E4DCDA3BB06B862334EAD_11</vt:lpwstr>
  </property>
</Properties>
</file>