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center"/>
        <w:rPr>
          <w:rFonts w:eastAsia="方正小标宋简体" w:cs="Times New Roman"/>
          <w:color w:val="auto"/>
          <w:sz w:val="44"/>
          <w:szCs w:val="44"/>
          <w:lang w:bidi="ar"/>
        </w:rPr>
      </w:pPr>
      <w:r>
        <w:rPr>
          <w:rFonts w:eastAsia="方正小标宋简体" w:cs="Times New Roman"/>
          <w:color w:val="auto"/>
          <w:sz w:val="44"/>
          <w:szCs w:val="44"/>
          <w:lang w:bidi="ar"/>
        </w:rPr>
        <w:t>关于推进磐安县小微企业园高质量发展的</w:t>
      </w:r>
    </w:p>
    <w:p>
      <w:pPr>
        <w:autoSpaceDE w:val="0"/>
        <w:autoSpaceDN w:val="0"/>
        <w:spacing w:line="600" w:lineRule="exact"/>
        <w:jc w:val="center"/>
        <w:rPr>
          <w:rFonts w:eastAsia="方正小标宋简体" w:cs="Times New Roman"/>
          <w:color w:val="auto"/>
          <w:lang w:bidi="ar"/>
        </w:rPr>
      </w:pPr>
      <w:r>
        <w:rPr>
          <w:rFonts w:eastAsia="方正小标宋简体" w:cs="Times New Roman"/>
          <w:color w:val="auto"/>
          <w:sz w:val="44"/>
          <w:szCs w:val="44"/>
          <w:lang w:bidi="ar"/>
        </w:rPr>
        <w:t>实施意见（征求意见稿）</w:t>
      </w:r>
    </w:p>
    <w:p>
      <w:pPr>
        <w:autoSpaceDE w:val="0"/>
        <w:autoSpaceDN w:val="0"/>
        <w:spacing w:line="560" w:lineRule="exact"/>
        <w:ind w:firstLine="640" w:firstLineChars="200"/>
        <w:rPr>
          <w:rFonts w:cs="Times New Roman"/>
          <w:color w:val="auto"/>
          <w:lang w:bidi="ar"/>
        </w:rPr>
      </w:pPr>
    </w:p>
    <w:p>
      <w:pPr>
        <w:autoSpaceDE w:val="0"/>
        <w:autoSpaceDN w:val="0"/>
        <w:spacing w:line="560" w:lineRule="exact"/>
        <w:ind w:firstLine="640" w:firstLineChars="200"/>
        <w:rPr>
          <w:rFonts w:cs="Times New Roman"/>
          <w:color w:val="auto"/>
          <w:szCs w:val="32"/>
          <w:lang w:bidi="ar"/>
        </w:rPr>
      </w:pPr>
      <w:r>
        <w:rPr>
          <w:rFonts w:cs="Times New Roman"/>
          <w:color w:val="auto"/>
          <w:szCs w:val="32"/>
          <w:lang w:bidi="ar"/>
        </w:rPr>
        <w:t>为全面推进磐安县小微企业园高质量发展，着力打造小微企业创业创新和成长发展的特色化平台载体，根据《中共浙江省委办公厅 浙江省人民政府办公厅关于加快小微企业园高质量发展的实施意见》（浙委办发</w:t>
      </w:r>
      <w:r>
        <w:rPr>
          <w:rFonts w:hint="eastAsia" w:cs="Times New Roman"/>
          <w:color w:val="auto"/>
          <w:szCs w:val="32"/>
          <w:lang w:eastAsia="zh-CN" w:bidi="ar"/>
        </w:rPr>
        <w:t>【</w:t>
      </w:r>
      <w:r>
        <w:rPr>
          <w:rFonts w:hint="eastAsia" w:cs="Times New Roman"/>
          <w:color w:val="auto"/>
          <w:szCs w:val="32"/>
          <w:lang w:val="en-US" w:eastAsia="zh-CN" w:bidi="ar"/>
        </w:rPr>
        <w:t>2018</w:t>
      </w:r>
      <w:r>
        <w:rPr>
          <w:rFonts w:hint="eastAsia" w:cs="Times New Roman"/>
          <w:color w:val="auto"/>
          <w:szCs w:val="32"/>
          <w:lang w:eastAsia="zh-CN" w:bidi="ar"/>
        </w:rPr>
        <w:t>】</w:t>
      </w:r>
      <w:r>
        <w:rPr>
          <w:rFonts w:cs="Times New Roman"/>
          <w:color w:val="auto"/>
          <w:szCs w:val="32"/>
          <w:lang w:bidi="ar"/>
        </w:rPr>
        <w:t>59号）、《浙江省小微企业园工作联席会议办公室关于印发浙江省推进小微企业园提质升级行动计划的通知》（浙小微园办</w:t>
      </w:r>
      <w:r>
        <w:rPr>
          <w:rFonts w:hint="eastAsia" w:cs="Times New Roman"/>
          <w:color w:val="auto"/>
          <w:szCs w:val="32"/>
          <w:lang w:eastAsia="zh-CN" w:bidi="ar"/>
        </w:rPr>
        <w:t>【</w:t>
      </w:r>
      <w:r>
        <w:rPr>
          <w:rFonts w:hint="eastAsia" w:cs="Times New Roman"/>
          <w:color w:val="auto"/>
          <w:szCs w:val="32"/>
          <w:lang w:val="en-US" w:eastAsia="zh-CN" w:bidi="ar"/>
        </w:rPr>
        <w:t>2024</w:t>
      </w:r>
      <w:r>
        <w:rPr>
          <w:rFonts w:hint="eastAsia" w:cs="Times New Roman"/>
          <w:color w:val="auto"/>
          <w:szCs w:val="32"/>
          <w:lang w:eastAsia="zh-CN" w:bidi="ar"/>
        </w:rPr>
        <w:t>】</w:t>
      </w:r>
      <w:r>
        <w:rPr>
          <w:rFonts w:cs="Times New Roman"/>
          <w:color w:val="auto"/>
          <w:szCs w:val="32"/>
          <w:lang w:bidi="ar"/>
        </w:rPr>
        <w:t>2号）、金华市《关于推进小微企业园高质量发展的实施意见》（</w:t>
      </w:r>
      <w:r>
        <w:rPr>
          <w:rFonts w:hint="eastAsia" w:cs="Times New Roman"/>
          <w:color w:val="auto"/>
          <w:szCs w:val="32"/>
          <w:lang w:eastAsia="zh-CN" w:bidi="ar"/>
        </w:rPr>
        <w:t>金经信企业【</w:t>
      </w:r>
      <w:r>
        <w:rPr>
          <w:rFonts w:hint="eastAsia" w:cs="Times New Roman"/>
          <w:color w:val="auto"/>
          <w:szCs w:val="32"/>
          <w:lang w:val="en-US" w:eastAsia="zh-CN" w:bidi="ar"/>
        </w:rPr>
        <w:t>2024</w:t>
      </w:r>
      <w:r>
        <w:rPr>
          <w:rFonts w:hint="eastAsia" w:cs="Times New Roman"/>
          <w:color w:val="auto"/>
          <w:szCs w:val="32"/>
          <w:lang w:eastAsia="zh-CN" w:bidi="ar"/>
        </w:rPr>
        <w:t>】</w:t>
      </w:r>
      <w:r>
        <w:rPr>
          <w:rFonts w:hint="eastAsia" w:cs="Times New Roman"/>
          <w:color w:val="auto"/>
          <w:szCs w:val="32"/>
          <w:lang w:val="en-US" w:eastAsia="zh-CN" w:bidi="ar"/>
        </w:rPr>
        <w:t>203号</w:t>
      </w:r>
      <w:r>
        <w:rPr>
          <w:rFonts w:cs="Times New Roman"/>
          <w:color w:val="auto"/>
          <w:szCs w:val="32"/>
          <w:lang w:bidi="ar"/>
        </w:rPr>
        <w:t>）等文件精神，结合磐安县实际，提出以下实施意见。</w:t>
      </w:r>
    </w:p>
    <w:p>
      <w:pPr>
        <w:autoSpaceDE w:val="0"/>
        <w:autoSpaceDN w:val="0"/>
        <w:spacing w:line="560" w:lineRule="exact"/>
        <w:ind w:firstLine="640" w:firstLineChars="200"/>
        <w:rPr>
          <w:rFonts w:eastAsia="黑体" w:cs="Times New Roman"/>
          <w:color w:val="auto"/>
          <w:szCs w:val="32"/>
          <w:lang w:bidi="ar"/>
        </w:rPr>
      </w:pPr>
      <w:r>
        <w:rPr>
          <w:rFonts w:hint="eastAsia" w:eastAsia="黑体" w:cs="Times New Roman"/>
          <w:color w:val="auto"/>
          <w:szCs w:val="32"/>
          <w:lang w:eastAsia="zh-CN" w:bidi="ar"/>
        </w:rPr>
        <w:t>一</w:t>
      </w:r>
      <w:r>
        <w:rPr>
          <w:rFonts w:eastAsia="黑体" w:cs="Times New Roman"/>
          <w:color w:val="auto"/>
          <w:szCs w:val="32"/>
          <w:lang w:bidi="ar"/>
        </w:rPr>
        <w:t>、主要任务</w:t>
      </w:r>
    </w:p>
    <w:p>
      <w:pPr>
        <w:autoSpaceDE w:val="0"/>
        <w:autoSpaceDN w:val="0"/>
        <w:spacing w:line="560" w:lineRule="exact"/>
        <w:ind w:firstLine="640" w:firstLineChars="200"/>
        <w:rPr>
          <w:rFonts w:eastAsia="楷体_GB2312" w:cs="Times New Roman"/>
          <w:color w:val="auto"/>
          <w:szCs w:val="32"/>
          <w:lang w:bidi="ar"/>
        </w:rPr>
      </w:pPr>
      <w:r>
        <w:rPr>
          <w:rFonts w:eastAsia="楷体_GB2312" w:cs="Times New Roman"/>
          <w:color w:val="auto"/>
          <w:szCs w:val="32"/>
          <w:lang w:bidi="ar"/>
        </w:rPr>
        <w:t>（一）</w:t>
      </w:r>
      <w:r>
        <w:rPr>
          <w:rFonts w:hint="eastAsia" w:eastAsia="楷体_GB2312" w:cs="Times New Roman"/>
          <w:color w:val="auto"/>
          <w:szCs w:val="32"/>
          <w:lang w:eastAsia="zh-CN" w:bidi="ar"/>
        </w:rPr>
        <w:t>明确发展</w:t>
      </w:r>
      <w:r>
        <w:rPr>
          <w:rFonts w:eastAsia="楷体_GB2312" w:cs="Times New Roman"/>
          <w:color w:val="auto"/>
          <w:szCs w:val="32"/>
          <w:lang w:bidi="ar"/>
        </w:rPr>
        <w:t>定位</w:t>
      </w:r>
    </w:p>
    <w:p>
      <w:pPr>
        <w:autoSpaceDE w:val="0"/>
        <w:autoSpaceDN w:val="0"/>
        <w:spacing w:line="560" w:lineRule="exact"/>
        <w:ind w:firstLine="640" w:firstLineChars="200"/>
        <w:rPr>
          <w:rFonts w:eastAsia="楷体_GB2312" w:cs="Times New Roman"/>
          <w:color w:val="auto"/>
          <w:szCs w:val="32"/>
          <w:lang w:bidi="ar"/>
        </w:rPr>
      </w:pPr>
      <w:r>
        <w:rPr>
          <w:rFonts w:eastAsia="楷体_GB2312" w:cs="Times New Roman"/>
          <w:color w:val="auto"/>
          <w:szCs w:val="32"/>
          <w:lang w:bidi="ar"/>
        </w:rPr>
        <w:t>1.打造特色化园区。</w:t>
      </w:r>
      <w:r>
        <w:rPr>
          <w:rFonts w:cs="Times New Roman"/>
          <w:color w:val="auto"/>
          <w:szCs w:val="32"/>
          <w:lang w:bidi="ar"/>
        </w:rPr>
        <w:t>坚持准公共属性，按照“生产、生活、生态”融合理念，将小微企业园打造成为中小微企业集聚、规范、创新、绿色、安全、高质量发展的特色化基础性平台。结合产业基础再造和产业链提升，坚持“一园一业”“一园一品”，把小微企业园打造成为我</w:t>
      </w:r>
      <w:r>
        <w:rPr>
          <w:rFonts w:hint="eastAsia" w:cs="Times New Roman"/>
          <w:color w:val="auto"/>
          <w:szCs w:val="32"/>
          <w:lang w:eastAsia="zh-CN" w:bidi="ar"/>
        </w:rPr>
        <w:t>县</w:t>
      </w:r>
      <w:r>
        <w:rPr>
          <w:rFonts w:cs="Times New Roman"/>
          <w:color w:val="auto"/>
          <w:szCs w:val="32"/>
          <w:lang w:bidi="ar"/>
        </w:rPr>
        <w:t>支持中小微企业“专精特新”发展的特色化平台</w:t>
      </w:r>
      <w:r>
        <w:rPr>
          <w:rFonts w:hint="eastAsia" w:cs="Times New Roman"/>
          <w:color w:val="auto"/>
          <w:szCs w:val="32"/>
          <w:lang w:eastAsia="zh-CN" w:bidi="ar"/>
        </w:rPr>
        <w:t>。</w:t>
      </w:r>
      <w:r>
        <w:rPr>
          <w:rFonts w:eastAsia="楷体_GB2312" w:cs="Times New Roman"/>
          <w:color w:val="auto"/>
          <w:szCs w:val="32"/>
          <w:lang w:bidi="ar"/>
        </w:rPr>
        <w:t>（责任单位：县发改局、县经商局、县资规局。以下均需各乡镇&lt;街道&gt;、区块落实，不再列出。）</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 w:cs="Times New Roman"/>
          <w:color w:val="auto"/>
          <w:szCs w:val="32"/>
          <w:lang w:bidi="ar"/>
        </w:rPr>
        <w:t>2.打造高端化园区。</w:t>
      </w:r>
      <w:r>
        <w:rPr>
          <w:rFonts w:cs="Times New Roman"/>
          <w:color w:val="auto"/>
          <w:szCs w:val="32"/>
          <w:lang w:bidi="ar"/>
        </w:rPr>
        <w:t>聚焦产业高端化和园区品牌化，</w:t>
      </w:r>
      <w:r>
        <w:rPr>
          <w:rFonts w:cs="Times New Roman"/>
          <w:color w:val="000000" w:themeColor="text1"/>
          <w:szCs w:val="32"/>
          <w:lang w:bidi="ar"/>
          <w14:textFill>
            <w14:solidFill>
              <w14:schemeClr w14:val="tx1"/>
            </w14:solidFill>
          </w14:textFill>
        </w:rPr>
        <w:t>创建一批国家小型微型企业创业创新示范基地和四星级、五星级园区；</w:t>
      </w:r>
      <w:r>
        <w:rPr>
          <w:rFonts w:cs="Times New Roman"/>
          <w:color w:val="auto"/>
          <w:szCs w:val="32"/>
          <w:lang w:bidi="ar"/>
        </w:rPr>
        <w:t>聚焦优质企业培育和亩均效益提升，培育一批省级</w:t>
      </w:r>
      <w:r>
        <w:rPr>
          <w:rFonts w:cs="Times New Roman"/>
          <w:color w:val="000000" w:themeColor="text1"/>
          <w:szCs w:val="32"/>
          <w:highlight w:val="none"/>
          <w:u w:val="none"/>
          <w:lang w:bidi="ar"/>
          <w14:textFill>
            <w14:solidFill>
              <w14:schemeClr w14:val="tx1"/>
            </w14:solidFill>
          </w14:textFill>
        </w:rPr>
        <w:t>“专精特新”中小企业、高新技术企业、科技型中小企业和“小升规”企业；探索具有引领性、示范性、标杆性的现代产业社区（未来园区）样板。</w:t>
      </w:r>
      <w:r>
        <w:rPr>
          <w:rFonts w:eastAsia="楷体_GB2312" w:cs="Times New Roman"/>
          <w:color w:val="000000" w:themeColor="text1"/>
          <w:szCs w:val="32"/>
          <w:highlight w:val="none"/>
          <w:u w:val="none"/>
          <w:lang w:bidi="ar"/>
          <w14:textFill>
            <w14:solidFill>
              <w14:schemeClr w14:val="tx1"/>
            </w14:solidFill>
          </w14:textFill>
        </w:rPr>
        <w:t>（责任单位：县发改局、县经商局、县科技局</w:t>
      </w:r>
      <w:r>
        <w:rPr>
          <w:rFonts w:hint="eastAsia" w:eastAsia="楷体_GB2312" w:cs="Times New Roman"/>
          <w:color w:val="000000" w:themeColor="text1"/>
          <w:szCs w:val="32"/>
          <w:highlight w:val="none"/>
          <w:u w:val="none"/>
          <w:lang w:eastAsia="zh-CN" w:bidi="ar"/>
          <w14:textFill>
            <w14:solidFill>
              <w14:schemeClr w14:val="tx1"/>
            </w14:solidFill>
          </w14:textFill>
        </w:rPr>
        <w:t>、县市场监管局</w:t>
      </w:r>
      <w:r>
        <w:rPr>
          <w:rFonts w:eastAsia="楷体_GB2312" w:cs="Times New Roman"/>
          <w:color w:val="000000" w:themeColor="text1"/>
          <w:szCs w:val="32"/>
          <w:highlight w:val="none"/>
          <w:u w:val="none"/>
          <w:lang w:bidi="ar"/>
          <w14:textFill>
            <w14:solidFill>
              <w14:schemeClr w14:val="tx1"/>
            </w14:solidFill>
          </w14:textFill>
        </w:rPr>
        <w:t>）</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 w:cs="Times New Roman"/>
          <w:color w:val="000000" w:themeColor="text1"/>
          <w:szCs w:val="32"/>
          <w:highlight w:val="none"/>
          <w:u w:val="none"/>
          <w:lang w:bidi="ar"/>
          <w14:textFill>
            <w14:solidFill>
              <w14:schemeClr w14:val="tx1"/>
            </w14:solidFill>
          </w14:textFill>
        </w:rPr>
        <w:t>3</w:t>
      </w:r>
      <w:r>
        <w:rPr>
          <w:rFonts w:eastAsia="楷体_GB2312" w:cs="Times New Roman"/>
          <w:color w:val="auto"/>
          <w:szCs w:val="32"/>
          <w:lang w:bidi="ar"/>
        </w:rPr>
        <w:t>.打造智能化园区。</w:t>
      </w:r>
      <w:r>
        <w:rPr>
          <w:rFonts w:cs="Times New Roman"/>
          <w:strike w:val="0"/>
          <w:dstrike w:val="0"/>
          <w:color w:val="000000" w:themeColor="text1"/>
          <w:szCs w:val="32"/>
          <w:highlight w:val="none"/>
          <w:u w:val="none"/>
          <w:lang w:bidi="ar"/>
          <w14:textFill>
            <w14:solidFill>
              <w14:schemeClr w14:val="tx1"/>
            </w14:solidFill>
          </w14:textFill>
        </w:rPr>
        <w:t>按照“管用实用、降低成本”原则，建设园区智慧化管理系统，加强园区网络信息基础设施建设，建设园区数字化管理平台，</w:t>
      </w:r>
      <w:r>
        <w:rPr>
          <w:rFonts w:cs="Times New Roman"/>
          <w:color w:val="000000" w:themeColor="text1"/>
          <w:szCs w:val="32"/>
          <w:highlight w:val="none"/>
          <w:u w:val="none"/>
          <w:lang w:bidi="ar"/>
          <w14:textFill>
            <w14:solidFill>
              <w14:schemeClr w14:val="tx1"/>
            </w14:solidFill>
          </w14:textFill>
        </w:rPr>
        <w:t>运用物联网、大数据等新一代信息技术，对园区人流、物流、用能和生产经营等情况进行高效精准智慧化管理，提升园区数字化管理水平。</w:t>
      </w:r>
      <w:r>
        <w:rPr>
          <w:rFonts w:eastAsia="楷体_GB2312" w:cs="Times New Roman"/>
          <w:color w:val="000000" w:themeColor="text1"/>
          <w:szCs w:val="32"/>
          <w:highlight w:val="none"/>
          <w:u w:val="none"/>
          <w:lang w:bidi="ar"/>
          <w14:textFill>
            <w14:solidFill>
              <w14:schemeClr w14:val="tx1"/>
            </w14:solidFill>
          </w14:textFill>
        </w:rPr>
        <w:t>（责任单位：县发改局、县经商局、县大数据局</w:t>
      </w:r>
      <w:bookmarkStart w:id="0" w:name="_GoBack"/>
      <w:bookmarkEnd w:id="0"/>
      <w:r>
        <w:rPr>
          <w:rFonts w:eastAsia="楷体_GB2312" w:cs="Times New Roman"/>
          <w:color w:val="000000" w:themeColor="text1"/>
          <w:szCs w:val="32"/>
          <w:highlight w:val="none"/>
          <w:u w:val="none"/>
          <w:lang w:bidi="ar"/>
          <w14:textFill>
            <w14:solidFill>
              <w14:schemeClr w14:val="tx1"/>
            </w14:solidFill>
          </w14:textFill>
        </w:rPr>
        <w:t>）</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4.打造绿色化园区。</w:t>
      </w:r>
      <w:r>
        <w:rPr>
          <w:rFonts w:cs="Times New Roman"/>
          <w:color w:val="000000" w:themeColor="text1"/>
          <w:szCs w:val="32"/>
          <w:highlight w:val="none"/>
          <w:u w:val="none"/>
          <w:lang w:bidi="ar"/>
          <w14:textFill>
            <w14:solidFill>
              <w14:schemeClr w14:val="tx1"/>
            </w14:solidFill>
          </w14:textFill>
        </w:rPr>
        <w:t>推广园区“光伏+储能+能源管控系统”建设，鼓励开展电能替代，引导园区进行。鼓励园区引入废弃物循环利用系统、智慧能耗监测系统，推动园区绿色低碳化发展。</w:t>
      </w:r>
      <w:r>
        <w:rPr>
          <w:rFonts w:eastAsia="楷体_GB2312" w:cs="Times New Roman"/>
          <w:color w:val="000000" w:themeColor="text1"/>
          <w:szCs w:val="32"/>
          <w:highlight w:val="none"/>
          <w:u w:val="none"/>
          <w:lang w:bidi="ar"/>
          <w14:textFill>
            <w14:solidFill>
              <w14:schemeClr w14:val="tx1"/>
            </w14:solidFill>
          </w14:textFill>
        </w:rPr>
        <w:t>（责任单位：县发改局、县经商局、生态环境分局、供电公司）</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_GB2312" w:cs="Times New Roman"/>
          <w:color w:val="000000" w:themeColor="text1"/>
          <w:szCs w:val="32"/>
          <w:highlight w:val="none"/>
          <w:u w:val="none"/>
          <w:lang w:bidi="ar"/>
          <w14:textFill>
            <w14:solidFill>
              <w14:schemeClr w14:val="tx1"/>
            </w14:solidFill>
          </w14:textFill>
        </w:rPr>
        <w:t>（二）</w:t>
      </w:r>
      <w:r>
        <w:rPr>
          <w:rFonts w:hint="eastAsia" w:eastAsia="楷体_GB2312" w:cs="Times New Roman"/>
          <w:color w:val="000000" w:themeColor="text1"/>
          <w:szCs w:val="32"/>
          <w:highlight w:val="none"/>
          <w:u w:val="none"/>
          <w:lang w:eastAsia="zh-CN" w:bidi="ar"/>
          <w14:textFill>
            <w14:solidFill>
              <w14:schemeClr w14:val="tx1"/>
            </w14:solidFill>
          </w14:textFill>
        </w:rPr>
        <w:t>优化规划</w:t>
      </w:r>
      <w:r>
        <w:rPr>
          <w:rFonts w:eastAsia="楷体_GB2312" w:cs="Times New Roman"/>
          <w:color w:val="000000" w:themeColor="text1"/>
          <w:szCs w:val="32"/>
          <w:highlight w:val="none"/>
          <w:u w:val="none"/>
          <w:lang w:bidi="ar"/>
          <w14:textFill>
            <w14:solidFill>
              <w14:schemeClr w14:val="tx1"/>
            </w14:solidFill>
          </w14:textFill>
        </w:rPr>
        <w:t>设计</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5.</w:t>
      </w:r>
      <w:r>
        <w:rPr>
          <w:rFonts w:hint="eastAsia" w:eastAsia="楷体_GB2312" w:cs="Times New Roman"/>
          <w:color w:val="auto"/>
          <w:szCs w:val="32"/>
          <w:lang w:eastAsia="zh-CN" w:bidi="ar"/>
        </w:rPr>
        <w:t>加强产业统筹</w:t>
      </w:r>
      <w:r>
        <w:rPr>
          <w:rFonts w:eastAsia="楷体_GB2312" w:cs="Times New Roman"/>
          <w:color w:val="auto"/>
          <w:szCs w:val="32"/>
          <w:lang w:bidi="ar"/>
        </w:rPr>
        <w:t>。</w:t>
      </w:r>
      <w:r>
        <w:rPr>
          <w:rFonts w:cs="Times New Roman"/>
          <w:color w:val="000000" w:themeColor="text1"/>
          <w:szCs w:val="32"/>
          <w:highlight w:val="none"/>
          <w:u w:val="none"/>
          <w:lang w:bidi="ar"/>
          <w14:textFill>
            <w14:solidFill>
              <w14:schemeClr w14:val="tx1"/>
            </w14:solidFill>
          </w14:textFill>
        </w:rPr>
        <w:t>按照“与时俱进、因地制宜、科学布局、适度超前”的原则，动态编制小微企业园建设规划或方案，</w:t>
      </w:r>
      <w:r>
        <w:rPr>
          <w:rFonts w:hint="eastAsia" w:cs="Times New Roman"/>
          <w:color w:val="000000" w:themeColor="text1"/>
          <w:szCs w:val="32"/>
          <w:highlight w:val="none"/>
          <w:u w:val="none"/>
          <w:lang w:val="en-US" w:eastAsia="zh-CN" w:bidi="ar"/>
          <w14:textFill>
            <w14:solidFill>
              <w14:schemeClr w14:val="tx1"/>
            </w14:solidFill>
          </w14:textFill>
        </w:rPr>
        <w:t>合理布局小微企业园</w:t>
      </w:r>
      <w:r>
        <w:rPr>
          <w:rFonts w:cs="Times New Roman"/>
          <w:color w:val="000000" w:themeColor="text1"/>
          <w:szCs w:val="32"/>
          <w:highlight w:val="none"/>
          <w:u w:val="none"/>
          <w:lang w:bidi="ar"/>
          <w14:textFill>
            <w14:solidFill>
              <w14:schemeClr w14:val="tx1"/>
            </w14:solidFill>
          </w14:textFill>
        </w:rPr>
        <w:t>。对传统制造业集中的乡镇（街道）、区块，鼓励建设一批产业集聚度高、专业化水平高的小微企业园。对新兴产业和科创企业集聚地区，鼓励建设一批“孵化器+加速器+产业园”一体化的小微企业园。新规划建设园区的主导产业应是中医药健康智造、中医药高端装备制造、新能源智造、电子信息制造、塑料制品、五金制品、汽摩配等产业链的产业。主导产业企业占比</w:t>
      </w:r>
      <w:r>
        <w:rPr>
          <w:rFonts w:hint="eastAsia" w:cs="Times New Roman"/>
          <w:color w:val="000000" w:themeColor="text1"/>
          <w:szCs w:val="32"/>
          <w:highlight w:val="none"/>
          <w:u w:val="none"/>
          <w:lang w:val="en-US" w:eastAsia="zh-CN" w:bidi="ar"/>
          <w14:textFill>
            <w14:solidFill>
              <w14:schemeClr w14:val="tx1"/>
            </w14:solidFill>
          </w14:textFill>
        </w:rPr>
        <w:t>65</w:t>
      </w:r>
      <w:r>
        <w:rPr>
          <w:rFonts w:cs="Times New Roman"/>
          <w:color w:val="000000" w:themeColor="text1"/>
          <w:szCs w:val="32"/>
          <w:highlight w:val="none"/>
          <w:u w:val="none"/>
          <w:lang w:bidi="ar"/>
          <w14:textFill>
            <w14:solidFill>
              <w14:schemeClr w14:val="tx1"/>
            </w14:solidFill>
          </w14:textFill>
        </w:rPr>
        <w:t>%以上。</w:t>
      </w:r>
      <w:r>
        <w:rPr>
          <w:rFonts w:hint="eastAsia" w:cs="Times New Roman"/>
          <w:color w:val="000000" w:themeColor="text1"/>
          <w:szCs w:val="32"/>
          <w:highlight w:val="none"/>
          <w:u w:val="none"/>
          <w:lang w:eastAsia="zh-CN" w:bidi="ar"/>
          <w14:textFill>
            <w14:solidFill>
              <w14:schemeClr w14:val="tx1"/>
            </w14:solidFill>
          </w14:textFill>
        </w:rPr>
        <w:t>园区规划建设前应当开展环境影响评价。</w:t>
      </w:r>
      <w:r>
        <w:rPr>
          <w:rFonts w:eastAsia="楷体_GB2312" w:cs="Times New Roman"/>
          <w:color w:val="000000" w:themeColor="text1"/>
          <w:szCs w:val="32"/>
          <w:highlight w:val="none"/>
          <w:u w:val="none"/>
          <w:lang w:bidi="ar"/>
          <w14:textFill>
            <w14:solidFill>
              <w14:schemeClr w14:val="tx1"/>
            </w14:solidFill>
          </w14:textFill>
        </w:rPr>
        <w:t>（责任单位：县发改局、县经商局、县资规局</w:t>
      </w:r>
      <w:r>
        <w:rPr>
          <w:rFonts w:hint="eastAsia" w:eastAsia="楷体_GB2312" w:cs="Times New Roman"/>
          <w:color w:val="000000" w:themeColor="text1"/>
          <w:szCs w:val="32"/>
          <w:highlight w:val="none"/>
          <w:u w:val="none"/>
          <w:lang w:eastAsia="zh-CN" w:bidi="ar"/>
          <w14:textFill>
            <w14:solidFill>
              <w14:schemeClr w14:val="tx1"/>
            </w14:solidFill>
          </w14:textFill>
        </w:rPr>
        <w:t>、生态环境分局</w:t>
      </w:r>
      <w:r>
        <w:rPr>
          <w:rFonts w:eastAsia="楷体_GB2312" w:cs="Times New Roman"/>
          <w:color w:val="000000" w:themeColor="text1"/>
          <w:szCs w:val="32"/>
          <w:highlight w:val="none"/>
          <w:u w:val="none"/>
          <w:lang w:bidi="ar"/>
          <w14:textFill>
            <w14:solidFill>
              <w14:schemeClr w14:val="tx1"/>
            </w14:solidFill>
          </w14:textFill>
        </w:rPr>
        <w:t>）</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6.明确</w:t>
      </w:r>
      <w:r>
        <w:rPr>
          <w:rFonts w:hint="eastAsia" w:eastAsia="楷体_GB2312" w:cs="Times New Roman"/>
          <w:color w:val="auto"/>
          <w:szCs w:val="32"/>
          <w:lang w:eastAsia="zh-CN" w:bidi="ar"/>
        </w:rPr>
        <w:t>规划</w:t>
      </w:r>
      <w:r>
        <w:rPr>
          <w:rFonts w:eastAsia="楷体_GB2312" w:cs="Times New Roman"/>
          <w:color w:val="auto"/>
          <w:szCs w:val="32"/>
          <w:lang w:bidi="ar"/>
        </w:rPr>
        <w:t>要求。</w:t>
      </w:r>
      <w:r>
        <w:rPr>
          <w:rFonts w:cs="Times New Roman"/>
          <w:color w:val="000000" w:themeColor="text1"/>
          <w:szCs w:val="32"/>
          <w:highlight w:val="none"/>
          <w:u w:val="none"/>
          <w:lang w:bidi="ar"/>
          <w14:textFill>
            <w14:solidFill>
              <w14:schemeClr w14:val="tx1"/>
            </w14:solidFill>
          </w14:textFill>
        </w:rPr>
        <w:t>新规划建设的生产制造类小微企业园原则上占地面积应在70亩以上或建筑面积7万平方</w:t>
      </w:r>
      <w:r>
        <w:rPr>
          <w:rFonts w:hint="eastAsia" w:cs="Times New Roman"/>
          <w:color w:val="000000" w:themeColor="text1"/>
          <w:szCs w:val="32"/>
          <w:highlight w:val="none"/>
          <w:u w:val="none"/>
          <w:lang w:eastAsia="zh-CN" w:bidi="ar"/>
          <w14:textFill>
            <w14:solidFill>
              <w14:schemeClr w14:val="tx1"/>
            </w14:solidFill>
          </w14:textFill>
        </w:rPr>
        <w:t>米</w:t>
      </w:r>
      <w:r>
        <w:rPr>
          <w:rFonts w:cs="Times New Roman"/>
          <w:color w:val="000000" w:themeColor="text1"/>
          <w:szCs w:val="32"/>
          <w:highlight w:val="none"/>
          <w:u w:val="none"/>
          <w:lang w:bidi="ar"/>
          <w14:textFill>
            <w14:solidFill>
              <w14:schemeClr w14:val="tx1"/>
            </w14:solidFill>
          </w14:textFill>
        </w:rPr>
        <w:t>，厂房消防等级应在“丙类”（含）以上，原则上容积率在2.0以上。根据不同产业类型小微企业园确定建筑密度、厂房层高等方面的标准和要求。提高制造业小微企业园规划建设比重，确保新增小微企业园以制造业小微企业园为主。小微企业园项目用地范围内不得建造不符合规划功能用途的成套住宅、宾馆</w:t>
      </w:r>
      <w:r>
        <w:rPr>
          <w:rFonts w:hint="eastAsia" w:cs="Times New Roman"/>
          <w:color w:val="000000" w:themeColor="text1"/>
          <w:szCs w:val="32"/>
          <w:highlight w:val="none"/>
          <w:u w:val="none"/>
          <w:lang w:eastAsia="zh-CN" w:bidi="ar"/>
          <w14:textFill>
            <w14:solidFill>
              <w14:schemeClr w14:val="tx1"/>
            </w14:solidFill>
          </w14:textFill>
        </w:rPr>
        <w:t>、专家楼</w:t>
      </w:r>
      <w:r>
        <w:rPr>
          <w:rFonts w:cs="Times New Roman"/>
          <w:color w:val="000000" w:themeColor="text1"/>
          <w:szCs w:val="32"/>
          <w:highlight w:val="none"/>
          <w:u w:val="none"/>
          <w:lang w:bidi="ar"/>
          <w14:textFill>
            <w14:solidFill>
              <w14:schemeClr w14:val="tx1"/>
            </w14:solidFill>
          </w14:textFill>
        </w:rPr>
        <w:t>等设施。</w:t>
      </w:r>
      <w:r>
        <w:rPr>
          <w:rFonts w:eastAsia="楷体_GB2312" w:cs="Times New Roman"/>
          <w:color w:val="000000" w:themeColor="text1"/>
          <w:szCs w:val="32"/>
          <w:highlight w:val="none"/>
          <w:u w:val="none"/>
          <w:lang w:bidi="ar"/>
          <w14:textFill>
            <w14:solidFill>
              <w14:schemeClr w14:val="tx1"/>
            </w14:solidFill>
          </w14:textFill>
        </w:rPr>
        <w:t>（责任单位：县经商局、县资规局、县建设局）</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7.优化</w:t>
      </w:r>
      <w:r>
        <w:rPr>
          <w:rFonts w:hint="eastAsia" w:eastAsia="楷体_GB2312" w:cs="Times New Roman"/>
          <w:color w:val="auto"/>
          <w:szCs w:val="32"/>
          <w:lang w:eastAsia="zh-CN" w:bidi="ar"/>
        </w:rPr>
        <w:t>配套</w:t>
      </w:r>
      <w:r>
        <w:rPr>
          <w:rFonts w:eastAsia="楷体_GB2312" w:cs="Times New Roman"/>
          <w:color w:val="auto"/>
          <w:szCs w:val="32"/>
          <w:lang w:bidi="ar"/>
        </w:rPr>
        <w:t>设计。</w:t>
      </w:r>
      <w:r>
        <w:rPr>
          <w:rFonts w:cs="Times New Roman"/>
          <w:color w:val="000000" w:themeColor="text1"/>
          <w:szCs w:val="32"/>
          <w:highlight w:val="none"/>
          <w:u w:val="none"/>
          <w:lang w:bidi="ar"/>
          <w14:textFill>
            <w14:solidFill>
              <w14:schemeClr w14:val="tx1"/>
            </w14:solidFill>
          </w14:textFill>
        </w:rPr>
        <w:t>优化提级小微企业园的总体设计标准，合理布局道路、车位、电力、消防、安全、信息网络、物流仓储、供热供气、商务办公、住宿餐饮、物业管理等生产性和生活性服务配套设施</w:t>
      </w:r>
      <w:r>
        <w:rPr>
          <w:rFonts w:hint="eastAsia" w:cs="Times New Roman"/>
          <w:color w:val="000000" w:themeColor="text1"/>
          <w:szCs w:val="32"/>
          <w:highlight w:val="none"/>
          <w:u w:val="none"/>
          <w:lang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有条件的园区应设置服务大厅或服务窗口。</w:t>
      </w:r>
      <w:r>
        <w:rPr>
          <w:rFonts w:eastAsia="楷体_GB2312" w:cs="Times New Roman"/>
          <w:color w:val="000000" w:themeColor="text1"/>
          <w:szCs w:val="32"/>
          <w:highlight w:val="none"/>
          <w:u w:val="none"/>
          <w:lang w:bidi="ar"/>
          <w14:textFill>
            <w14:solidFill>
              <w14:schemeClr w14:val="tx1"/>
            </w14:solidFill>
          </w14:textFill>
        </w:rPr>
        <w:t>（责任单位：县发改局、县经</w:t>
      </w:r>
      <w:r>
        <w:rPr>
          <w:rFonts w:hint="eastAsia" w:eastAsia="楷体_GB2312" w:cs="Times New Roman"/>
          <w:color w:val="000000" w:themeColor="text1"/>
          <w:szCs w:val="32"/>
          <w:highlight w:val="none"/>
          <w:u w:val="none"/>
          <w:lang w:eastAsia="zh-CN" w:bidi="ar"/>
          <w14:textFill>
            <w14:solidFill>
              <w14:schemeClr w14:val="tx1"/>
            </w14:solidFill>
          </w14:textFill>
        </w:rPr>
        <w:t>商</w:t>
      </w:r>
      <w:r>
        <w:rPr>
          <w:rFonts w:eastAsia="楷体_GB2312" w:cs="Times New Roman"/>
          <w:color w:val="000000" w:themeColor="text1"/>
          <w:szCs w:val="32"/>
          <w:highlight w:val="none"/>
          <w:u w:val="none"/>
          <w:lang w:bidi="ar"/>
          <w14:textFill>
            <w14:solidFill>
              <w14:schemeClr w14:val="tx1"/>
            </w14:solidFill>
          </w14:textFill>
        </w:rPr>
        <w:t>局、县资规局、生态环境分局、县建设局、县应急管理局、县消防救援支队、供电公司）</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_GB2312" w:cs="Times New Roman"/>
          <w:color w:val="000000" w:themeColor="text1"/>
          <w:szCs w:val="32"/>
          <w:highlight w:val="none"/>
          <w:u w:val="none"/>
          <w:lang w:bidi="ar"/>
          <w14:textFill>
            <w14:solidFill>
              <w14:schemeClr w14:val="tx1"/>
            </w14:solidFill>
          </w14:textFill>
        </w:rPr>
        <w:t>（三）</w:t>
      </w:r>
      <w:r>
        <w:rPr>
          <w:rFonts w:hint="eastAsia" w:eastAsia="楷体_GB2312" w:cs="Times New Roman"/>
          <w:color w:val="000000" w:themeColor="text1"/>
          <w:szCs w:val="32"/>
          <w:highlight w:val="none"/>
          <w:u w:val="none"/>
          <w:lang w:eastAsia="zh-CN" w:bidi="ar"/>
          <w14:textFill>
            <w14:solidFill>
              <w14:schemeClr w14:val="tx1"/>
            </w14:solidFill>
          </w14:textFill>
        </w:rPr>
        <w:t>规范</w:t>
      </w:r>
      <w:r>
        <w:rPr>
          <w:rFonts w:eastAsia="楷体_GB2312" w:cs="Times New Roman"/>
          <w:color w:val="000000" w:themeColor="text1"/>
          <w:szCs w:val="32"/>
          <w:highlight w:val="none"/>
          <w:u w:val="none"/>
          <w:lang w:bidi="ar"/>
          <w14:textFill>
            <w14:solidFill>
              <w14:schemeClr w14:val="tx1"/>
            </w14:solidFill>
          </w14:textFill>
        </w:rPr>
        <w:t>开发建设</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8.鼓励多元开发。</w:t>
      </w:r>
      <w:r>
        <w:rPr>
          <w:rFonts w:cs="Times New Roman"/>
          <w:color w:val="000000" w:themeColor="text1"/>
          <w:szCs w:val="32"/>
          <w:highlight w:val="none"/>
          <w:u w:val="none"/>
          <w:lang w:bidi="ar"/>
          <w14:textFill>
            <w14:solidFill>
              <w14:schemeClr w14:val="tx1"/>
            </w14:solidFill>
          </w14:textFill>
        </w:rPr>
        <w:t>坚持以政府开发为主导，龙头企业、行业协会等其他市场主体开发为辅的多元开发模式（</w:t>
      </w:r>
      <w:r>
        <w:rPr>
          <w:rFonts w:hint="eastAsia" w:cs="Times New Roman"/>
          <w:color w:val="000000" w:themeColor="text1"/>
          <w:szCs w:val="32"/>
          <w:highlight w:val="none"/>
          <w:u w:val="none"/>
          <w:lang w:val="en-US" w:eastAsia="zh-CN" w:bidi="ar"/>
          <w14:textFill>
            <w14:solidFill>
              <w14:schemeClr w14:val="tx1"/>
            </w14:solidFill>
          </w14:textFill>
        </w:rPr>
        <w:t>国有企业、民营企业等多元市场主体</w:t>
      </w:r>
      <w:r>
        <w:rPr>
          <w:rFonts w:cs="Times New Roman"/>
          <w:color w:val="000000" w:themeColor="text1"/>
          <w:szCs w:val="32"/>
          <w:highlight w:val="none"/>
          <w:u w:val="none"/>
          <w:lang w:bidi="ar"/>
          <w14:textFill>
            <w14:solidFill>
              <w14:schemeClr w14:val="tx1"/>
            </w14:solidFill>
          </w14:textFill>
        </w:rPr>
        <w:t>开发模式），加大政府对小微企业园建设的投入力度。支持跨区域合作，采用“飞地”模式建设小微企业园，共建“科创飞地”“产业飞地”。支持结合对老旧工业点、成片标准厂房、小微企业集聚片区的整体改造，建设小微企业园。</w:t>
      </w:r>
      <w:r>
        <w:rPr>
          <w:rFonts w:eastAsia="楷体_GB2312" w:cs="Times New Roman"/>
          <w:color w:val="000000" w:themeColor="text1"/>
          <w:szCs w:val="32"/>
          <w:highlight w:val="none"/>
          <w:u w:val="none"/>
          <w:lang w:bidi="ar"/>
          <w14:textFill>
            <w14:solidFill>
              <w14:schemeClr w14:val="tx1"/>
            </w14:solidFill>
          </w14:textFill>
        </w:rPr>
        <w:t>（责任单位：</w:t>
      </w:r>
      <w:r>
        <w:rPr>
          <w:rFonts w:hint="eastAsia" w:eastAsia="楷体_GB2312" w:cs="Times New Roman"/>
          <w:color w:val="000000" w:themeColor="text1"/>
          <w:szCs w:val="32"/>
          <w:highlight w:val="none"/>
          <w:u w:val="none"/>
          <w:lang w:eastAsia="zh-CN" w:bidi="ar"/>
          <w14:textFill>
            <w14:solidFill>
              <w14:schemeClr w14:val="tx1"/>
            </w14:solidFill>
          </w14:textFill>
        </w:rPr>
        <w:t>县发改局、</w:t>
      </w:r>
      <w:r>
        <w:rPr>
          <w:rFonts w:eastAsia="楷体_GB2312" w:cs="Times New Roman"/>
          <w:color w:val="000000" w:themeColor="text1"/>
          <w:szCs w:val="32"/>
          <w:highlight w:val="none"/>
          <w:u w:val="none"/>
          <w:lang w:bidi="ar"/>
          <w14:textFill>
            <w14:solidFill>
              <w14:schemeClr w14:val="tx1"/>
            </w14:solidFill>
          </w14:textFill>
        </w:rPr>
        <w:t>县经商局、县科技局、县资规局、县建设局）</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9.加强建设管理。</w:t>
      </w:r>
      <w:r>
        <w:rPr>
          <w:rFonts w:cs="Times New Roman"/>
          <w:color w:val="000000" w:themeColor="text1"/>
          <w:szCs w:val="32"/>
          <w:highlight w:val="none"/>
          <w:u w:val="none"/>
          <w:lang w:bidi="ar"/>
          <w14:textFill>
            <w14:solidFill>
              <w14:schemeClr w14:val="tx1"/>
            </w14:solidFill>
          </w14:textFill>
        </w:rPr>
        <w:t>各</w:t>
      </w:r>
      <w:r>
        <w:rPr>
          <w:rFonts w:eastAsia="楷体_GB2312" w:cs="Times New Roman"/>
          <w:color w:val="000000" w:themeColor="text1"/>
          <w:szCs w:val="32"/>
          <w:highlight w:val="none"/>
          <w:u w:val="none"/>
          <w:lang w:bidi="ar"/>
          <w14:textFill>
            <w14:solidFill>
              <w14:schemeClr w14:val="tx1"/>
            </w14:solidFill>
          </w14:textFill>
        </w:rPr>
        <w:t>乡镇（街道）、区块</w:t>
      </w:r>
      <w:r>
        <w:rPr>
          <w:rFonts w:cs="Times New Roman"/>
          <w:color w:val="000000" w:themeColor="text1"/>
          <w:szCs w:val="32"/>
          <w:highlight w:val="none"/>
          <w:u w:val="none"/>
          <w:lang w:bidi="ar"/>
          <w14:textFill>
            <w14:solidFill>
              <w14:schemeClr w14:val="tx1"/>
            </w14:solidFill>
          </w14:textFill>
        </w:rPr>
        <w:t>要制定小微企业园分年度建设计划，并对在建和新开工小微企业园项目实行全流程清单式管理。依法办理规划和用地审批、施工许可、消防安全、能评、环评、招投标等手续。</w:t>
      </w:r>
      <w:r>
        <w:rPr>
          <w:rFonts w:hint="eastAsia" w:cs="Times New Roman"/>
          <w:color w:val="000000" w:themeColor="text1"/>
          <w:szCs w:val="32"/>
          <w:highlight w:val="none"/>
          <w:u w:val="none"/>
          <w:lang w:eastAsia="zh-CN" w:bidi="ar"/>
          <w14:textFill>
            <w14:solidFill>
              <w14:schemeClr w14:val="tx1"/>
            </w14:solidFill>
          </w14:textFill>
        </w:rPr>
        <w:t>厂房和非生产性用房均完成竣工验收的小微企业园项目，可进行审核认定。</w:t>
      </w:r>
      <w:r>
        <w:rPr>
          <w:rFonts w:cs="Times New Roman"/>
          <w:color w:val="000000" w:themeColor="text1"/>
          <w:szCs w:val="32"/>
          <w:highlight w:val="none"/>
          <w:u w:val="none"/>
          <w:lang w:bidi="ar"/>
          <w14:textFill>
            <w14:solidFill>
              <w14:schemeClr w14:val="tx1"/>
            </w14:solidFill>
          </w14:textFill>
        </w:rPr>
        <w:t>规模较大、分期建设的小微企业园可分期进行审核认定。</w:t>
      </w:r>
      <w:r>
        <w:rPr>
          <w:rFonts w:eastAsia="楷体_GB2312" w:cs="Times New Roman"/>
          <w:color w:val="000000" w:themeColor="text1"/>
          <w:szCs w:val="32"/>
          <w:highlight w:val="none"/>
          <w:u w:val="none"/>
          <w:lang w:bidi="ar"/>
          <w14:textFill>
            <w14:solidFill>
              <w14:schemeClr w14:val="tx1"/>
            </w14:solidFill>
          </w14:textFill>
        </w:rPr>
        <w:t>（责任单位：县发改局、县经商局、县资规局、生态环境分局、县建设局、县应急管理局、县消防救援支队）</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10.推动存量提升。</w:t>
      </w:r>
      <w:r>
        <w:rPr>
          <w:rFonts w:hint="eastAsia" w:cs="Times New Roman"/>
          <w:strike w:val="0"/>
          <w:dstrike w:val="0"/>
          <w:color w:val="000000" w:themeColor="text1"/>
          <w:szCs w:val="32"/>
          <w:highlight w:val="none"/>
          <w:u w:val="none"/>
          <w:lang w:eastAsia="zh-CN" w:bidi="ar"/>
          <w14:textFill>
            <w14:solidFill>
              <w14:schemeClr w14:val="tx1"/>
            </w14:solidFill>
          </w14:textFill>
        </w:rPr>
        <w:t>鼓励</w:t>
      </w:r>
      <w:r>
        <w:rPr>
          <w:rFonts w:cs="Times New Roman"/>
          <w:color w:val="000000" w:themeColor="text1"/>
          <w:szCs w:val="32"/>
          <w:highlight w:val="none"/>
          <w:u w:val="none"/>
          <w:lang w:bidi="ar"/>
          <w14:textFill>
            <w14:solidFill>
              <w14:schemeClr w14:val="tx1"/>
            </w14:solidFill>
          </w14:textFill>
        </w:rPr>
        <w:t>经省级认定的存量园区对照标准创建高星级园区和数字化示范园区，实现提档升级。</w:t>
      </w:r>
      <w:r>
        <w:rPr>
          <w:rFonts w:hint="eastAsia" w:cs="Times New Roman"/>
          <w:color w:val="000000" w:themeColor="text1"/>
          <w:szCs w:val="32"/>
          <w:highlight w:val="none"/>
          <w:u w:val="none"/>
          <w:lang w:eastAsia="zh-CN" w:bidi="ar"/>
          <w14:textFill>
            <w14:solidFill>
              <w14:schemeClr w14:val="tx1"/>
            </w14:solidFill>
          </w14:textFill>
        </w:rPr>
        <w:t>鼓励通过工业用地有机更新、盘活低效用地等方式进行扩容或连片重整，</w:t>
      </w:r>
      <w:r>
        <w:rPr>
          <w:rFonts w:cs="Times New Roman"/>
          <w:strike w:val="0"/>
          <w:dstrike w:val="0"/>
          <w:color w:val="000000" w:themeColor="text1"/>
          <w:szCs w:val="32"/>
          <w:highlight w:val="none"/>
          <w:u w:val="none"/>
          <w:lang w:bidi="ar"/>
          <w14:textFill>
            <w14:solidFill>
              <w14:schemeClr w14:val="tx1"/>
            </w14:solidFill>
          </w14:textFill>
        </w:rPr>
        <w:t>鼓励通过提高园区容积率</w:t>
      </w:r>
      <w:r>
        <w:rPr>
          <w:rFonts w:hint="eastAsia" w:cs="Times New Roman"/>
          <w:color w:val="000000" w:themeColor="text1"/>
          <w:szCs w:val="32"/>
          <w:highlight w:val="none"/>
          <w:u w:val="none"/>
          <w:lang w:eastAsia="zh-CN" w:bidi="ar"/>
          <w14:textFill>
            <w14:solidFill>
              <w14:schemeClr w14:val="tx1"/>
            </w14:solidFill>
          </w14:textFill>
        </w:rPr>
        <w:t>扩大园区体量</w:t>
      </w:r>
      <w:r>
        <w:rPr>
          <w:rFonts w:cs="Times New Roman"/>
          <w:strike w:val="0"/>
          <w:dstrike w:val="0"/>
          <w:color w:val="000000" w:themeColor="text1"/>
          <w:szCs w:val="32"/>
          <w:highlight w:val="none"/>
          <w:u w:val="none"/>
          <w:lang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提升园区亩均效益。</w:t>
      </w:r>
      <w:r>
        <w:rPr>
          <w:rFonts w:eastAsia="楷体_GB2312" w:cs="Times New Roman"/>
          <w:color w:val="000000" w:themeColor="text1"/>
          <w:szCs w:val="32"/>
          <w:highlight w:val="none"/>
          <w:u w:val="none"/>
          <w:lang w:bidi="ar"/>
          <w14:textFill>
            <w14:solidFill>
              <w14:schemeClr w14:val="tx1"/>
            </w14:solidFill>
          </w14:textFill>
        </w:rPr>
        <w:t>（责任单位：县经商局、县资规局、县建设局）</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_GB2312" w:cs="Times New Roman"/>
          <w:color w:val="000000" w:themeColor="text1"/>
          <w:szCs w:val="32"/>
          <w:highlight w:val="none"/>
          <w:u w:val="none"/>
          <w:lang w:bidi="ar"/>
          <w14:textFill>
            <w14:solidFill>
              <w14:schemeClr w14:val="tx1"/>
            </w14:solidFill>
          </w14:textFill>
        </w:rPr>
        <w:t>（四）</w:t>
      </w:r>
      <w:r>
        <w:rPr>
          <w:rFonts w:hint="eastAsia" w:eastAsia="楷体_GB2312" w:cs="Times New Roman"/>
          <w:color w:val="000000" w:themeColor="text1"/>
          <w:szCs w:val="32"/>
          <w:highlight w:val="none"/>
          <w:u w:val="none"/>
          <w:lang w:eastAsia="zh-CN" w:bidi="ar"/>
          <w14:textFill>
            <w14:solidFill>
              <w14:schemeClr w14:val="tx1"/>
            </w14:solidFill>
          </w14:textFill>
        </w:rPr>
        <w:t>加强培育</w:t>
      </w:r>
      <w:r>
        <w:rPr>
          <w:rFonts w:eastAsia="楷体_GB2312" w:cs="Times New Roman"/>
          <w:color w:val="000000" w:themeColor="text1"/>
          <w:szCs w:val="32"/>
          <w:highlight w:val="none"/>
          <w:u w:val="none"/>
          <w:lang w:bidi="ar"/>
          <w14:textFill>
            <w14:solidFill>
              <w14:schemeClr w14:val="tx1"/>
            </w14:solidFill>
          </w14:textFill>
        </w:rPr>
        <w:t>发展</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11.优选入园企业。</w:t>
      </w:r>
      <w:r>
        <w:rPr>
          <w:rFonts w:cs="Times New Roman"/>
          <w:color w:val="000000" w:themeColor="text1"/>
          <w:szCs w:val="32"/>
          <w:highlight w:val="none"/>
          <w:u w:val="none"/>
          <w:lang w:bidi="ar"/>
          <w14:textFill>
            <w14:solidFill>
              <w14:schemeClr w14:val="tx1"/>
            </w14:solidFill>
          </w14:textFill>
        </w:rPr>
        <w:t>明确企业入园的基本条件、产业导向、入驻流程</w:t>
      </w:r>
      <w:r>
        <w:rPr>
          <w:rFonts w:hint="eastAsia" w:cs="Times New Roman"/>
          <w:color w:val="000000" w:themeColor="text1"/>
          <w:szCs w:val="32"/>
          <w:highlight w:val="none"/>
          <w:u w:val="none"/>
          <w:lang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对拟入园企业进行</w:t>
      </w:r>
      <w:r>
        <w:rPr>
          <w:rFonts w:hint="eastAsia" w:cs="Times New Roman"/>
          <w:color w:val="000000" w:themeColor="text1"/>
          <w:szCs w:val="32"/>
          <w:highlight w:val="none"/>
          <w:u w:val="none"/>
          <w:lang w:eastAsia="zh-CN" w:bidi="ar"/>
          <w14:textFill>
            <w14:solidFill>
              <w14:schemeClr w14:val="tx1"/>
            </w14:solidFill>
          </w14:textFill>
        </w:rPr>
        <w:t>综合评价</w:t>
      </w:r>
      <w:r>
        <w:rPr>
          <w:rFonts w:cs="Times New Roman"/>
          <w:color w:val="000000" w:themeColor="text1"/>
          <w:szCs w:val="32"/>
          <w:highlight w:val="none"/>
          <w:u w:val="none"/>
          <w:lang w:bidi="ar"/>
          <w14:textFill>
            <w14:solidFill>
              <w14:schemeClr w14:val="tx1"/>
            </w14:solidFill>
          </w14:textFill>
        </w:rPr>
        <w:t>，引导同行业企业、产业链上下游企业入园集聚发展。</w:t>
      </w:r>
      <w:r>
        <w:rPr>
          <w:rFonts w:hint="eastAsia" w:cs="Times New Roman"/>
          <w:color w:val="000000" w:themeColor="text1"/>
          <w:szCs w:val="32"/>
          <w:highlight w:val="none"/>
          <w:u w:val="none"/>
          <w:lang w:eastAsia="zh-CN" w:bidi="ar"/>
          <w14:textFill>
            <w14:solidFill>
              <w14:schemeClr w14:val="tx1"/>
            </w14:solidFill>
          </w14:textFill>
        </w:rPr>
        <w:t>支持优质企业优先入园发展。</w:t>
      </w:r>
      <w:r>
        <w:rPr>
          <w:rFonts w:eastAsia="楷体_GB2312" w:cs="Times New Roman"/>
          <w:color w:val="000000" w:themeColor="text1"/>
          <w:szCs w:val="32"/>
          <w:highlight w:val="none"/>
          <w:u w:val="none"/>
          <w:lang w:bidi="ar"/>
          <w14:textFill>
            <w14:solidFill>
              <w14:schemeClr w14:val="tx1"/>
            </w14:solidFill>
          </w14:textFill>
        </w:rPr>
        <w:t>（责任单位：</w:t>
      </w:r>
      <w:r>
        <w:rPr>
          <w:rFonts w:hint="eastAsia" w:eastAsia="楷体_GB2312" w:cs="Times New Roman"/>
          <w:color w:val="000000" w:themeColor="text1"/>
          <w:szCs w:val="32"/>
          <w:highlight w:val="none"/>
          <w:u w:val="none"/>
          <w:lang w:val="en-US" w:eastAsia="zh-CN" w:bidi="ar"/>
          <w14:textFill>
            <w14:solidFill>
              <w14:schemeClr w14:val="tx1"/>
            </w14:solidFill>
          </w14:textFill>
        </w:rPr>
        <w:t>县发改局、县生态环境分局、</w:t>
      </w:r>
      <w:r>
        <w:rPr>
          <w:rFonts w:eastAsia="楷体_GB2312" w:cs="Times New Roman"/>
          <w:color w:val="000000" w:themeColor="text1"/>
          <w:szCs w:val="32"/>
          <w:highlight w:val="none"/>
          <w:u w:val="none"/>
          <w:lang w:bidi="ar"/>
          <w14:textFill>
            <w14:solidFill>
              <w14:schemeClr w14:val="tx1"/>
            </w14:solidFill>
          </w14:textFill>
        </w:rPr>
        <w:t>县经商局、县资规局、县建设局）</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12.加强梯度培育。</w:t>
      </w:r>
      <w:r>
        <w:rPr>
          <w:rFonts w:cs="Times New Roman"/>
          <w:color w:val="000000" w:themeColor="text1"/>
          <w:szCs w:val="32"/>
          <w:highlight w:val="none"/>
          <w:u w:val="none"/>
          <w:lang w:bidi="ar"/>
          <w14:textFill>
            <w14:solidFill>
              <w14:schemeClr w14:val="tx1"/>
            </w14:solidFill>
          </w14:textFill>
        </w:rPr>
        <w:t>充分发挥小微企业园在产业集群、企业集聚、要素集约、服务集成和治理集中等方面的优势，实施入园企业梯度培育计划，引导入园企业向“专精特新”发展，加快推进“小升规、规改股、股上市”。</w:t>
      </w:r>
      <w:r>
        <w:rPr>
          <w:rFonts w:eastAsia="楷体_GB2312" w:cs="Times New Roman"/>
          <w:color w:val="000000" w:themeColor="text1"/>
          <w:szCs w:val="32"/>
          <w:highlight w:val="none"/>
          <w:u w:val="none"/>
          <w:lang w:bidi="ar"/>
          <w14:textFill>
            <w14:solidFill>
              <w14:schemeClr w14:val="tx1"/>
            </w14:solidFill>
          </w14:textFill>
        </w:rPr>
        <w:t>（责任单位：县经商局、科技局、</w:t>
      </w:r>
      <w:r>
        <w:rPr>
          <w:rFonts w:hint="eastAsia" w:eastAsia="楷体_GB2312" w:cs="Times New Roman"/>
          <w:color w:val="000000" w:themeColor="text1"/>
          <w:szCs w:val="32"/>
          <w:highlight w:val="none"/>
          <w:u w:val="none"/>
          <w:lang w:eastAsia="zh-CN" w:bidi="ar"/>
          <w14:textFill>
            <w14:solidFill>
              <w14:schemeClr w14:val="tx1"/>
            </w14:solidFill>
          </w14:textFill>
        </w:rPr>
        <w:t>市场监管局、</w:t>
      </w:r>
      <w:r>
        <w:rPr>
          <w:rFonts w:eastAsia="楷体_GB2312" w:cs="Times New Roman"/>
          <w:color w:val="000000" w:themeColor="text1"/>
          <w:szCs w:val="32"/>
          <w:highlight w:val="none"/>
          <w:u w:val="none"/>
          <w:lang w:bidi="ar"/>
          <w14:textFill>
            <w14:solidFill>
              <w14:schemeClr w14:val="tx1"/>
            </w14:solidFill>
          </w14:textFill>
        </w:rPr>
        <w:t>金融办）</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13.推进腾笼换鸟。</w:t>
      </w:r>
      <w:r>
        <w:rPr>
          <w:rFonts w:cs="Times New Roman"/>
          <w:color w:val="000000" w:themeColor="text1"/>
          <w:szCs w:val="32"/>
          <w:highlight w:val="none"/>
          <w:u w:val="none"/>
          <w:lang w:bidi="ar"/>
          <w14:textFill>
            <w14:solidFill>
              <w14:schemeClr w14:val="tx1"/>
            </w14:solidFill>
          </w14:textFill>
        </w:rPr>
        <w:t>明确入园企业退园的标准和流程，实施正向激励和反向倒逼措施，</w:t>
      </w:r>
      <w:r>
        <w:rPr>
          <w:rFonts w:hint="eastAsia" w:cs="Times New Roman"/>
          <w:strike w:val="0"/>
          <w:dstrike w:val="0"/>
          <w:color w:val="000000" w:themeColor="text1"/>
          <w:szCs w:val="32"/>
          <w:highlight w:val="none"/>
          <w:u w:val="none"/>
          <w:lang w:eastAsia="zh-CN" w:bidi="ar"/>
          <w14:textFill>
            <w14:solidFill>
              <w14:schemeClr w14:val="tx1"/>
            </w14:solidFill>
          </w14:textFill>
        </w:rPr>
        <w:t>及时</w:t>
      </w:r>
      <w:r>
        <w:rPr>
          <w:rFonts w:cs="Times New Roman"/>
          <w:color w:val="000000" w:themeColor="text1"/>
          <w:szCs w:val="32"/>
          <w:highlight w:val="none"/>
          <w:u w:val="none"/>
          <w:lang w:bidi="ar"/>
          <w14:textFill>
            <w14:solidFill>
              <w14:schemeClr w14:val="tx1"/>
            </w14:solidFill>
          </w14:textFill>
        </w:rPr>
        <w:t>清退不合规入园企业，对亩均效益综合评价排位末档或未达到其他约定条件的已入园企业，及时予以整改，对整改仍不达标的依法依规倒逼退出，有序推动园内企业“腾笼换鸟”，避免造成“低散乱”企业集聚。</w:t>
      </w:r>
      <w:r>
        <w:rPr>
          <w:rFonts w:eastAsia="楷体_GB2312" w:cs="Times New Roman"/>
          <w:color w:val="000000" w:themeColor="text1"/>
          <w:szCs w:val="32"/>
          <w:highlight w:val="none"/>
          <w:u w:val="none"/>
          <w:lang w:bidi="ar"/>
          <w14:textFill>
            <w14:solidFill>
              <w14:schemeClr w14:val="tx1"/>
            </w14:solidFill>
          </w14:textFill>
        </w:rPr>
        <w:t>（责任单位：县发改局、县经商局、县资规局、生态环境分局、县建设局、县应急管理局、县统计局、消防救援支队）</w:t>
      </w:r>
    </w:p>
    <w:p>
      <w:pPr>
        <w:autoSpaceDE w:val="0"/>
        <w:autoSpaceDN w:val="0"/>
        <w:spacing w:line="560" w:lineRule="exact"/>
        <w:ind w:firstLine="640" w:firstLineChars="200"/>
        <w:rPr>
          <w:rFonts w:hint="eastAsia" w:eastAsia="楷体_GB2312" w:cs="Times New Roman"/>
          <w:color w:val="000000" w:themeColor="text1"/>
          <w:szCs w:val="32"/>
          <w:highlight w:val="none"/>
          <w:u w:val="none"/>
          <w:lang w:eastAsia="zh-CN" w:bidi="ar"/>
          <w14:textFill>
            <w14:solidFill>
              <w14:schemeClr w14:val="tx1"/>
            </w14:solidFill>
          </w14:textFill>
        </w:rPr>
      </w:pPr>
      <w:r>
        <w:rPr>
          <w:rFonts w:eastAsia="楷体_GB2312" w:cs="Times New Roman"/>
          <w:color w:val="000000" w:themeColor="text1"/>
          <w:szCs w:val="32"/>
          <w:highlight w:val="none"/>
          <w:u w:val="none"/>
          <w:lang w:bidi="ar"/>
          <w14:textFill>
            <w14:solidFill>
              <w14:schemeClr w14:val="tx1"/>
            </w14:solidFill>
          </w14:textFill>
        </w:rPr>
        <w:t>（五）</w:t>
      </w:r>
      <w:r>
        <w:rPr>
          <w:rFonts w:hint="eastAsia" w:eastAsia="楷体_GB2312" w:cs="Times New Roman"/>
          <w:color w:val="000000" w:themeColor="text1"/>
          <w:szCs w:val="32"/>
          <w:highlight w:val="none"/>
          <w:u w:val="none"/>
          <w:lang w:eastAsia="zh-CN" w:bidi="ar"/>
          <w14:textFill>
            <w14:solidFill>
              <w14:schemeClr w14:val="tx1"/>
            </w14:solidFill>
          </w14:textFill>
        </w:rPr>
        <w:t>提升管理水平</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14.</w:t>
      </w:r>
      <w:r>
        <w:rPr>
          <w:rFonts w:hint="eastAsia" w:eastAsia="楷体_GB2312" w:cs="Times New Roman"/>
          <w:color w:val="auto"/>
          <w:szCs w:val="32"/>
          <w:lang w:eastAsia="zh-CN" w:bidi="ar"/>
        </w:rPr>
        <w:t>加强运营管理</w:t>
      </w:r>
      <w:r>
        <w:rPr>
          <w:rFonts w:eastAsia="楷体_GB2312" w:cs="Times New Roman"/>
          <w:color w:val="auto"/>
          <w:szCs w:val="32"/>
          <w:lang w:bidi="ar"/>
        </w:rPr>
        <w:t>。</w:t>
      </w:r>
      <w:r>
        <w:rPr>
          <w:rFonts w:cs="Times New Roman"/>
          <w:color w:val="000000" w:themeColor="text1"/>
          <w:szCs w:val="32"/>
          <w:highlight w:val="none"/>
          <w:u w:val="none"/>
          <w:lang w:bidi="ar"/>
          <w14:textFill>
            <w14:solidFill>
              <w14:schemeClr w14:val="tx1"/>
            </w14:solidFill>
          </w14:textFill>
        </w:rPr>
        <w:t>推动园区管理服务标准化、规范化建设，培育和引进集企业招引、运营管理、产业链服务于一体的品牌化、专业化小微企业园运营管理机构，支持其开展连锁经营和“一地多园”联动运营管理。</w:t>
      </w:r>
      <w:r>
        <w:rPr>
          <w:rFonts w:eastAsia="楷体_GB2312" w:cs="Times New Roman"/>
          <w:color w:val="000000" w:themeColor="text1"/>
          <w:szCs w:val="32"/>
          <w:highlight w:val="none"/>
          <w:u w:val="none"/>
          <w:lang w:bidi="ar"/>
          <w14:textFill>
            <w14:solidFill>
              <w14:schemeClr w14:val="tx1"/>
            </w14:solidFill>
          </w14:textFill>
        </w:rPr>
        <w:t>（责任单位：县经商局）</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15.加强安全管理。</w:t>
      </w:r>
      <w:r>
        <w:rPr>
          <w:rFonts w:cs="Times New Roman"/>
          <w:color w:val="000000" w:themeColor="text1"/>
          <w:szCs w:val="32"/>
          <w:highlight w:val="none"/>
          <w:u w:val="none"/>
          <w:lang w:bidi="ar"/>
          <w14:textFill>
            <w14:solidFill>
              <w14:schemeClr w14:val="tx1"/>
            </w14:solidFill>
          </w14:textFill>
        </w:rPr>
        <w:t>建立属地政府、部门、乡镇（街道）、园区、入园企业各负其责、齐抓共管的小微企业园安全管理体系。贯彻落实《浙江省安全生产条例》《浙江省消防条例》《浙江省小微园区（厂中厂）安全管理暂行规定》，经信部门应指导督促园区落实安全主体责任，明确安全管理机构和安全管理人员。应急管理部门应依法实施园内企业安全生产监督检查，监督园内企业隐患排查治理和安全生产教育培训。消防救援机构应依法实施园内企业消防监督检查，督促园内企业开展消防安全宣传教育培训工作和应急疏散演练。</w:t>
      </w:r>
      <w:r>
        <w:rPr>
          <w:rFonts w:eastAsia="楷体_GB2312" w:cs="Times New Roman"/>
          <w:color w:val="000000" w:themeColor="text1"/>
          <w:szCs w:val="32"/>
          <w:highlight w:val="none"/>
          <w:u w:val="none"/>
          <w:lang w:bidi="ar"/>
          <w14:textFill>
            <w14:solidFill>
              <w14:schemeClr w14:val="tx1"/>
            </w14:solidFill>
          </w14:textFill>
        </w:rPr>
        <w:t>（责任单位：县经商局、县应急管理局、消防救援支队、县建设局）</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_GB2312" w:cs="Times New Roman"/>
          <w:color w:val="auto"/>
          <w:szCs w:val="32"/>
          <w:lang w:bidi="ar"/>
        </w:rPr>
        <w:t>16.严格考核评价。</w:t>
      </w:r>
      <w:r>
        <w:rPr>
          <w:rFonts w:hint="eastAsia" w:cs="Times New Roman"/>
          <w:color w:val="000000" w:themeColor="text1"/>
          <w:szCs w:val="32"/>
          <w:highlight w:val="none"/>
          <w:u w:val="none"/>
          <w:lang w:eastAsia="zh-CN" w:bidi="ar"/>
          <w14:textFill>
            <w14:solidFill>
              <w14:schemeClr w14:val="tx1"/>
            </w14:solidFill>
          </w14:textFill>
        </w:rPr>
        <w:t>持续迭代完善建设运维质量评价、星级评定指标体系，争创一批绩效高、配套全、服务好、环境优的高星级园区和省专精特新产业园。将建设运维质量评价结果作为园区运营机构、开发主体实施政策激励和资源要素差别化配置依据。</w:t>
      </w:r>
      <w:r>
        <w:rPr>
          <w:rFonts w:eastAsia="楷体_GB2312" w:cs="Times New Roman"/>
          <w:color w:val="000000" w:themeColor="text1"/>
          <w:szCs w:val="32"/>
          <w:highlight w:val="none"/>
          <w:u w:val="none"/>
          <w:lang w:bidi="ar"/>
          <w14:textFill>
            <w14:solidFill>
              <w14:schemeClr w14:val="tx1"/>
            </w14:solidFill>
          </w14:textFill>
        </w:rPr>
        <w:t>（责任单位：县经商局、财政局）</w:t>
      </w:r>
    </w:p>
    <w:p>
      <w:pPr>
        <w:autoSpaceDE w:val="0"/>
        <w:autoSpaceDN w:val="0"/>
        <w:spacing w:line="560" w:lineRule="exact"/>
        <w:ind w:firstLine="640" w:firstLineChars="200"/>
        <w:rPr>
          <w:rFonts w:eastAsia="楷体_GB2312" w:cs="Times New Roman"/>
          <w:color w:val="000000" w:themeColor="text1"/>
          <w:szCs w:val="32"/>
          <w:highlight w:val="none"/>
          <w:u w:val="none"/>
          <w:lang w:bidi="ar"/>
          <w14:textFill>
            <w14:solidFill>
              <w14:schemeClr w14:val="tx1"/>
            </w14:solidFill>
          </w14:textFill>
        </w:rPr>
      </w:pPr>
      <w:r>
        <w:rPr>
          <w:rFonts w:eastAsia="楷体_GB2312" w:cs="Times New Roman"/>
          <w:color w:val="000000" w:themeColor="text1"/>
          <w:szCs w:val="32"/>
          <w:highlight w:val="none"/>
          <w:u w:val="none"/>
          <w:lang w:bidi="ar"/>
          <w14:textFill>
            <w14:solidFill>
              <w14:schemeClr w14:val="tx1"/>
            </w14:solidFill>
          </w14:textFill>
        </w:rPr>
        <w:t>（六）</w:t>
      </w:r>
      <w:r>
        <w:rPr>
          <w:rFonts w:hint="eastAsia" w:eastAsia="楷体_GB2312" w:cs="Times New Roman"/>
          <w:color w:val="000000" w:themeColor="text1"/>
          <w:szCs w:val="32"/>
          <w:highlight w:val="none"/>
          <w:u w:val="none"/>
          <w:lang w:eastAsia="zh-CN" w:bidi="ar"/>
          <w14:textFill>
            <w14:solidFill>
              <w14:schemeClr w14:val="tx1"/>
            </w14:solidFill>
          </w14:textFill>
        </w:rPr>
        <w:t>强化</w:t>
      </w:r>
      <w:r>
        <w:rPr>
          <w:rFonts w:eastAsia="楷体_GB2312" w:cs="Times New Roman"/>
          <w:color w:val="000000" w:themeColor="text1"/>
          <w:szCs w:val="32"/>
          <w:highlight w:val="none"/>
          <w:u w:val="none"/>
          <w:lang w:bidi="ar"/>
          <w14:textFill>
            <w14:solidFill>
              <w14:schemeClr w14:val="tx1"/>
            </w14:solidFill>
          </w14:textFill>
        </w:rPr>
        <w:t>产权监管</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 w:cs="Times New Roman"/>
          <w:color w:val="000000" w:themeColor="text1"/>
          <w:szCs w:val="32"/>
          <w:highlight w:val="none"/>
          <w:u w:val="none"/>
          <w:lang w:bidi="ar"/>
          <w14:textFill>
            <w14:solidFill>
              <w14:schemeClr w14:val="tx1"/>
            </w14:solidFill>
          </w14:textFill>
        </w:rPr>
        <w:t>1</w:t>
      </w:r>
      <w:r>
        <w:rPr>
          <w:rFonts w:hint="eastAsia" w:eastAsia="楷体" w:cs="Times New Roman"/>
          <w:color w:val="000000" w:themeColor="text1"/>
          <w:szCs w:val="32"/>
          <w:highlight w:val="none"/>
          <w:u w:val="none"/>
          <w:lang w:val="en-US" w:eastAsia="zh-CN" w:bidi="ar"/>
          <w14:textFill>
            <w14:solidFill>
              <w14:schemeClr w14:val="tx1"/>
            </w14:solidFill>
          </w14:textFill>
        </w:rPr>
        <w:t>7</w:t>
      </w:r>
      <w:r>
        <w:rPr>
          <w:rFonts w:eastAsia="楷体" w:cs="Times New Roman"/>
          <w:color w:val="000000" w:themeColor="text1"/>
          <w:szCs w:val="32"/>
          <w:highlight w:val="none"/>
          <w:u w:val="none"/>
          <w:lang w:bidi="ar"/>
          <w14:textFill>
            <w14:solidFill>
              <w14:schemeClr w14:val="tx1"/>
            </w14:solidFill>
          </w14:textFill>
        </w:rPr>
        <w:t>.</w:t>
      </w:r>
      <w:r>
        <w:rPr>
          <w:rFonts w:eastAsia="楷体_GB2312" w:cs="Times New Roman"/>
          <w:color w:val="auto"/>
          <w:szCs w:val="32"/>
          <w:lang w:bidi="ar"/>
        </w:rPr>
        <w:t>严格土地出让管理。</w:t>
      </w:r>
      <w:r>
        <w:rPr>
          <w:rFonts w:cs="Times New Roman"/>
          <w:color w:val="000000" w:themeColor="text1"/>
          <w:szCs w:val="32"/>
          <w:highlight w:val="none"/>
          <w:u w:val="none"/>
          <w:lang w:bidi="ar"/>
          <w14:textFill>
            <w14:solidFill>
              <w14:schemeClr w14:val="tx1"/>
            </w14:solidFill>
          </w14:textFill>
        </w:rPr>
        <w:t>小微企业园建设项目的土地出让应严格按照《浙江省自然资源厅关于进一步规范小微企业园土地出让管理有关事项的通知》（浙自然资函〔2022〕23号）执行。在出让小微企业园项目土地时，</w:t>
      </w:r>
      <w:r>
        <w:rPr>
          <w:rFonts w:hint="eastAsia" w:cs="Times New Roman"/>
          <w:color w:val="000000" w:themeColor="text1"/>
          <w:szCs w:val="32"/>
          <w:highlight w:val="none"/>
          <w:u w:val="none"/>
          <w:lang w:eastAsia="zh-CN" w:bidi="ar"/>
          <w14:textFill>
            <w14:solidFill>
              <w14:schemeClr w14:val="tx1"/>
            </w14:solidFill>
          </w14:textFill>
        </w:rPr>
        <w:t>要明确土地用途、租售比例、分割销售最小面积、租售价格、转让条件、产业准入等内容，</w:t>
      </w:r>
      <w:r>
        <w:rPr>
          <w:rFonts w:cs="Times New Roman"/>
          <w:color w:val="000000" w:themeColor="text1"/>
          <w:szCs w:val="32"/>
          <w:highlight w:val="none"/>
          <w:u w:val="none"/>
          <w:lang w:bidi="ar"/>
          <w14:textFill>
            <w14:solidFill>
              <w14:schemeClr w14:val="tx1"/>
            </w14:solidFill>
          </w14:textFill>
        </w:rPr>
        <w:t>并在土地出让公告中明确，实现全过程全周期监管，防止地产炒作和牟取暴利。</w:t>
      </w:r>
      <w:r>
        <w:rPr>
          <w:rFonts w:hint="eastAsia" w:cs="Times New Roman"/>
          <w:color w:val="000000" w:themeColor="text1"/>
          <w:szCs w:val="32"/>
          <w:highlight w:val="none"/>
          <w:u w:val="none"/>
          <w:lang w:eastAsia="zh-CN" w:bidi="ar"/>
          <w14:textFill>
            <w14:solidFill>
              <w14:schemeClr w14:val="tx1"/>
            </w14:solidFill>
          </w14:textFill>
        </w:rPr>
        <w:t>土地成交后，属地政府与竞得人按照土地出让公告等相关要求，明确园区运营标准和要求等内容。</w:t>
      </w:r>
      <w:r>
        <w:rPr>
          <w:rFonts w:eastAsia="楷体_GB2312" w:cs="Times New Roman"/>
          <w:color w:val="000000" w:themeColor="text1"/>
          <w:szCs w:val="32"/>
          <w:highlight w:val="none"/>
          <w:u w:val="none"/>
          <w:lang w:bidi="ar"/>
          <w14:textFill>
            <w14:solidFill>
              <w14:schemeClr w14:val="tx1"/>
            </w14:solidFill>
          </w14:textFill>
        </w:rPr>
        <w:t>（责任单位：县经商局、县资规局、县建设局）</w:t>
      </w:r>
    </w:p>
    <w:p>
      <w:pPr>
        <w:autoSpaceDE w:val="0"/>
        <w:autoSpaceDN w:val="0"/>
        <w:spacing w:line="560" w:lineRule="exact"/>
        <w:ind w:firstLine="640" w:firstLineChars="200"/>
        <w:rPr>
          <w:rFonts w:hint="default" w:eastAsia="楷体_GB2312" w:cs="Times New Roman"/>
          <w:color w:val="000000" w:themeColor="text1"/>
          <w:szCs w:val="32"/>
          <w:highlight w:val="none"/>
          <w:u w:val="none"/>
          <w:lang w:val="en-US" w:bidi="ar"/>
          <w14:textFill>
            <w14:solidFill>
              <w14:schemeClr w14:val="tx1"/>
            </w14:solidFill>
          </w14:textFill>
        </w:rPr>
      </w:pPr>
      <w:r>
        <w:rPr>
          <w:rFonts w:hint="eastAsia" w:eastAsia="楷体_GB2312" w:cs="Times New Roman"/>
          <w:color w:val="auto"/>
          <w:szCs w:val="32"/>
          <w:lang w:val="en-US" w:eastAsia="zh-CN" w:bidi="ar"/>
        </w:rPr>
        <w:t>18</w:t>
      </w:r>
      <w:r>
        <w:rPr>
          <w:rFonts w:eastAsia="楷体_GB2312" w:cs="Times New Roman"/>
          <w:color w:val="auto"/>
          <w:szCs w:val="32"/>
          <w:lang w:bidi="ar"/>
        </w:rPr>
        <w:t>.严格厂房销售管理。</w:t>
      </w:r>
      <w:r>
        <w:rPr>
          <w:rFonts w:cs="Times New Roman"/>
          <w:color w:val="000000" w:themeColor="text1"/>
          <w:szCs w:val="32"/>
          <w:highlight w:val="none"/>
          <w:u w:val="none"/>
          <w:lang w:val="en-US" w:eastAsia="zh-CN" w:bidi="ar"/>
          <w14:textFill>
            <w14:solidFill>
              <w14:schemeClr w14:val="tx1"/>
            </w14:solidFill>
          </w14:textFill>
        </w:rPr>
        <w:t>符合入园条件的企业在签订厂房销售合同前，根据土地出让公告要求与属地政府签订相关协议。在符合规划的情况下，入园企业购置或租用的厂房、非生产性用房及配套宿舍应当自用。对确因经营不善或其他原因需要退出的，鼓励属地政府或开发单位回购后租售给符合条件的企业。各地应本着"保本微利"和"降低小微企业入园成本"的原则，综合考虑土地、建设、配套、管理、税费等成本，把厂房售价利润控制在一定的范围内。</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hint="eastAsia" w:eastAsia="楷体" w:cs="Times New Roman"/>
          <w:color w:val="000000" w:themeColor="text1"/>
          <w:szCs w:val="32"/>
          <w:highlight w:val="none"/>
          <w:u w:val="none"/>
          <w:lang w:val="en-US" w:eastAsia="zh-CN" w:bidi="ar"/>
          <w14:textFill>
            <w14:solidFill>
              <w14:schemeClr w14:val="tx1"/>
            </w14:solidFill>
          </w14:textFill>
        </w:rPr>
        <w:t>19</w:t>
      </w:r>
      <w:r>
        <w:rPr>
          <w:rFonts w:eastAsia="楷体_GB2312" w:cs="Times New Roman"/>
          <w:color w:val="auto"/>
          <w:szCs w:val="32"/>
          <w:lang w:bidi="ar"/>
        </w:rPr>
        <w:t>.严格分割自持标准。</w:t>
      </w:r>
      <w:r>
        <w:rPr>
          <w:rFonts w:hint="eastAsia" w:cs="Times New Roman"/>
          <w:color w:val="000000" w:themeColor="text1"/>
          <w:szCs w:val="32"/>
          <w:highlight w:val="none"/>
          <w:u w:val="none"/>
          <w:lang w:eastAsia="zh-CN" w:bidi="ar"/>
          <w14:textFill>
            <w14:solidFill>
              <w14:schemeClr w14:val="tx1"/>
            </w14:solidFill>
          </w14:textFill>
        </w:rPr>
        <w:t>在依法合规前提下，</w:t>
      </w:r>
      <w:r>
        <w:rPr>
          <w:rFonts w:cs="Times New Roman"/>
          <w:color w:val="000000" w:themeColor="text1"/>
          <w:szCs w:val="32"/>
          <w:highlight w:val="none"/>
          <w:u w:val="none"/>
          <w:lang w:bidi="ar"/>
          <w14:textFill>
            <w14:solidFill>
              <w14:schemeClr w14:val="tx1"/>
            </w14:solidFill>
          </w14:textFill>
        </w:rPr>
        <w:t>公共部位明确、满足房屋独立使用及消防安全</w:t>
      </w:r>
      <w:r>
        <w:rPr>
          <w:rFonts w:hint="eastAsia" w:cs="Times New Roman"/>
          <w:color w:val="000000" w:themeColor="text1"/>
          <w:szCs w:val="32"/>
          <w:highlight w:val="none"/>
          <w:u w:val="none"/>
          <w:lang w:eastAsia="zh-CN" w:bidi="ar"/>
          <w14:textFill>
            <w14:solidFill>
              <w14:schemeClr w14:val="tx1"/>
            </w14:solidFill>
          </w14:textFill>
        </w:rPr>
        <w:t>等</w:t>
      </w:r>
      <w:r>
        <w:rPr>
          <w:rFonts w:cs="Times New Roman"/>
          <w:color w:val="000000" w:themeColor="text1"/>
          <w:szCs w:val="32"/>
          <w:highlight w:val="none"/>
          <w:u w:val="none"/>
          <w:lang w:bidi="ar"/>
          <w14:textFill>
            <w14:solidFill>
              <w14:schemeClr w14:val="tx1"/>
            </w14:solidFill>
          </w14:textFill>
        </w:rPr>
        <w:t>条件，生产性用房可按幢、层、竖向单元为基本分割单元</w:t>
      </w:r>
      <w:r>
        <w:rPr>
          <w:rFonts w:hint="eastAsia" w:cs="Times New Roman"/>
          <w:color w:val="000000" w:themeColor="text1"/>
          <w:szCs w:val="32"/>
          <w:highlight w:val="none"/>
          <w:u w:val="none"/>
          <w:lang w:eastAsia="zh-CN" w:bidi="ar"/>
          <w14:textFill>
            <w14:solidFill>
              <w14:schemeClr w14:val="tx1"/>
            </w14:solidFill>
          </w14:textFill>
        </w:rPr>
        <w:t>。</w:t>
      </w:r>
      <w:r>
        <w:rPr>
          <w:rFonts w:hint="eastAsia" w:cs="Times New Roman"/>
          <w:color w:val="000000" w:themeColor="text1"/>
          <w:szCs w:val="32"/>
          <w:highlight w:val="none"/>
          <w:u w:val="none"/>
          <w:lang w:val="en-US" w:eastAsia="zh-CN" w:bidi="ar"/>
          <w14:textFill>
            <w14:solidFill>
              <w14:schemeClr w14:val="tx1"/>
            </w14:solidFill>
          </w14:textFill>
        </w:rPr>
        <w:t>以幢、竖向单元为最小分割单位的，每层面积不少于1000平方米；以层为最小分割单元的，最小分割单元不少于1000平方米。</w:t>
      </w:r>
      <w:r>
        <w:rPr>
          <w:rFonts w:cs="Times New Roman"/>
          <w:color w:val="000000" w:themeColor="text1"/>
          <w:szCs w:val="32"/>
          <w:highlight w:val="none"/>
          <w:u w:val="none"/>
          <w:lang w:val="en-US" w:eastAsia="zh-CN" w:bidi="ar"/>
          <w14:textFill>
            <w14:solidFill>
              <w14:schemeClr w14:val="tx1"/>
            </w14:solidFill>
          </w14:textFill>
        </w:rPr>
        <w:t>自</w:t>
      </w:r>
      <w:r>
        <w:rPr>
          <w:rFonts w:cs="Times New Roman"/>
          <w:color w:val="000000" w:themeColor="text1"/>
          <w:szCs w:val="32"/>
          <w:highlight w:val="none"/>
          <w:u w:val="none"/>
          <w:lang w:bidi="ar"/>
          <w14:textFill>
            <w14:solidFill>
              <w14:schemeClr w14:val="tx1"/>
            </w14:solidFill>
          </w14:textFill>
        </w:rPr>
        <w:t>持面积比例不</w:t>
      </w:r>
      <w:r>
        <w:rPr>
          <w:rFonts w:eastAsia="楷体_GB2312" w:cs="Times New Roman"/>
          <w:color w:val="auto"/>
          <w:szCs w:val="32"/>
          <w:lang w:bidi="ar"/>
        </w:rPr>
        <w:t>低于20%</w:t>
      </w:r>
      <w:r>
        <w:rPr>
          <w:rFonts w:hint="eastAsia" w:eastAsia="楷体_GB2312" w:cs="Times New Roman"/>
          <w:color w:val="auto"/>
          <w:szCs w:val="32"/>
          <w:lang w:eastAsia="zh-CN" w:bidi="ar"/>
        </w:rPr>
        <w:t>，自持比例计算基数为计容总建筑面积。</w:t>
      </w:r>
      <w:r>
        <w:rPr>
          <w:rFonts w:eastAsia="楷体_GB2312" w:cs="Times New Roman"/>
          <w:color w:val="auto"/>
          <w:szCs w:val="32"/>
          <w:lang w:bidi="ar"/>
        </w:rPr>
        <w:t>食堂、宿</w:t>
      </w:r>
      <w:r>
        <w:rPr>
          <w:rFonts w:cs="Times New Roman"/>
          <w:color w:val="000000" w:themeColor="text1"/>
          <w:szCs w:val="32"/>
          <w:highlight w:val="none"/>
          <w:u w:val="none"/>
          <w:lang w:bidi="ar"/>
          <w14:textFill>
            <w14:solidFill>
              <w14:schemeClr w14:val="tx1"/>
            </w14:solidFill>
          </w14:textFill>
        </w:rPr>
        <w:t>舍等非生产性经营用房必须由开发商自持，自持年限与用地年限相同。项目用地内的公共配套设施（道路、绿化、配电、消控、门卫等）作为小微企业园内各产权人的共同共有部分。</w:t>
      </w:r>
      <w:r>
        <w:rPr>
          <w:rFonts w:eastAsia="楷体_GB2312" w:cs="Times New Roman"/>
          <w:color w:val="000000" w:themeColor="text1"/>
          <w:szCs w:val="32"/>
          <w:highlight w:val="none"/>
          <w:u w:val="none"/>
          <w:lang w:bidi="ar"/>
          <w14:textFill>
            <w14:solidFill>
              <w14:schemeClr w14:val="tx1"/>
            </w14:solidFill>
          </w14:textFill>
        </w:rPr>
        <w:t>（责任单位：县经商局、县资规局、县建设局）</w:t>
      </w:r>
    </w:p>
    <w:p>
      <w:pPr>
        <w:autoSpaceDE w:val="0"/>
        <w:autoSpaceDN w:val="0"/>
        <w:spacing w:line="560" w:lineRule="exact"/>
        <w:ind w:firstLine="640" w:firstLineChars="200"/>
        <w:rPr>
          <w:rFonts w:eastAsia="黑体" w:cs="Times New Roman"/>
          <w:color w:val="000000" w:themeColor="text1"/>
          <w:szCs w:val="32"/>
          <w:highlight w:val="none"/>
          <w:u w:val="none"/>
          <w:lang w:bidi="ar"/>
          <w14:textFill>
            <w14:solidFill>
              <w14:schemeClr w14:val="tx1"/>
            </w14:solidFill>
          </w14:textFill>
        </w:rPr>
      </w:pPr>
      <w:r>
        <w:rPr>
          <w:rFonts w:hint="eastAsia" w:eastAsia="黑体" w:cs="Times New Roman"/>
          <w:color w:val="000000" w:themeColor="text1"/>
          <w:szCs w:val="32"/>
          <w:highlight w:val="none"/>
          <w:u w:val="none"/>
          <w:lang w:eastAsia="zh-CN" w:bidi="ar"/>
          <w14:textFill>
            <w14:solidFill>
              <w14:schemeClr w14:val="tx1"/>
            </w14:solidFill>
          </w14:textFill>
        </w:rPr>
        <w:t>二</w:t>
      </w:r>
      <w:r>
        <w:rPr>
          <w:rFonts w:eastAsia="黑体" w:cs="Times New Roman"/>
          <w:color w:val="000000" w:themeColor="text1"/>
          <w:szCs w:val="32"/>
          <w:highlight w:val="none"/>
          <w:u w:val="none"/>
          <w:lang w:bidi="ar"/>
          <w14:textFill>
            <w14:solidFill>
              <w14:schemeClr w14:val="tx1"/>
            </w14:solidFill>
          </w14:textFill>
        </w:rPr>
        <w:t>、保障措施</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 w:cs="Times New Roman"/>
          <w:color w:val="000000" w:themeColor="text1"/>
          <w:szCs w:val="32"/>
          <w:highlight w:val="none"/>
          <w:u w:val="none"/>
          <w:lang w:bidi="ar"/>
          <w14:textFill>
            <w14:solidFill>
              <w14:schemeClr w14:val="tx1"/>
            </w14:solidFill>
          </w14:textFill>
        </w:rPr>
        <w:t>2</w:t>
      </w:r>
      <w:r>
        <w:rPr>
          <w:rFonts w:hint="eastAsia" w:eastAsia="楷体" w:cs="Times New Roman"/>
          <w:color w:val="000000" w:themeColor="text1"/>
          <w:szCs w:val="32"/>
          <w:highlight w:val="none"/>
          <w:u w:val="none"/>
          <w:lang w:val="en-US" w:eastAsia="zh-CN" w:bidi="ar"/>
          <w14:textFill>
            <w14:solidFill>
              <w14:schemeClr w14:val="tx1"/>
            </w14:solidFill>
          </w14:textFill>
        </w:rPr>
        <w:t>0</w:t>
      </w:r>
      <w:r>
        <w:rPr>
          <w:rFonts w:eastAsia="楷体" w:cs="Times New Roman"/>
          <w:color w:val="000000" w:themeColor="text1"/>
          <w:szCs w:val="32"/>
          <w:highlight w:val="none"/>
          <w:u w:val="none"/>
          <w:lang w:bidi="ar"/>
          <w14:textFill>
            <w14:solidFill>
              <w14:schemeClr w14:val="tx1"/>
            </w14:solidFill>
          </w14:textFill>
        </w:rPr>
        <w:t>.</w:t>
      </w:r>
      <w:r>
        <w:rPr>
          <w:rFonts w:eastAsia="楷体_GB2312" w:cs="Times New Roman"/>
          <w:color w:val="auto"/>
          <w:szCs w:val="32"/>
          <w:lang w:bidi="ar"/>
        </w:rPr>
        <w:t>加强组织领导。</w:t>
      </w:r>
      <w:r>
        <w:rPr>
          <w:rFonts w:cs="Times New Roman"/>
          <w:color w:val="000000" w:themeColor="text1"/>
          <w:szCs w:val="32"/>
          <w:highlight w:val="none"/>
          <w:u w:val="none"/>
          <w:lang w:bidi="ar"/>
          <w14:textFill>
            <w14:solidFill>
              <w14:schemeClr w14:val="tx1"/>
            </w14:solidFill>
          </w14:textFill>
        </w:rPr>
        <w:t>完善小微企业园工作联席会议制度，加强对小微企业园高质量发展行动计划的工作部署推进、关键政策研究、土地资金保障和督查考核等工作的统筹协调，各成员单位按照职能和分工具体抓好落实，联席会议办公室牵头做好日常工作。</w:t>
      </w:r>
      <w:r>
        <w:rPr>
          <w:rFonts w:eastAsia="楷体_GB2312" w:cs="Times New Roman"/>
          <w:color w:val="000000" w:themeColor="text1"/>
          <w:szCs w:val="32"/>
          <w:highlight w:val="none"/>
          <w:u w:val="none"/>
          <w:lang w:bidi="ar"/>
          <w14:textFill>
            <w14:solidFill>
              <w14:schemeClr w14:val="tx1"/>
            </w14:solidFill>
          </w14:textFill>
        </w:rPr>
        <w:t>（责任单位：</w:t>
      </w:r>
      <w:r>
        <w:rPr>
          <w:rFonts w:cs="Times New Roman"/>
          <w:color w:val="000000" w:themeColor="text1"/>
          <w:kern w:val="0"/>
          <w:szCs w:val="32"/>
          <w:highlight w:val="none"/>
          <w:u w:val="none"/>
          <w:lang w:bidi="ar"/>
          <w14:textFill>
            <w14:solidFill>
              <w14:schemeClr w14:val="tx1"/>
            </w14:solidFill>
          </w14:textFill>
        </w:rPr>
        <w:t>县小微企业园联席会议办公室</w:t>
      </w:r>
      <w:r>
        <w:rPr>
          <w:rFonts w:eastAsia="楷体_GB2312" w:cs="Times New Roman"/>
          <w:color w:val="000000" w:themeColor="text1"/>
          <w:szCs w:val="32"/>
          <w:highlight w:val="none"/>
          <w:u w:val="none"/>
          <w:lang w:bidi="ar"/>
          <w14:textFill>
            <w14:solidFill>
              <w14:schemeClr w14:val="tx1"/>
            </w14:solidFill>
          </w14:textFill>
        </w:rPr>
        <w:t>）</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 w:cs="Times New Roman"/>
          <w:color w:val="000000" w:themeColor="text1"/>
          <w:szCs w:val="32"/>
          <w:highlight w:val="none"/>
          <w:u w:val="none"/>
          <w:lang w:bidi="ar"/>
          <w14:textFill>
            <w14:solidFill>
              <w14:schemeClr w14:val="tx1"/>
            </w14:solidFill>
          </w14:textFill>
        </w:rPr>
        <w:t>2</w:t>
      </w:r>
      <w:r>
        <w:rPr>
          <w:rFonts w:hint="eastAsia" w:eastAsia="楷体" w:cs="Times New Roman"/>
          <w:color w:val="000000" w:themeColor="text1"/>
          <w:szCs w:val="32"/>
          <w:highlight w:val="none"/>
          <w:u w:val="none"/>
          <w:lang w:val="en-US" w:eastAsia="zh-CN" w:bidi="ar"/>
          <w14:textFill>
            <w14:solidFill>
              <w14:schemeClr w14:val="tx1"/>
            </w14:solidFill>
          </w14:textFill>
        </w:rPr>
        <w:t>1</w:t>
      </w:r>
      <w:r>
        <w:rPr>
          <w:rFonts w:eastAsia="楷体" w:cs="Times New Roman"/>
          <w:color w:val="000000" w:themeColor="text1"/>
          <w:szCs w:val="32"/>
          <w:highlight w:val="none"/>
          <w:u w:val="none"/>
          <w:lang w:bidi="ar"/>
          <w14:textFill>
            <w14:solidFill>
              <w14:schemeClr w14:val="tx1"/>
            </w14:solidFill>
          </w14:textFill>
        </w:rPr>
        <w:t>.</w:t>
      </w:r>
      <w:r>
        <w:rPr>
          <w:rFonts w:eastAsia="楷体_GB2312" w:cs="Times New Roman"/>
          <w:color w:val="auto"/>
          <w:szCs w:val="32"/>
          <w:lang w:bidi="ar"/>
        </w:rPr>
        <w:t>加强政策支持。</w:t>
      </w:r>
      <w:r>
        <w:rPr>
          <w:rFonts w:cs="Times New Roman"/>
          <w:color w:val="000000" w:themeColor="text1"/>
          <w:szCs w:val="32"/>
          <w:highlight w:val="none"/>
          <w:u w:val="none"/>
          <w:lang w:bidi="ar"/>
          <w14:textFill>
            <w14:solidFill>
              <w14:schemeClr w14:val="tx1"/>
            </w14:solidFill>
          </w14:textFill>
        </w:rPr>
        <w:t>各部门要进一步加大土地要素、能耗指标、用电保障、项目审批、财政资金等方面的支持力度，引导优质企业、服务资源向小微企业园集聚。</w:t>
      </w:r>
      <w:r>
        <w:rPr>
          <w:rFonts w:eastAsia="楷体_GB2312" w:cs="Times New Roman"/>
          <w:color w:val="000000" w:themeColor="text1"/>
          <w:szCs w:val="32"/>
          <w:highlight w:val="none"/>
          <w:u w:val="none"/>
          <w:lang w:bidi="ar"/>
          <w14:textFill>
            <w14:solidFill>
              <w14:schemeClr w14:val="tx1"/>
            </w14:solidFill>
          </w14:textFill>
        </w:rPr>
        <w:t>（责任单位：县发改局、县经商局、县财政局、县资规局、县税务局）</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eastAsia="楷体" w:cs="Times New Roman"/>
          <w:color w:val="000000" w:themeColor="text1"/>
          <w:szCs w:val="32"/>
          <w:highlight w:val="none"/>
          <w:u w:val="none"/>
          <w:lang w:bidi="ar"/>
          <w14:textFill>
            <w14:solidFill>
              <w14:schemeClr w14:val="tx1"/>
            </w14:solidFill>
          </w14:textFill>
        </w:rPr>
        <w:t>2</w:t>
      </w:r>
      <w:r>
        <w:rPr>
          <w:rFonts w:hint="eastAsia" w:eastAsia="楷体" w:cs="Times New Roman"/>
          <w:color w:val="000000" w:themeColor="text1"/>
          <w:szCs w:val="32"/>
          <w:highlight w:val="none"/>
          <w:u w:val="none"/>
          <w:lang w:val="en-US" w:eastAsia="zh-CN" w:bidi="ar"/>
          <w14:textFill>
            <w14:solidFill>
              <w14:schemeClr w14:val="tx1"/>
            </w14:solidFill>
          </w14:textFill>
        </w:rPr>
        <w:t>2</w:t>
      </w:r>
      <w:r>
        <w:rPr>
          <w:rFonts w:eastAsia="楷体" w:cs="Times New Roman"/>
          <w:color w:val="000000" w:themeColor="text1"/>
          <w:szCs w:val="32"/>
          <w:highlight w:val="none"/>
          <w:u w:val="none"/>
          <w:lang w:bidi="ar"/>
          <w14:textFill>
            <w14:solidFill>
              <w14:schemeClr w14:val="tx1"/>
            </w14:solidFill>
          </w14:textFill>
        </w:rPr>
        <w:t>.</w:t>
      </w:r>
      <w:r>
        <w:rPr>
          <w:rFonts w:eastAsia="楷体_GB2312" w:cs="Times New Roman"/>
          <w:color w:val="auto"/>
          <w:szCs w:val="32"/>
          <w:lang w:bidi="ar"/>
        </w:rPr>
        <w:t>加强服务保障。</w:t>
      </w:r>
      <w:r>
        <w:rPr>
          <w:rFonts w:cs="Times New Roman"/>
          <w:color w:val="000000" w:themeColor="text1"/>
          <w:szCs w:val="32"/>
          <w:highlight w:val="none"/>
          <w:u w:val="none"/>
          <w:lang w:bidi="ar"/>
          <w14:textFill>
            <w14:solidFill>
              <w14:schemeClr w14:val="tx1"/>
            </w14:solidFill>
          </w14:textFill>
        </w:rPr>
        <w:t>把小微企业园纳入“三服务”重点对象，优先向小微企业园和入园企业发放各类服务券。为入园企业提供企业融资、检验检测、研发设计、安全生产、快递物流、公共仓储、电商直播等专业化全方位服务。鼓励产业创新服务综合体、工业设计中心、人力资源产业园、电商园与小微企业园对接联动。</w:t>
      </w:r>
      <w:r>
        <w:rPr>
          <w:rFonts w:eastAsia="楷体_GB2312" w:cs="Times New Roman"/>
          <w:color w:val="000000" w:themeColor="text1"/>
          <w:szCs w:val="32"/>
          <w:highlight w:val="none"/>
          <w:u w:val="none"/>
          <w:lang w:bidi="ar"/>
          <w14:textFill>
            <w14:solidFill>
              <w14:schemeClr w14:val="tx1"/>
            </w14:solidFill>
          </w14:textFill>
        </w:rPr>
        <w:t>（责任单位：县经商局、县人力社保局、县应急管理局、县市场监管局、县金融办、县邮政管理局、人行）</w:t>
      </w:r>
    </w:p>
    <w:p>
      <w:pPr>
        <w:autoSpaceDE w:val="0"/>
        <w:autoSpaceDN w:val="0"/>
        <w:spacing w:line="560" w:lineRule="exact"/>
        <w:ind w:firstLine="640" w:firstLineChars="200"/>
        <w:rPr>
          <w:rFonts w:eastAsia="黑体" w:cs="Times New Roman"/>
          <w:color w:val="000000" w:themeColor="text1"/>
          <w:szCs w:val="32"/>
          <w:highlight w:val="none"/>
          <w:u w:val="none"/>
          <w:lang w:bidi="ar"/>
          <w14:textFill>
            <w14:solidFill>
              <w14:schemeClr w14:val="tx1"/>
            </w14:solidFill>
          </w14:textFill>
        </w:rPr>
      </w:pPr>
      <w:r>
        <w:rPr>
          <w:rFonts w:hint="eastAsia" w:eastAsia="黑体" w:cs="Times New Roman"/>
          <w:color w:val="000000" w:themeColor="text1"/>
          <w:szCs w:val="32"/>
          <w:highlight w:val="none"/>
          <w:u w:val="none"/>
          <w:lang w:eastAsia="zh-CN" w:bidi="ar"/>
          <w14:textFill>
            <w14:solidFill>
              <w14:schemeClr w14:val="tx1"/>
            </w14:solidFill>
          </w14:textFill>
        </w:rPr>
        <w:t>三</w:t>
      </w:r>
      <w:r>
        <w:rPr>
          <w:rFonts w:eastAsia="黑体" w:cs="Times New Roman"/>
          <w:color w:val="000000" w:themeColor="text1"/>
          <w:szCs w:val="32"/>
          <w:highlight w:val="none"/>
          <w:u w:val="none"/>
          <w:lang w:bidi="ar"/>
          <w14:textFill>
            <w14:solidFill>
              <w14:schemeClr w14:val="tx1"/>
            </w14:solidFill>
          </w14:textFill>
        </w:rPr>
        <w:t>、附则</w:t>
      </w:r>
    </w:p>
    <w:p>
      <w:pPr>
        <w:autoSpaceDE w:val="0"/>
        <w:autoSpaceDN w:val="0"/>
        <w:spacing w:line="560" w:lineRule="exact"/>
        <w:ind w:firstLine="640" w:firstLineChars="200"/>
        <w:rPr>
          <w:rFonts w:hint="default" w:eastAsia="仿宋_GB2312" w:cs="Times New Roman"/>
          <w:color w:val="000000" w:themeColor="text1"/>
          <w:kern w:val="0"/>
          <w:szCs w:val="32"/>
          <w:highlight w:val="none"/>
          <w:u w:val="none"/>
          <w:lang w:val="en-US" w:eastAsia="zh-CN" w:bidi="ar"/>
          <w14:textFill>
            <w14:solidFill>
              <w14:schemeClr w14:val="tx1"/>
            </w14:solidFill>
          </w14:textFill>
        </w:rPr>
      </w:pPr>
      <w:r>
        <w:rPr>
          <w:rFonts w:cs="Times New Roman"/>
          <w:color w:val="000000" w:themeColor="text1"/>
          <w:szCs w:val="32"/>
          <w:highlight w:val="none"/>
          <w:u w:val="none"/>
          <w:lang w:bidi="ar"/>
          <w14:textFill>
            <w14:solidFill>
              <w14:schemeClr w14:val="tx1"/>
            </w14:solidFill>
          </w14:textFill>
        </w:rPr>
        <w:t>1</w:t>
      </w:r>
      <w:r>
        <w:rPr>
          <w:rFonts w:hint="eastAsia" w:cs="Times New Roman"/>
          <w:color w:val="000000" w:themeColor="text1"/>
          <w:kern w:val="0"/>
          <w:szCs w:val="32"/>
          <w:highlight w:val="none"/>
          <w:u w:val="none"/>
          <w:lang w:val="en-US" w:eastAsia="zh-CN" w:bidi="ar"/>
          <w14:textFill>
            <w14:solidFill>
              <w14:schemeClr w14:val="tx1"/>
            </w14:solidFill>
          </w14:textFill>
        </w:rPr>
        <w:t>.本意见出台前已建成或在建的小微企业园按原有政策执行。</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r>
        <w:rPr>
          <w:rFonts w:hint="eastAsia" w:cs="Times New Roman"/>
          <w:color w:val="000000" w:themeColor="text1"/>
          <w:szCs w:val="32"/>
          <w:highlight w:val="none"/>
          <w:u w:val="none"/>
          <w:lang w:val="en-US" w:eastAsia="zh-CN" w:bidi="ar"/>
          <w14:textFill>
            <w14:solidFill>
              <w14:schemeClr w14:val="tx1"/>
            </w14:solidFill>
          </w14:textFill>
        </w:rPr>
        <w:t>2</w:t>
      </w:r>
      <w:r>
        <w:rPr>
          <w:rFonts w:cs="Times New Roman"/>
          <w:color w:val="000000" w:themeColor="text1"/>
          <w:szCs w:val="32"/>
          <w:highlight w:val="none"/>
          <w:u w:val="none"/>
          <w:lang w:bidi="ar"/>
          <w14:textFill>
            <w14:solidFill>
              <w14:schemeClr w14:val="tx1"/>
            </w14:solidFill>
          </w14:textFill>
        </w:rPr>
        <w:t>.本意见自</w:t>
      </w:r>
      <w:r>
        <w:rPr>
          <w:rFonts w:hint="eastAsia" w:cs="Times New Roman"/>
          <w:color w:val="000000" w:themeColor="text1"/>
          <w:szCs w:val="32"/>
          <w:highlight w:val="none"/>
          <w:u w:val="none"/>
          <w:lang w:val="en-US"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年*月*日起实施，有效期至</w:t>
      </w:r>
      <w:r>
        <w:rPr>
          <w:rFonts w:hint="eastAsia" w:cs="Times New Roman"/>
          <w:color w:val="000000" w:themeColor="text1"/>
          <w:szCs w:val="32"/>
          <w:highlight w:val="none"/>
          <w:u w:val="none"/>
          <w:lang w:val="en-US"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年</w:t>
      </w:r>
      <w:r>
        <w:rPr>
          <w:rFonts w:hint="eastAsia" w:cs="Times New Roman"/>
          <w:color w:val="000000" w:themeColor="text1"/>
          <w:szCs w:val="32"/>
          <w:highlight w:val="none"/>
          <w:u w:val="none"/>
          <w:lang w:val="en-US"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月</w:t>
      </w:r>
      <w:r>
        <w:rPr>
          <w:rFonts w:hint="eastAsia" w:cs="Times New Roman"/>
          <w:color w:val="000000" w:themeColor="text1"/>
          <w:szCs w:val="32"/>
          <w:highlight w:val="none"/>
          <w:u w:val="none"/>
          <w:lang w:val="en-US" w:eastAsia="zh-CN" w:bidi="ar"/>
          <w14:textFill>
            <w14:solidFill>
              <w14:schemeClr w14:val="tx1"/>
            </w14:solidFill>
          </w14:textFill>
        </w:rPr>
        <w:t>*</w:t>
      </w:r>
      <w:r>
        <w:rPr>
          <w:rFonts w:cs="Times New Roman"/>
          <w:color w:val="000000" w:themeColor="text1"/>
          <w:szCs w:val="32"/>
          <w:highlight w:val="none"/>
          <w:u w:val="none"/>
          <w:lang w:bidi="ar"/>
          <w14:textFill>
            <w14:solidFill>
              <w14:schemeClr w14:val="tx1"/>
            </w14:solidFill>
          </w14:textFill>
        </w:rPr>
        <w:t>日。</w:t>
      </w:r>
    </w:p>
    <w:p>
      <w:pPr>
        <w:autoSpaceDE w:val="0"/>
        <w:autoSpaceDN w:val="0"/>
        <w:spacing w:line="560" w:lineRule="exact"/>
        <w:ind w:firstLine="640" w:firstLineChars="200"/>
        <w:rPr>
          <w:rFonts w:hint="default" w:eastAsia="仿宋_GB2312" w:cs="Times New Roman"/>
          <w:color w:val="000000" w:themeColor="text1"/>
          <w:szCs w:val="32"/>
          <w:highlight w:val="none"/>
          <w:u w:val="none"/>
          <w:lang w:val="en-US" w:eastAsia="zh-CN" w:bidi="ar"/>
          <w14:textFill>
            <w14:solidFill>
              <w14:schemeClr w14:val="tx1"/>
            </w14:solidFill>
          </w14:textFill>
        </w:rPr>
      </w:pPr>
      <w:r>
        <w:rPr>
          <w:rFonts w:hint="eastAsia" w:cs="Times New Roman"/>
          <w:color w:val="000000" w:themeColor="text1"/>
          <w:szCs w:val="32"/>
          <w:highlight w:val="none"/>
          <w:u w:val="none"/>
          <w:lang w:val="en-US" w:eastAsia="zh-CN" w:bidi="ar"/>
          <w14:textFill>
            <w14:solidFill>
              <w14:schemeClr w14:val="tx1"/>
            </w14:solidFill>
          </w14:textFill>
        </w:rPr>
        <w:t>3.政策实施期间，国家、省、市有新政策要求的，按新政策执行。</w:t>
      </w:r>
    </w:p>
    <w:p>
      <w:pPr>
        <w:autoSpaceDE w:val="0"/>
        <w:autoSpaceDN w:val="0"/>
        <w:spacing w:line="560" w:lineRule="exact"/>
        <w:ind w:firstLine="640" w:firstLineChars="200"/>
        <w:rPr>
          <w:rFonts w:cs="Times New Roman"/>
          <w:color w:val="000000" w:themeColor="text1"/>
          <w:szCs w:val="32"/>
          <w:highlight w:val="none"/>
          <w:u w:val="none"/>
          <w:lang w:bidi="ar"/>
          <w14:textFill>
            <w14:solidFill>
              <w14:schemeClr w14:val="tx1"/>
            </w14:solidFill>
          </w14:textFill>
        </w:rPr>
      </w:pPr>
    </w:p>
    <w:p>
      <w:pPr>
        <w:autoSpaceDE w:val="0"/>
        <w:autoSpaceDN w:val="0"/>
        <w:spacing w:line="540" w:lineRule="exact"/>
        <w:ind w:firstLine="640" w:firstLineChars="200"/>
        <w:rPr>
          <w:rFonts w:cs="Times New Roman"/>
          <w:color w:val="000000" w:themeColor="text1"/>
          <w:highlight w:val="none"/>
          <w:u w:val="none"/>
          <w:lang w:bidi="ar"/>
          <w14:textFill>
            <w14:solidFill>
              <w14:schemeClr w14:val="tx1"/>
            </w14:solidFill>
          </w14:textFill>
        </w:rPr>
      </w:pPr>
    </w:p>
    <w:sectPr>
      <w:footerReference r:id="rId3"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color w:val="auto"/>
        <w:sz w:val="28"/>
        <w:szCs w:val="28"/>
      </w:rPr>
    </w:sdtEndPr>
    <w:sdtContent>
      <w:p>
        <w:pPr>
          <w:pStyle w:val="3"/>
          <w:jc w:val="center"/>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PAGE   \* MERGEFORMAT</w:instrText>
        </w:r>
        <w:r>
          <w:rPr>
            <w:rFonts w:ascii="宋体" w:hAnsi="宋体" w:eastAsia="宋体"/>
            <w:color w:val="auto"/>
            <w:sz w:val="28"/>
            <w:szCs w:val="28"/>
          </w:rPr>
          <w:fldChar w:fldCharType="separate"/>
        </w:r>
        <w:r>
          <w:rPr>
            <w:rFonts w:ascii="宋体" w:hAnsi="宋体" w:eastAsia="宋体"/>
            <w:color w:val="auto"/>
            <w:sz w:val="28"/>
            <w:szCs w:val="28"/>
            <w:lang w:val="zh-CN"/>
          </w:rPr>
          <w:t>1</w:t>
        </w:r>
        <w:r>
          <w:rPr>
            <w:rFonts w:ascii="宋体" w:hAnsi="宋体" w:eastAsia="宋体"/>
            <w:color w:val="auto"/>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mJjNGM0MDUwYWY0YWRmNTRiYWRhNzIxZWExY2UifQ=="/>
  </w:docVars>
  <w:rsids>
    <w:rsidRoot w:val="00172A27"/>
    <w:rsid w:val="00172A27"/>
    <w:rsid w:val="00446C3A"/>
    <w:rsid w:val="004B3667"/>
    <w:rsid w:val="00515224"/>
    <w:rsid w:val="00536499"/>
    <w:rsid w:val="005A422A"/>
    <w:rsid w:val="005D7B91"/>
    <w:rsid w:val="00620954"/>
    <w:rsid w:val="006243D0"/>
    <w:rsid w:val="00704390"/>
    <w:rsid w:val="00755D57"/>
    <w:rsid w:val="0084607F"/>
    <w:rsid w:val="008E6B6E"/>
    <w:rsid w:val="00B1188A"/>
    <w:rsid w:val="00BE42A5"/>
    <w:rsid w:val="00D1559A"/>
    <w:rsid w:val="00D534D5"/>
    <w:rsid w:val="00E4070F"/>
    <w:rsid w:val="00E42BDA"/>
    <w:rsid w:val="00EC05C2"/>
    <w:rsid w:val="00F30B8C"/>
    <w:rsid w:val="00F74FF7"/>
    <w:rsid w:val="01FB92F2"/>
    <w:rsid w:val="02DF6EEA"/>
    <w:rsid w:val="0562232B"/>
    <w:rsid w:val="056325E6"/>
    <w:rsid w:val="06775D8F"/>
    <w:rsid w:val="09862E2D"/>
    <w:rsid w:val="09E3F971"/>
    <w:rsid w:val="0BA10258"/>
    <w:rsid w:val="0EF414F0"/>
    <w:rsid w:val="0F8C52E8"/>
    <w:rsid w:val="11CB423E"/>
    <w:rsid w:val="132568EF"/>
    <w:rsid w:val="14950461"/>
    <w:rsid w:val="1AEF851F"/>
    <w:rsid w:val="1E175EA6"/>
    <w:rsid w:val="1ED3397B"/>
    <w:rsid w:val="1F13344D"/>
    <w:rsid w:val="1FF7D703"/>
    <w:rsid w:val="1FFF59F0"/>
    <w:rsid w:val="27C75D42"/>
    <w:rsid w:val="29163803"/>
    <w:rsid w:val="29562CC1"/>
    <w:rsid w:val="295D45EE"/>
    <w:rsid w:val="2989604C"/>
    <w:rsid w:val="2B37A213"/>
    <w:rsid w:val="2CE9067D"/>
    <w:rsid w:val="2CEA62F7"/>
    <w:rsid w:val="2E8FF53B"/>
    <w:rsid w:val="2E9FA998"/>
    <w:rsid w:val="31A23382"/>
    <w:rsid w:val="32483C12"/>
    <w:rsid w:val="33BFDBB3"/>
    <w:rsid w:val="33DB6E76"/>
    <w:rsid w:val="376C54AB"/>
    <w:rsid w:val="377D4655"/>
    <w:rsid w:val="38B904E8"/>
    <w:rsid w:val="38FFFF37"/>
    <w:rsid w:val="3A20604B"/>
    <w:rsid w:val="3ADA779C"/>
    <w:rsid w:val="3ADFE798"/>
    <w:rsid w:val="3BB60D70"/>
    <w:rsid w:val="3C872DC8"/>
    <w:rsid w:val="3CFFF011"/>
    <w:rsid w:val="3D1F526D"/>
    <w:rsid w:val="3D5441E0"/>
    <w:rsid w:val="3DEF40B9"/>
    <w:rsid w:val="3DF97299"/>
    <w:rsid w:val="3E76810F"/>
    <w:rsid w:val="3EF78CEE"/>
    <w:rsid w:val="3F1E4582"/>
    <w:rsid w:val="3F5FCD96"/>
    <w:rsid w:val="3FB87689"/>
    <w:rsid w:val="3FDA02AF"/>
    <w:rsid w:val="3FDFFAAF"/>
    <w:rsid w:val="3FFFD537"/>
    <w:rsid w:val="40B53AD0"/>
    <w:rsid w:val="41102488"/>
    <w:rsid w:val="42195663"/>
    <w:rsid w:val="42CA0401"/>
    <w:rsid w:val="433C5D1E"/>
    <w:rsid w:val="445362A2"/>
    <w:rsid w:val="46199B40"/>
    <w:rsid w:val="4B65FA59"/>
    <w:rsid w:val="4DFC3BE3"/>
    <w:rsid w:val="4FFF49CB"/>
    <w:rsid w:val="50CC5671"/>
    <w:rsid w:val="54510346"/>
    <w:rsid w:val="54B172F1"/>
    <w:rsid w:val="54BB3F63"/>
    <w:rsid w:val="56803228"/>
    <w:rsid w:val="56A137FF"/>
    <w:rsid w:val="5773F997"/>
    <w:rsid w:val="57FF1ADC"/>
    <w:rsid w:val="57FFA4EC"/>
    <w:rsid w:val="5A827877"/>
    <w:rsid w:val="5BCF3F9E"/>
    <w:rsid w:val="5CCF3442"/>
    <w:rsid w:val="5D84216E"/>
    <w:rsid w:val="5DFDBC6A"/>
    <w:rsid w:val="5E2F3B75"/>
    <w:rsid w:val="5E7E6183"/>
    <w:rsid w:val="5F96051D"/>
    <w:rsid w:val="5FDDA14F"/>
    <w:rsid w:val="5FFFD77C"/>
    <w:rsid w:val="5FFFF53C"/>
    <w:rsid w:val="627F8477"/>
    <w:rsid w:val="62CC2184"/>
    <w:rsid w:val="650F4A2A"/>
    <w:rsid w:val="65EFF819"/>
    <w:rsid w:val="6683465D"/>
    <w:rsid w:val="6AFA4B3D"/>
    <w:rsid w:val="6BFFC218"/>
    <w:rsid w:val="6BFFD785"/>
    <w:rsid w:val="6DFAF329"/>
    <w:rsid w:val="6EFFFE7F"/>
    <w:rsid w:val="6F176FF1"/>
    <w:rsid w:val="6F5C0956"/>
    <w:rsid w:val="6F7F9BD4"/>
    <w:rsid w:val="6FB7F817"/>
    <w:rsid w:val="6FFE5C0C"/>
    <w:rsid w:val="70123BBB"/>
    <w:rsid w:val="73BF15BA"/>
    <w:rsid w:val="73C5FF95"/>
    <w:rsid w:val="74150EFA"/>
    <w:rsid w:val="76FE17F5"/>
    <w:rsid w:val="773D44F6"/>
    <w:rsid w:val="776C01E9"/>
    <w:rsid w:val="77778021"/>
    <w:rsid w:val="777FCC38"/>
    <w:rsid w:val="77DFE3F6"/>
    <w:rsid w:val="77FD9F19"/>
    <w:rsid w:val="782B730E"/>
    <w:rsid w:val="78BC4104"/>
    <w:rsid w:val="78E37188"/>
    <w:rsid w:val="797FC44F"/>
    <w:rsid w:val="79FADB3C"/>
    <w:rsid w:val="7AE9490E"/>
    <w:rsid w:val="7B6237AD"/>
    <w:rsid w:val="7BAF02DC"/>
    <w:rsid w:val="7BD0FEE4"/>
    <w:rsid w:val="7BDB1BEC"/>
    <w:rsid w:val="7BEAB9CF"/>
    <w:rsid w:val="7BF730E4"/>
    <w:rsid w:val="7BFF9CEF"/>
    <w:rsid w:val="7C36428E"/>
    <w:rsid w:val="7CE4144D"/>
    <w:rsid w:val="7D74EB88"/>
    <w:rsid w:val="7D951393"/>
    <w:rsid w:val="7DAE3943"/>
    <w:rsid w:val="7DDDA80E"/>
    <w:rsid w:val="7DE6B40F"/>
    <w:rsid w:val="7DF749D9"/>
    <w:rsid w:val="7E3265BD"/>
    <w:rsid w:val="7E457090"/>
    <w:rsid w:val="7E55CB19"/>
    <w:rsid w:val="7E578972"/>
    <w:rsid w:val="7E7F87D5"/>
    <w:rsid w:val="7E7FEFD6"/>
    <w:rsid w:val="7EDDA9AD"/>
    <w:rsid w:val="7EFFCF1C"/>
    <w:rsid w:val="7F1FAED4"/>
    <w:rsid w:val="7F3705E5"/>
    <w:rsid w:val="7F7F387B"/>
    <w:rsid w:val="7FDA6953"/>
    <w:rsid w:val="7FDF0D4D"/>
    <w:rsid w:val="7FE702E1"/>
    <w:rsid w:val="7FE7F0D6"/>
    <w:rsid w:val="7FEF3ECA"/>
    <w:rsid w:val="7FF7F09A"/>
    <w:rsid w:val="7FFDD014"/>
    <w:rsid w:val="7FFEF652"/>
    <w:rsid w:val="7FFF0B1E"/>
    <w:rsid w:val="7FFFB29D"/>
    <w:rsid w:val="8EFF8813"/>
    <w:rsid w:val="96F755D6"/>
    <w:rsid w:val="9A3BF7DA"/>
    <w:rsid w:val="9F7E41F9"/>
    <w:rsid w:val="9FDFB077"/>
    <w:rsid w:val="A9C2C53B"/>
    <w:rsid w:val="ABAF4CBF"/>
    <w:rsid w:val="ABC4C944"/>
    <w:rsid w:val="AF8DAB40"/>
    <w:rsid w:val="AFFF3C83"/>
    <w:rsid w:val="B3FD3B51"/>
    <w:rsid w:val="B5FE5B3C"/>
    <w:rsid w:val="B7FFBDCB"/>
    <w:rsid w:val="BEAE1D81"/>
    <w:rsid w:val="BEBEDD86"/>
    <w:rsid w:val="BF2D3DC1"/>
    <w:rsid w:val="BF9F2F36"/>
    <w:rsid w:val="CDBACBFE"/>
    <w:rsid w:val="CDBDB16F"/>
    <w:rsid w:val="CDFB179A"/>
    <w:rsid w:val="CEFBD995"/>
    <w:rsid w:val="CF7FB55E"/>
    <w:rsid w:val="CFDC2119"/>
    <w:rsid w:val="D73B2BAF"/>
    <w:rsid w:val="D7B1EA4F"/>
    <w:rsid w:val="D7EF7000"/>
    <w:rsid w:val="D87F66C4"/>
    <w:rsid w:val="D9FD7FAB"/>
    <w:rsid w:val="DB7B348B"/>
    <w:rsid w:val="DBCF4B5A"/>
    <w:rsid w:val="DBFB7B0F"/>
    <w:rsid w:val="DEF75146"/>
    <w:rsid w:val="DF3F1DE1"/>
    <w:rsid w:val="DFBC7FDA"/>
    <w:rsid w:val="DFF7BA2F"/>
    <w:rsid w:val="DFFF4690"/>
    <w:rsid w:val="E7D82AD3"/>
    <w:rsid w:val="E8FFD6ED"/>
    <w:rsid w:val="EAED1D85"/>
    <w:rsid w:val="EAF33E89"/>
    <w:rsid w:val="EB7B7827"/>
    <w:rsid w:val="EBDA7374"/>
    <w:rsid w:val="EBEF541F"/>
    <w:rsid w:val="ED6DDC78"/>
    <w:rsid w:val="EDEF6C8D"/>
    <w:rsid w:val="EDF9F6BC"/>
    <w:rsid w:val="EDFFCE23"/>
    <w:rsid w:val="EEF7DE51"/>
    <w:rsid w:val="EFEE0453"/>
    <w:rsid w:val="EFFF1412"/>
    <w:rsid w:val="EFFF52CF"/>
    <w:rsid w:val="F345D697"/>
    <w:rsid w:val="F3EE9A30"/>
    <w:rsid w:val="F3FD9E88"/>
    <w:rsid w:val="F5EFF52E"/>
    <w:rsid w:val="F6E75F44"/>
    <w:rsid w:val="F6FBD663"/>
    <w:rsid w:val="F73B4ABF"/>
    <w:rsid w:val="F7D25B88"/>
    <w:rsid w:val="F7FF6AFD"/>
    <w:rsid w:val="F87C2301"/>
    <w:rsid w:val="F9CE5B31"/>
    <w:rsid w:val="FABF6FAF"/>
    <w:rsid w:val="FAFFEC40"/>
    <w:rsid w:val="FCCB4DE1"/>
    <w:rsid w:val="FCDACC87"/>
    <w:rsid w:val="FCFD7F4C"/>
    <w:rsid w:val="FD2F87BC"/>
    <w:rsid w:val="FD7E853D"/>
    <w:rsid w:val="FDA7CEFB"/>
    <w:rsid w:val="FDB927AC"/>
    <w:rsid w:val="FDBFFB12"/>
    <w:rsid w:val="FDDBF726"/>
    <w:rsid w:val="FDDEE702"/>
    <w:rsid w:val="FDF5FD53"/>
    <w:rsid w:val="FE9FF102"/>
    <w:rsid w:val="FEDF18CA"/>
    <w:rsid w:val="FEDFB978"/>
    <w:rsid w:val="FEEF7C14"/>
    <w:rsid w:val="FEF7BCBA"/>
    <w:rsid w:val="FF1EDA61"/>
    <w:rsid w:val="FF9C5363"/>
    <w:rsid w:val="FF9F27A8"/>
    <w:rsid w:val="FFB8A8CA"/>
    <w:rsid w:val="FFBDC721"/>
    <w:rsid w:val="FFBF9A70"/>
    <w:rsid w:val="FFEDEB0C"/>
    <w:rsid w:val="FFEF3781"/>
    <w:rsid w:val="FFF13E9D"/>
    <w:rsid w:val="FFF1DC46"/>
    <w:rsid w:val="FFFC1059"/>
    <w:rsid w:val="FFFEB9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color w:val="FFFFFF"/>
      <w:kern w:val="21"/>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1643</Words>
  <Characters>9368</Characters>
  <Lines>78</Lines>
  <Paragraphs>21</Paragraphs>
  <TotalTime>5</TotalTime>
  <ScaleCrop>false</ScaleCrop>
  <LinksUpToDate>false</LinksUpToDate>
  <CharactersWithSpaces>10990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2023-10-09T09:50:00Z</dcterms:created>
  <dc:creator>wangzw</dc:creator>
  <cp:lastModifiedBy>FD</cp:lastModifiedBy>
  <cp:lastPrinted>2024-04-30T08:44:00Z</cp:lastPrinted>
  <dcterms:modified xsi:type="dcterms:W3CDTF">2025-01-20T13:48:18Z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445FAC821A4D48C6AD78DBAD3EE0E996_13</vt:lpwstr>
  </property>
</Properties>
</file>