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关于推进上城区文化产业发展的若干意见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FF0000"/>
          <w:kern w:val="21"/>
          <w:sz w:val="32"/>
          <w:szCs w:val="32"/>
          <w:highlight w:val="none"/>
          <w:lang w:val="en-US" w:eastAsia="zh-CN"/>
        </w:rPr>
        <w:t>为深入学习贯彻习近平</w:t>
      </w:r>
      <w:r>
        <w:rPr>
          <w:rFonts w:hint="default" w:ascii="Times New Roman" w:hAnsi="Times New Roman" w:eastAsia="仿宋_GB2312" w:cs="Times New Roman"/>
          <w:color w:val="FF0000"/>
          <w:kern w:val="21"/>
          <w:sz w:val="32"/>
          <w:szCs w:val="32"/>
          <w:highlight w:val="none"/>
          <w:lang w:eastAsia="zh-CN"/>
        </w:rPr>
        <w:t>文化</w:t>
      </w:r>
      <w:r>
        <w:rPr>
          <w:rFonts w:hint="default" w:ascii="Times New Roman" w:hAnsi="Times New Roman" w:eastAsia="仿宋_GB2312" w:cs="Times New Roman"/>
          <w:color w:val="FF0000"/>
          <w:kern w:val="21"/>
          <w:sz w:val="32"/>
          <w:szCs w:val="32"/>
          <w:highlight w:val="none"/>
          <w:lang w:val="en-US" w:eastAsia="zh-CN"/>
        </w:rPr>
        <w:t>思想，</w:t>
      </w:r>
      <w:r>
        <w:rPr>
          <w:rFonts w:hint="eastAsia" w:ascii="Times New Roman" w:hAnsi="Times New Roman" w:eastAsia="仿宋_GB2312" w:cs="Times New Roman"/>
          <w:color w:val="FF0000"/>
          <w:kern w:val="21"/>
          <w:sz w:val="32"/>
          <w:szCs w:val="32"/>
          <w:highlight w:val="none"/>
          <w:lang w:val="en-US" w:eastAsia="zh-CN"/>
        </w:rPr>
        <w:t>创新文化产业要素供给，培育新型文化业态，优化产业体系，提升产业能级，推动文化产业高质量发展</w:t>
      </w:r>
      <w:r>
        <w:rPr>
          <w:rFonts w:hint="default" w:ascii="Times New Roman" w:hAnsi="Times New Roman" w:eastAsia="仿宋_GB2312" w:cs="Times New Roman"/>
          <w:color w:val="FF0000"/>
          <w:kern w:val="21"/>
          <w:sz w:val="32"/>
          <w:szCs w:val="32"/>
          <w:highlight w:val="none"/>
          <w:lang w:val="en-US" w:eastAsia="zh-CN"/>
        </w:rPr>
        <w:t>，制定本意见。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1"/>
          <w:sz w:val="32"/>
          <w:szCs w:val="32"/>
          <w:highlight w:val="none"/>
        </w:rPr>
        <w:t>一、适用范围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本意见适用于在上城区合法经营且符合国家、省、市文化产业相关行业分类文件要求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上城区文化产业发展导向的企业。对影视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传媒、设计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、新视听、文化科技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等特色行业企业和新兴业态予以重点扶持。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1"/>
          <w:sz w:val="32"/>
          <w:szCs w:val="32"/>
          <w:highlight w:val="none"/>
        </w:rPr>
        <w:t>二、政策内容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04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34"/>
          <w:kern w:val="21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  <w:t>打造文化领军企业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1.对经营达到一定规模的文化企业，最高给予200万元一次性补助。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2.对首次入选“全国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（成长型）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文化企业30强”的企业，最高给予200万元一次性奖励。企业被评为国家、省重点文化类企业的，最高给予50万元一次性奖励。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04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34"/>
          <w:kern w:val="21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  <w:t>打造文化精品力作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3.鼓励文艺精品作品、产品的创作和生产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对通过上城区申报的作品，获评全国、省、市精神文明建设“五个一工程”奖，经认定，分别最高给予不超过100万元、30万元、10万元的一次性奖励；获评国际级行业类奖项、全国及省级常设性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文化文艺类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奖项的，经认定，分别最高给予不超过80万元、30万元、10万元的扶持。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4.对区内企业作为第一出品方（第一制片方、第一发行方）的原创电影在全国院线放映的，每部最高给予150万元的一次性奖励；对企业在中央电视台、省级卫视首次播出的动画作品、文化类综艺节目，每部作品最高给予20万元一次性奖励，电视连续剧、纪录片等按集数最高给予200万元一次性奖励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04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34"/>
          <w:kern w:val="21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  <w:t>壮大文化人才方阵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5.对国家级、省级、市级高层次文化人才或文艺文学类国际（国家）级知名权威奖项获得者，在区内投资设立企业并实际运营的，经认定，最高给予30万元的扶持。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04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34"/>
          <w:kern w:val="21"/>
          <w:sz w:val="32"/>
          <w:szCs w:val="32"/>
          <w:highlight w:val="none"/>
          <w:lang w:val="en-US" w:eastAsia="zh-CN" w:bidi="ar-SA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  <w:t>推动平台提升发展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/>
          <w:dstrike w:val="0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6.对新认定为文化产业园区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（街区）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的，最高给予100万元一次性</w:t>
      </w:r>
      <w:r>
        <w:rPr>
          <w:rFonts w:hint="default" w:ascii="Times New Roman" w:hAnsi="Times New Roman" w:eastAsia="仿宋_GB2312" w:cs="Times New Roman"/>
          <w:color w:val="auto"/>
          <w:spacing w:val="-6"/>
          <w:kern w:val="21"/>
          <w:sz w:val="32"/>
          <w:szCs w:val="32"/>
          <w:highlight w:val="none"/>
        </w:rPr>
        <w:t>奖励。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04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34"/>
          <w:kern w:val="21"/>
          <w:sz w:val="32"/>
          <w:szCs w:val="32"/>
          <w:highlight w:val="none"/>
          <w:lang w:val="en-US" w:eastAsia="zh-CN" w:bidi="ar-SA"/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  <w:t>助力项目提质增效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kern w:val="21"/>
          <w:sz w:val="32"/>
          <w:szCs w:val="32"/>
          <w:highlight w:val="none"/>
          <w:lang w:eastAsia="zh-CN"/>
        </w:rPr>
        <w:t>优秀传统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文化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产业化转化。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对开展IP创作、内容生产、品牌传播、活动交流、成果转化、模式创新、产能提升等项目的，经认定，最高给予20万元一次性扶持。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.支持新视听产业发展。支持文化企业运用新一代信息科技和交互手段，加快新业态、新产品、新消费模式开发，加大数字视听、电子体育、数字文旅、动漫游戏、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数字娱乐、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短视频及微短剧等数字文化产品生产和场景推广应用，视项目的创新性和影响力，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经认定，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给予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不超过100万元一次性扶持。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.加快推进以之江文化产业带、大运河文化产业带等为重点的文化产业项目建设，对贡献突出、引领示范作用较强的产业项目优先推荐申报上级文化产业扶持项目。对企业贴息、创投等金融支持以及文化科技融合、文化消费等扶持，参照相关政策执行。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04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34"/>
          <w:kern w:val="21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 w:bidi="ar-SA"/>
        </w:rPr>
        <w:t>推进文化融合交流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.鼓励文化走出去，强化宋韵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eastAsia="zh-CN"/>
        </w:rPr>
        <w:t>等代表性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文化表达推介和品牌塑造，对实施文化出海战略的项目，经认定，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最高</w:t>
      </w:r>
      <w:bookmarkEnd w:id="0"/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给予100万元一次性扶持。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1"/>
          <w:sz w:val="32"/>
          <w:szCs w:val="32"/>
          <w:highlight w:val="none"/>
        </w:rPr>
        <w:t>三、附则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1.本意见扶持资金由区财政局统筹平衡。同一项目按从优从高不重复和进档差额原则进行补助。上级已有补助的，本政策补助含区级配套资金。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2.当年存在欠薪欠资行为、发生违法犯罪行为和出现安全生产、环境污染等较大责任事故的企业、机构和个人，不能享受扶持政策。</w:t>
      </w:r>
      <w:r>
        <w:rPr>
          <w:rFonts w:hint="default" w:ascii="Times New Roman" w:hAnsi="Times New Roman" w:eastAsia="仿宋_GB2312" w:cs="Times New Roman"/>
          <w:color w:val="FF0000"/>
          <w:kern w:val="21"/>
          <w:sz w:val="32"/>
          <w:szCs w:val="32"/>
          <w:highlight w:val="none"/>
          <w:lang w:val="en-US" w:eastAsia="zh-CN"/>
        </w:rPr>
        <w:t>扶持对象均须对申请材料的真实性负责，并承担相应法律责任。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3.本意见自20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日起实施，有效期</w:t>
      </w:r>
      <w:r>
        <w:rPr>
          <w:rFonts w:hint="eastAsia" w:ascii="Times New Roman" w:hAnsi="Times New Roman" w:eastAsia="仿宋_GB2312" w:cs="Times New Roman"/>
          <w:color w:val="auto"/>
          <w:kern w:val="21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1"/>
          <w:sz w:val="32"/>
          <w:szCs w:val="32"/>
          <w:highlight w:val="none"/>
        </w:rPr>
        <w:t>年。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ZmIzNjI2NWMzM2Q2MDE1NzJiNWM5ZWFkOGE4YmYifQ=="/>
  </w:docVars>
  <w:rsids>
    <w:rsidRoot w:val="59101E0D"/>
    <w:rsid w:val="03F2F08D"/>
    <w:rsid w:val="0C420BFD"/>
    <w:rsid w:val="0DFA4F55"/>
    <w:rsid w:val="116513EE"/>
    <w:rsid w:val="122E2EA4"/>
    <w:rsid w:val="1BBF8E86"/>
    <w:rsid w:val="1E5B45A9"/>
    <w:rsid w:val="1E907705"/>
    <w:rsid w:val="287E332C"/>
    <w:rsid w:val="310E5321"/>
    <w:rsid w:val="422C3774"/>
    <w:rsid w:val="4D4830D7"/>
    <w:rsid w:val="4E20410F"/>
    <w:rsid w:val="4EBD11B5"/>
    <w:rsid w:val="517DB37A"/>
    <w:rsid w:val="59101E0D"/>
    <w:rsid w:val="68E56690"/>
    <w:rsid w:val="6CB02FF8"/>
    <w:rsid w:val="72595097"/>
    <w:rsid w:val="79D16944"/>
    <w:rsid w:val="7B4B5E55"/>
    <w:rsid w:val="7C691A7D"/>
    <w:rsid w:val="7F0B7D77"/>
    <w:rsid w:val="FFD7DBA1"/>
    <w:rsid w:val="FFF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小标题（一）"/>
    <w:basedOn w:val="1"/>
    <w:qFormat/>
    <w:uiPriority w:val="0"/>
    <w:pPr>
      <w:ind w:firstLine="640" w:firstLineChars="200"/>
    </w:pPr>
    <w:rPr>
      <w:rFonts w:hint="eastAsia" w:ascii="楷体_GB2312" w:hAnsi="楷体_GB2312" w:eastAsia="楷体_GB2312" w:cs="楷体_GB2312"/>
      <w:sz w:val="32"/>
      <w:szCs w:val="32"/>
    </w:rPr>
  </w:style>
  <w:style w:type="paragraph" w:customStyle="1" w:styleId="7">
    <w:name w:val="黑体三号 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40" w:firstLineChars="200"/>
      <w:outlineLvl w:val="1"/>
    </w:pPr>
    <w:rPr>
      <w:rFonts w:hint="eastAsia" w:ascii="Arial" w:hAnsi="Arial" w:eastAsia="黑体" w:cs="Times New Roman"/>
      <w:bCs/>
      <w:sz w:val="32"/>
    </w:rPr>
  </w:style>
  <w:style w:type="paragraph" w:customStyle="1" w:styleId="8">
    <w:name w:val="黑体2号大标题"/>
    <w:basedOn w:val="1"/>
    <w:qFormat/>
    <w:uiPriority w:val="0"/>
    <w:pPr>
      <w:spacing w:line="574" w:lineRule="exact"/>
      <w:ind w:left="560" w:right="46" w:hanging="289"/>
    </w:pPr>
    <w:rPr>
      <w:rFonts w:ascii="宋体" w:hAnsi="宋体" w:eastAsia="黑体"/>
      <w:sz w:val="44"/>
    </w:rPr>
  </w:style>
  <w:style w:type="paragraph" w:customStyle="1" w:styleId="9">
    <w:name w:val="仿宋gb三号"/>
    <w:basedOn w:val="1"/>
    <w:qFormat/>
    <w:uiPriority w:val="0"/>
    <w:pPr>
      <w:spacing w:line="593" w:lineRule="exact"/>
      <w:ind w:right="106"/>
      <w:jc w:val="center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0">
    <w:name w:val="样式1"/>
    <w:basedOn w:val="1"/>
    <w:qFormat/>
    <w:uiPriority w:val="0"/>
    <w:pPr>
      <w:spacing w:line="593" w:lineRule="exact"/>
      <w:ind w:right="106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1">
    <w:name w:val="仿宋gb"/>
    <w:basedOn w:val="1"/>
    <w:qFormat/>
    <w:uiPriority w:val="0"/>
    <w:pPr>
      <w:spacing w:line="593" w:lineRule="exact"/>
      <w:ind w:right="106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2">
    <w:name w:val="黑体三号 小标题"/>
    <w:basedOn w:val="1"/>
    <w:qFormat/>
    <w:uiPriority w:val="0"/>
    <w:pPr>
      <w:ind w:firstLine="640" w:firstLineChars="200"/>
    </w:pPr>
    <w:rPr>
      <w:rFonts w:hint="eastAsia" w:ascii="黑体" w:hAnsi="黑体" w:eastAsia="黑体" w:cs="黑体"/>
      <w:sz w:val="32"/>
      <w:szCs w:val="32"/>
    </w:rPr>
  </w:style>
  <w:style w:type="paragraph" w:customStyle="1" w:styleId="13">
    <w:name w:val="仿宋gb2312 三号正文"/>
    <w:basedOn w:val="1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4">
    <w:name w:val="黑体三号 标题一"/>
    <w:basedOn w:val="1"/>
    <w:qFormat/>
    <w:uiPriority w:val="0"/>
    <w:pPr>
      <w:ind w:firstLine="640" w:firstLineChars="200"/>
    </w:pPr>
    <w:rPr>
      <w:rFonts w:hint="eastAsia" w:ascii="黑体" w:hAnsi="黑体" w:eastAsia="黑体" w:cs="黑体"/>
      <w:sz w:val="32"/>
      <w:szCs w:val="32"/>
    </w:rPr>
  </w:style>
  <w:style w:type="paragraph" w:customStyle="1" w:styleId="15">
    <w:name w:val="黑体三号"/>
    <w:basedOn w:val="1"/>
    <w:qFormat/>
    <w:uiPriority w:val="0"/>
    <w:pPr>
      <w:widowControl w:val="0"/>
      <w:jc w:val="both"/>
    </w:pPr>
    <w:rPr>
      <w:rFonts w:hint="eastAsia" w:ascii="黑体" w:hAnsi="黑体" w:eastAsia="黑体" w:cs="黑体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2024-03-28T00:30:00Z</dcterms:created>
  <dc:creator>Dora</dc:creator>
  <cp:lastModifiedBy>user</cp:lastModifiedBy>
  <dcterms:modified xsi:type="dcterms:W3CDTF">2024-04-01T18:28:57Z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BECC4941F60D4A829C2AB256EC973C00_11</vt:lpwstr>
  </property>
</Properties>
</file>