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黑体" w:hAnsi="黑体" w:eastAsia="黑体" w:cs="黑体"/>
          <w:sz w:val="44"/>
          <w:szCs w:val="44"/>
          <w:lang w:val="en-US" w:eastAsia="zh-CN"/>
        </w:rPr>
      </w:pPr>
    </w:p>
    <w:p>
      <w:pPr>
        <w:spacing w:line="440" w:lineRule="exact"/>
        <w:jc w:val="center"/>
        <w:rPr>
          <w:rFonts w:hint="eastAsia" w:ascii="Times New Roman" w:hAnsi="Times New Roman" w:eastAsia="黑体" w:cs="Times New Roman"/>
          <w:sz w:val="44"/>
          <w:szCs w:val="44"/>
          <w:lang w:eastAsia="zh-CN"/>
        </w:rPr>
      </w:pPr>
      <w:r>
        <w:rPr>
          <w:rFonts w:hint="eastAsia" w:ascii="黑体" w:hAnsi="黑体" w:eastAsia="黑体" w:cs="黑体"/>
          <w:sz w:val="44"/>
          <w:szCs w:val="44"/>
          <w:lang w:val="en-US" w:eastAsia="zh-CN"/>
        </w:rPr>
        <w:t>关于《高端装备（智能纺机）</w:t>
      </w:r>
      <w:r>
        <w:rPr>
          <w:rFonts w:hint="eastAsia" w:ascii="黑体" w:hAnsi="黑体" w:eastAsia="黑体" w:cs="黑体"/>
          <w:sz w:val="44"/>
          <w:szCs w:val="44"/>
        </w:rPr>
        <w:t>产业合规指引</w:t>
      </w:r>
      <w:r>
        <w:rPr>
          <w:rFonts w:hint="eastAsia" w:ascii="黑体" w:hAnsi="黑体" w:eastAsia="黑体" w:cs="黑体"/>
          <w:sz w:val="44"/>
          <w:szCs w:val="44"/>
          <w:lang w:val="en-US" w:eastAsia="zh-CN"/>
        </w:rPr>
        <w:t>》</w:t>
      </w:r>
      <w:r>
        <w:rPr>
          <w:rFonts w:hint="eastAsia" w:ascii="黑体" w:hAnsi="黑体" w:eastAsia="黑体" w:cs="黑体"/>
          <w:sz w:val="44"/>
          <w:szCs w:val="44"/>
          <w:lang w:eastAsia="zh-CN"/>
        </w:rPr>
        <w:t>编制说明</w:t>
      </w:r>
    </w:p>
    <w:p>
      <w:pPr>
        <w:spacing w:line="440" w:lineRule="exact"/>
        <w:jc w:val="center"/>
        <w:rPr>
          <w:rFonts w:hint="eastAsia" w:ascii="楷体_GB2312" w:hAnsi="楷体_GB2312" w:eastAsia="楷体_GB2312" w:cs="楷体_GB2312"/>
          <w:sz w:val="32"/>
          <w:szCs w:val="32"/>
        </w:rPr>
      </w:pPr>
    </w:p>
    <w:p>
      <w:pPr>
        <w:spacing w:line="44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绍兴市</w:t>
      </w:r>
      <w:r>
        <w:rPr>
          <w:rFonts w:hint="eastAsia" w:ascii="楷体_GB2312" w:hAnsi="楷体_GB2312" w:eastAsia="楷体_GB2312" w:cs="楷体_GB2312"/>
          <w:sz w:val="32"/>
          <w:szCs w:val="32"/>
          <w:lang w:val="en-US" w:eastAsia="zh-CN"/>
        </w:rPr>
        <w:t>新昌县</w:t>
      </w:r>
      <w:r>
        <w:rPr>
          <w:rFonts w:hint="eastAsia" w:ascii="楷体_GB2312" w:hAnsi="楷体_GB2312" w:eastAsia="楷体_GB2312" w:cs="楷体_GB2312"/>
          <w:sz w:val="32"/>
          <w:szCs w:val="32"/>
        </w:rPr>
        <w:t>司法局</w:t>
      </w:r>
    </w:p>
    <w:p>
      <w:pPr>
        <w:spacing w:line="440" w:lineRule="exact"/>
        <w:jc w:val="both"/>
        <w:rPr>
          <w:rFonts w:hint="eastAsia" w:ascii="仿宋_GB2312" w:hAnsi="黑体" w:eastAsia="仿宋_GB2312"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黑体" w:eastAsia="仿宋_GB2312" w:cs="黑体"/>
          <w:sz w:val="32"/>
          <w:szCs w:val="32"/>
        </w:rPr>
      </w:pPr>
      <w:r>
        <w:rPr>
          <w:rFonts w:hint="eastAsia" w:ascii="仿宋_GB2312" w:hAnsi="黑体" w:eastAsia="仿宋_GB2312" w:cs="黑体"/>
          <w:sz w:val="32"/>
          <w:szCs w:val="32"/>
        </w:rPr>
        <w:t>智能纺机产业是高端装备制造业的重要组成部分，在全面提升纺织工业整体水平，培育战略性新兴产业和发展现代产业体系中具有重要作用。</w:t>
      </w:r>
      <w:r>
        <w:rPr>
          <w:rFonts w:hint="eastAsia" w:ascii="仿宋_GB2312" w:hAnsi="黑体" w:eastAsia="仿宋_GB2312" w:cs="黑体"/>
          <w:sz w:val="32"/>
          <w:szCs w:val="32"/>
          <w:lang w:eastAsia="zh-CN"/>
        </w:rPr>
        <w:t>新昌县司法局根据智能纺机产业合规改革的迫切需求，</w:t>
      </w:r>
      <w:r>
        <w:rPr>
          <w:rFonts w:hint="eastAsia" w:ascii="仿宋_GB2312" w:hAnsi="黑体" w:eastAsia="仿宋_GB2312" w:cs="黑体"/>
          <w:sz w:val="32"/>
          <w:szCs w:val="32"/>
        </w:rPr>
        <w:t>以</w:t>
      </w:r>
      <w:r>
        <w:rPr>
          <w:rFonts w:hint="eastAsia" w:ascii="仿宋_GB2312" w:hAnsi="黑体" w:eastAsia="仿宋_GB2312" w:cs="黑体"/>
          <w:sz w:val="32"/>
          <w:szCs w:val="32"/>
          <w:lang w:eastAsia="zh-CN"/>
        </w:rPr>
        <w:t>编制《高端装备（智能纺机）</w:t>
      </w:r>
      <w:r>
        <w:rPr>
          <w:rFonts w:hint="eastAsia" w:ascii="仿宋_GB2312" w:hAnsi="黑体" w:eastAsia="仿宋_GB2312" w:cs="黑体"/>
          <w:sz w:val="32"/>
          <w:szCs w:val="32"/>
        </w:rPr>
        <w:t>产业合规</w:t>
      </w:r>
      <w:r>
        <w:rPr>
          <w:rFonts w:hint="eastAsia" w:ascii="仿宋_GB2312" w:hAnsi="黑体" w:eastAsia="仿宋_GB2312" w:cs="黑体"/>
          <w:sz w:val="32"/>
          <w:szCs w:val="32"/>
          <w:lang w:eastAsia="zh-CN"/>
        </w:rPr>
        <w:t>指引》</w:t>
      </w:r>
      <w:r>
        <w:rPr>
          <w:rFonts w:hint="eastAsia" w:ascii="仿宋_GB2312" w:hAnsi="黑体" w:eastAsia="仿宋_GB2312" w:cs="黑体"/>
          <w:sz w:val="32"/>
          <w:szCs w:val="32"/>
        </w:rPr>
        <w:t>为切入点，</w:t>
      </w:r>
      <w:r>
        <w:rPr>
          <w:rFonts w:hint="eastAsia" w:ascii="仿宋_GB2312" w:hAnsi="黑体" w:eastAsia="仿宋_GB2312" w:cs="黑体"/>
          <w:sz w:val="32"/>
          <w:szCs w:val="32"/>
          <w:lang w:eastAsia="zh-CN"/>
        </w:rPr>
        <w:t>全面探索产业合规预防性体系建设，受到广大中小企业和行业协会的大力支持。《高端装备（智能纺机）产业合规指引》成功入选</w:t>
      </w:r>
      <w:r>
        <w:rPr>
          <w:rFonts w:hint="eastAsia" w:ascii="仿宋_GB2312" w:hAnsi="黑体" w:eastAsia="仿宋_GB2312" w:cs="黑体"/>
          <w:sz w:val="32"/>
          <w:szCs w:val="32"/>
          <w:lang w:val="en-US" w:eastAsia="zh-CN"/>
        </w:rPr>
        <w:t>2024年省级重点产业合规指引目录管理项目名单。</w:t>
      </w:r>
      <w:r>
        <w:rPr>
          <w:rFonts w:hint="eastAsia" w:ascii="仿宋_GB2312" w:hAnsi="黑体" w:eastAsia="仿宋_GB2312" w:cs="黑体"/>
          <w:sz w:val="32"/>
          <w:szCs w:val="32"/>
        </w:rPr>
        <w:t>现将《</w:t>
      </w:r>
      <w:r>
        <w:rPr>
          <w:rFonts w:hint="eastAsia" w:ascii="仿宋_GB2312" w:hAnsi="黑体" w:eastAsia="仿宋_GB2312" w:cs="黑体"/>
          <w:sz w:val="32"/>
          <w:szCs w:val="32"/>
          <w:lang w:eastAsia="zh-CN"/>
        </w:rPr>
        <w:t>高端装备（智能纺机）</w:t>
      </w:r>
      <w:r>
        <w:rPr>
          <w:rFonts w:hint="eastAsia" w:ascii="仿宋_GB2312" w:hAnsi="黑体" w:eastAsia="仿宋_GB2312" w:cs="黑体"/>
          <w:sz w:val="32"/>
          <w:szCs w:val="32"/>
        </w:rPr>
        <w:t>产业合规指引》项目情况</w:t>
      </w:r>
      <w:r>
        <w:rPr>
          <w:rFonts w:hint="eastAsia" w:ascii="仿宋_GB2312" w:hAnsi="黑体" w:eastAsia="仿宋_GB2312" w:cs="黑体"/>
          <w:sz w:val="32"/>
          <w:szCs w:val="32"/>
          <w:lang w:eastAsia="zh-CN"/>
        </w:rPr>
        <w:t>说明</w:t>
      </w:r>
      <w:r>
        <w:rPr>
          <w:rFonts w:hint="eastAsia" w:ascii="仿宋_GB2312" w:hAnsi="黑体" w:eastAsia="仿宋_GB2312" w:cs="黑体"/>
          <w:sz w:val="32"/>
          <w:szCs w:val="32"/>
        </w:rPr>
        <w:t>如下：</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rPr>
        <w:t>一、产业发展</w:t>
      </w:r>
      <w:r>
        <w:rPr>
          <w:rFonts w:hint="eastAsia" w:ascii="黑体" w:hAnsi="黑体" w:eastAsia="黑体" w:cs="黑体"/>
          <w:b/>
          <w:bCs/>
          <w:sz w:val="32"/>
          <w:szCs w:val="32"/>
          <w:lang w:eastAsia="zh-CN"/>
        </w:rPr>
        <w:t>研判</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黑体" w:eastAsia="仿宋_GB2312" w:cs="黑体"/>
          <w:kern w:val="2"/>
          <w:sz w:val="32"/>
          <w:szCs w:val="32"/>
          <w:lang w:val="en-US" w:eastAsia="zh-CN" w:bidi="ar-SA"/>
        </w:rPr>
      </w:pPr>
      <w:r>
        <w:rPr>
          <w:rFonts w:hint="eastAsia" w:ascii="楷体" w:hAnsi="楷体" w:eastAsia="楷体" w:cs="楷体"/>
          <w:b/>
          <w:bCs/>
          <w:kern w:val="2"/>
          <w:sz w:val="32"/>
          <w:szCs w:val="32"/>
          <w:lang w:val="en-US" w:eastAsia="zh-CN" w:bidi="ar-SA"/>
        </w:rPr>
        <w:t>（一）产业发展势头强劲。</w:t>
      </w:r>
      <w:r>
        <w:rPr>
          <w:rFonts w:hint="eastAsia" w:ascii="仿宋_GB2312" w:hAnsi="黑体" w:eastAsia="仿宋_GB2312" w:cs="黑体"/>
          <w:kern w:val="2"/>
          <w:sz w:val="32"/>
          <w:szCs w:val="32"/>
          <w:lang w:val="en-US" w:eastAsia="zh-CN" w:bidi="ar-SA"/>
        </w:rPr>
        <w:t>智能纺机产业是</w:t>
      </w:r>
      <w:r>
        <w:rPr>
          <w:rFonts w:hint="eastAsia" w:ascii="仿宋_GB2312" w:hAnsi="黑体" w:eastAsia="仿宋_GB2312" w:cs="黑体"/>
          <w:sz w:val="32"/>
          <w:szCs w:val="32"/>
          <w:lang w:val="en-US" w:eastAsia="zh-CN"/>
        </w:rPr>
        <w:t>全省创新试点产业，新昌作为省级智能纺织印染装备产业技术创新综合试点县，</w:t>
      </w:r>
      <w:r>
        <w:rPr>
          <w:rFonts w:hint="eastAsia" w:ascii="仿宋_GB2312" w:hAnsi="黑体" w:eastAsia="仿宋_GB2312" w:cs="黑体"/>
          <w:kern w:val="2"/>
          <w:sz w:val="32"/>
          <w:szCs w:val="32"/>
          <w:lang w:val="en-US" w:eastAsia="zh-CN" w:bidi="ar-SA"/>
        </w:rPr>
        <w:t>在国内外智能纺机研发和制造领域具有较强影响力。全县共有纺机企业近百家，</w:t>
      </w:r>
      <w:r>
        <w:rPr>
          <w:rFonts w:hint="eastAsia" w:ascii="仿宋_GB2312" w:hAnsi="黑体" w:eastAsia="仿宋_GB2312" w:cs="黑体"/>
          <w:kern w:val="2"/>
          <w:sz w:val="32"/>
          <w:szCs w:val="32"/>
          <w:highlight w:val="none"/>
          <w:lang w:val="en-US" w:eastAsia="zh-CN" w:bidi="ar-SA"/>
        </w:rPr>
        <w:t>其中龙头企业4家，规模以上企业17家，从业人员约4500余人，工业总产值近80亿元，</w:t>
      </w:r>
      <w:r>
        <w:rPr>
          <w:rFonts w:hint="eastAsia" w:ascii="仿宋_GB2312" w:hAnsi="黑体" w:eastAsia="仿宋_GB2312" w:cs="黑体"/>
          <w:kern w:val="2"/>
          <w:sz w:val="32"/>
          <w:szCs w:val="32"/>
          <w:lang w:val="en-US" w:eastAsia="zh-CN" w:bidi="ar-SA"/>
        </w:rPr>
        <w:t>多款机型国内市场占有率居全国第一，是新昌高端装备产业集群中的传统优势产业之一，也是重要的支柱产业和富民产业之一。今年以来，智能纺机产业产值增速达</w:t>
      </w:r>
      <w:r>
        <w:rPr>
          <w:rFonts w:hint="eastAsia" w:ascii="仿宋_GB2312" w:hAnsi="黑体" w:eastAsia="仿宋_GB2312" w:cs="黑体"/>
          <w:kern w:val="2"/>
          <w:sz w:val="32"/>
          <w:szCs w:val="32"/>
          <w:highlight w:val="none"/>
          <w:lang w:val="en-US" w:eastAsia="zh-CN" w:bidi="ar-SA"/>
        </w:rPr>
        <w:t>25%，产业发展势头强劲，特色优势明显。</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黑体" w:eastAsia="仿宋_GB2312" w:cs="黑体"/>
          <w:kern w:val="2"/>
          <w:sz w:val="32"/>
          <w:szCs w:val="32"/>
          <w:lang w:val="en-US" w:eastAsia="zh-CN" w:bidi="ar-SA"/>
        </w:rPr>
      </w:pPr>
      <w:r>
        <w:rPr>
          <w:rFonts w:hint="eastAsia" w:ascii="楷体" w:hAnsi="楷体" w:eastAsia="楷体" w:cs="楷体"/>
          <w:b/>
          <w:bCs/>
          <w:kern w:val="2"/>
          <w:sz w:val="32"/>
          <w:szCs w:val="32"/>
          <w:lang w:val="en-US" w:eastAsia="zh-CN" w:bidi="ar-SA"/>
        </w:rPr>
        <w:t>（二）产业合规氛围浓厚。</w:t>
      </w:r>
      <w:r>
        <w:rPr>
          <w:rFonts w:hint="eastAsia" w:ascii="仿宋_GB2312" w:hAnsi="黑体" w:eastAsia="仿宋_GB2312" w:cs="黑体"/>
          <w:kern w:val="2"/>
          <w:sz w:val="32"/>
          <w:szCs w:val="32"/>
          <w:lang w:val="en-US" w:eastAsia="zh-CN" w:bidi="ar-SA"/>
        </w:rPr>
        <w:t>仅40余万人口的山城小县，拥有A股上市企业16家，其中包括纺机企业2家，A股上市企业数量和总市值均居全省县（市）第一。在大企业的带动下，中小企业自主合规意识较强，整体合规基础扎实。目前，已制定《企业内审合规行业公约》，并出台了《企业职务犯罪风险防范指引》《公司企业经营治理法律风险指南》等法律指引。同时，该县产业合规指导服务体系完善，已建立重点产业合规中心、纺机产业合规分中心、“企业合规”线下窗口专区等合规服务平台，累计接受咨询指导1400余次，开展“组团式”合规体检60余家次，指导企业消除涉法风险90余处；在浙里办“馨服务”平台成功上线“益企体检”应用场景，累计开展企业风险画像14443家次，推送各类预警信息4万余条，合规风险检出量上升74.69%，按时整改销号率达100%。“益企体</w:t>
      </w:r>
      <w:bookmarkStart w:id="3" w:name="_GoBack"/>
      <w:bookmarkEnd w:id="3"/>
      <w:r>
        <w:rPr>
          <w:rFonts w:hint="eastAsia" w:ascii="仿宋_GB2312" w:hAnsi="黑体" w:eastAsia="仿宋_GB2312" w:cs="黑体"/>
          <w:kern w:val="2"/>
          <w:sz w:val="32"/>
          <w:szCs w:val="32"/>
          <w:lang w:val="en-US" w:eastAsia="zh-CN" w:bidi="ar-SA"/>
        </w:rPr>
        <w:t>检”服务精准助企合规经营专报信息获柯吉欣副省长批示肯定；公职律师助力民营经济合规发展相关信息在省委改革办《竞跑者》刊出。</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黑体" w:eastAsia="仿宋_GB2312" w:cs="黑体"/>
          <w:kern w:val="2"/>
          <w:sz w:val="32"/>
          <w:szCs w:val="32"/>
          <w:lang w:val="en-US" w:eastAsia="zh-CN" w:bidi="ar-SA"/>
        </w:rPr>
      </w:pPr>
      <w:r>
        <w:rPr>
          <w:rFonts w:hint="eastAsia" w:ascii="楷体" w:hAnsi="楷体" w:eastAsia="楷体" w:cs="楷体"/>
          <w:b/>
          <w:bCs/>
          <w:kern w:val="2"/>
          <w:sz w:val="32"/>
          <w:szCs w:val="32"/>
          <w:lang w:val="en-US" w:eastAsia="zh-CN" w:bidi="ar-SA"/>
        </w:rPr>
        <w:t>（三）风险防控存在短板。</w:t>
      </w:r>
      <w:r>
        <w:rPr>
          <w:rFonts w:hint="eastAsia" w:ascii="仿宋_GB2312" w:hAnsi="黑体" w:eastAsia="仿宋_GB2312" w:cs="黑体"/>
          <w:kern w:val="2"/>
          <w:sz w:val="32"/>
          <w:szCs w:val="32"/>
          <w:lang w:val="en-US" w:eastAsia="zh-CN" w:bidi="ar-SA"/>
        </w:rPr>
        <w:t>目前，国内外智能纺机市场竞争激烈，产业整体正处新旧增长模式转换的关键时期，尤其是国际市场贸易摩擦、国内市场需求不足、通胀推动成本上涨、产品价格不良竞争、招工困难等问题，已成为影响智能纺机企业发展的共性问题。同时，中小企业普遍存在合规意识淡薄、法务团队缺乏、法律风险防控能力弱等现实困境，对于合规风险的前期识别、预防和应对缺乏有效手段，对政府提供合规指引、行政指导、法律服务等具有较高期待。</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Times New Roman" w:hAnsi="Times New Roman" w:eastAsia="仿宋_GB2312" w:cs="Times New Roman"/>
          <w:b/>
          <w:bCs/>
          <w:sz w:val="32"/>
          <w:szCs w:val="32"/>
          <w:highlight w:val="yellow"/>
          <w:lang w:eastAsia="zh-CN"/>
        </w:rPr>
      </w:pPr>
      <w:r>
        <w:rPr>
          <w:rFonts w:hint="eastAsia" w:ascii="黑体" w:hAnsi="黑体" w:eastAsia="黑体" w:cs="黑体"/>
          <w:b/>
          <w:bCs/>
          <w:sz w:val="32"/>
          <w:szCs w:val="32"/>
        </w:rPr>
        <w:t>二、</w:t>
      </w:r>
      <w:r>
        <w:rPr>
          <w:rFonts w:hint="eastAsia" w:ascii="黑体" w:hAnsi="黑体" w:eastAsia="黑体" w:cs="黑体"/>
          <w:b/>
          <w:bCs/>
          <w:sz w:val="32"/>
          <w:szCs w:val="32"/>
          <w:lang w:eastAsia="zh-CN"/>
        </w:rPr>
        <w:t>高频涉法风险梳理</w:t>
      </w:r>
    </w:p>
    <w:p>
      <w:pPr>
        <w:pStyle w:val="2"/>
        <w:keepNext w:val="0"/>
        <w:keepLines w:val="0"/>
        <w:pageBreakBefore w:val="0"/>
        <w:widowControl w:val="0"/>
        <w:kinsoku/>
        <w:wordWrap/>
        <w:overflowPunct/>
        <w:topLinePunct w:val="0"/>
        <w:bidi w:val="0"/>
        <w:snapToGrid/>
        <w:spacing w:line="560" w:lineRule="exact"/>
        <w:ind w:left="0" w:firstLine="643" w:firstLineChars="200"/>
        <w:jc w:val="both"/>
        <w:textAlignment w:val="auto"/>
        <w:rPr>
          <w:rFonts w:hint="eastAsia" w:ascii="仿宋_GB2312" w:hAnsi="黑体" w:eastAsia="仿宋_GB2312" w:cs="黑体"/>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（一）知识产权风险。</w:t>
      </w:r>
      <w:r>
        <w:rPr>
          <w:rFonts w:hint="eastAsia" w:ascii="仿宋_GB2312" w:hAnsi="黑体" w:eastAsia="仿宋_GB2312" w:cs="黑体"/>
          <w:color w:val="auto"/>
          <w:kern w:val="2"/>
          <w:sz w:val="32"/>
          <w:szCs w:val="32"/>
          <w:lang w:val="en-US" w:eastAsia="zh-CN" w:bidi="ar-SA"/>
        </w:rPr>
        <w:t>智能纺机制造过程中，涉及大量专利技术，包括新型纺织机械的设计、生产工艺、控制系统等。若企业未经许可使用了他人的专利技术，将面临专利侵权诉讼，导致高额赔偿和声誉损失。同时，智能纺机配备了各自独立研发的控制系统和软件，这些软件受到著作权的保护。未经授权复制、修改或分发这些软件，将构成著作权侵权。</w:t>
      </w:r>
    </w:p>
    <w:p>
      <w:pPr>
        <w:pStyle w:val="2"/>
        <w:keepNext w:val="0"/>
        <w:keepLines w:val="0"/>
        <w:pageBreakBefore w:val="0"/>
        <w:widowControl w:val="0"/>
        <w:kinsoku/>
        <w:wordWrap/>
        <w:overflowPunct/>
        <w:topLinePunct w:val="0"/>
        <w:bidi w:val="0"/>
        <w:snapToGrid/>
        <w:spacing w:line="560" w:lineRule="exact"/>
        <w:ind w:left="0" w:firstLine="643" w:firstLineChars="200"/>
        <w:jc w:val="both"/>
        <w:textAlignment w:val="auto"/>
        <w:rPr>
          <w:rFonts w:hint="eastAsia" w:ascii="仿宋_GB2312" w:hAnsi="黑体" w:eastAsia="仿宋_GB2312" w:cs="黑体"/>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（二）交易安全风险。</w:t>
      </w:r>
      <w:r>
        <w:rPr>
          <w:rFonts w:hint="eastAsia" w:ascii="仿宋_GB2312" w:hAnsi="黑体" w:eastAsia="仿宋_GB2312" w:cs="黑体"/>
          <w:color w:val="auto"/>
          <w:kern w:val="2"/>
          <w:sz w:val="32"/>
          <w:szCs w:val="32"/>
          <w:lang w:val="en-US" w:eastAsia="zh-CN" w:bidi="ar-SA"/>
        </w:rPr>
        <w:t>在交易过程中，合同条款定义不明确或存在歧义，将会导致双方对合同内容产生争议，从而引发后续的违约风险，一方或双方可能因各种原因无法履行合同义务，如延迟交货、质量不达标、付款不及时等，这些违约行为将给交易双方带来损失，进而引发法律纠纷。</w:t>
      </w:r>
    </w:p>
    <w:p>
      <w:pPr>
        <w:pStyle w:val="2"/>
        <w:keepNext w:val="0"/>
        <w:keepLines w:val="0"/>
        <w:pageBreakBefore w:val="0"/>
        <w:widowControl w:val="0"/>
        <w:kinsoku/>
        <w:wordWrap/>
        <w:overflowPunct/>
        <w:topLinePunct w:val="0"/>
        <w:bidi w:val="0"/>
        <w:snapToGrid/>
        <w:spacing w:line="560" w:lineRule="exact"/>
        <w:ind w:left="0" w:firstLine="643" w:firstLineChars="200"/>
        <w:jc w:val="both"/>
        <w:textAlignment w:val="auto"/>
        <w:rPr>
          <w:rFonts w:hint="eastAsia" w:ascii="仿宋_GB2312" w:hAnsi="黑体" w:eastAsia="仿宋_GB2312" w:cs="黑体"/>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（三）安全生产风险。</w:t>
      </w:r>
      <w:r>
        <w:rPr>
          <w:rFonts w:hint="eastAsia" w:ascii="仿宋_GB2312" w:hAnsi="黑体" w:eastAsia="仿宋_GB2312" w:cs="黑体"/>
          <w:color w:val="auto"/>
          <w:kern w:val="2"/>
          <w:sz w:val="32"/>
          <w:szCs w:val="32"/>
          <w:lang w:val="en-US" w:eastAsia="zh-CN" w:bidi="ar-SA"/>
        </w:rPr>
        <w:t>若企业缺乏完善的安全生产管理制度，或制度执行不到位，将无法有效保障生产过程中的安全。安全生产教育培训是提高工人安全意识、减少安全事故的重要手段。若教育培训不足，工人可能缺乏必要的安全知识和技能，增加安全事故的风险。</w:t>
      </w:r>
    </w:p>
    <w:p>
      <w:pPr>
        <w:pStyle w:val="2"/>
        <w:keepNext w:val="0"/>
        <w:keepLines w:val="0"/>
        <w:pageBreakBefore w:val="0"/>
        <w:widowControl w:val="0"/>
        <w:kinsoku/>
        <w:wordWrap/>
        <w:overflowPunct/>
        <w:topLinePunct w:val="0"/>
        <w:bidi w:val="0"/>
        <w:snapToGrid/>
        <w:spacing w:line="560" w:lineRule="exact"/>
        <w:ind w:left="0" w:firstLine="643" w:firstLineChars="200"/>
        <w:jc w:val="both"/>
        <w:textAlignment w:val="auto"/>
        <w:rPr>
          <w:rFonts w:hint="eastAsia" w:ascii="仿宋_GB2312" w:hAnsi="黑体" w:eastAsia="仿宋_GB2312" w:cs="黑体"/>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（四）反不正当竞争风险。</w:t>
      </w:r>
      <w:r>
        <w:rPr>
          <w:rFonts w:hint="eastAsia" w:ascii="仿宋_GB2312" w:hAnsi="黑体" w:eastAsia="仿宋_GB2312" w:cs="黑体"/>
          <w:color w:val="auto"/>
          <w:kern w:val="2"/>
          <w:sz w:val="32"/>
          <w:szCs w:val="32"/>
          <w:lang w:val="en-US" w:eastAsia="zh-CN" w:bidi="ar-SA"/>
        </w:rPr>
        <w:t>商业秘密是企业的重要资产，包括技术信息、经营信息等商业信息。在智能纺机制造行业中，如果企业通过盗窃、贿赂、欺诈、胁迫、电子侵入等不正当手段获取他人的商业秘密，或者违反保密义务披露、使用或允许他人使用他人的商业秘密，将构成侵犯商业秘密的行为。这种行为不仅会损害被侵权企业的利益，还会破坏市场的公平竞争秩序。</w:t>
      </w:r>
    </w:p>
    <w:p>
      <w:pPr>
        <w:pStyle w:val="2"/>
        <w:keepNext w:val="0"/>
        <w:keepLines w:val="0"/>
        <w:pageBreakBefore w:val="0"/>
        <w:widowControl w:val="0"/>
        <w:kinsoku/>
        <w:wordWrap/>
        <w:overflowPunct/>
        <w:topLinePunct w:val="0"/>
        <w:bidi w:val="0"/>
        <w:snapToGrid/>
        <w:spacing w:line="560" w:lineRule="exact"/>
        <w:ind w:left="0" w:firstLine="643" w:firstLineChars="200"/>
        <w:jc w:val="both"/>
        <w:textAlignment w:val="auto"/>
        <w:rPr>
          <w:rFonts w:hint="eastAsia" w:ascii="仿宋_GB2312" w:hAnsi="黑体" w:eastAsia="仿宋_GB2312" w:cs="黑体"/>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（五）劳动用工风险。</w:t>
      </w:r>
      <w:r>
        <w:rPr>
          <w:rFonts w:hint="eastAsia" w:ascii="仿宋_GB2312" w:hAnsi="黑体" w:eastAsia="仿宋_GB2312" w:cs="黑体"/>
          <w:color w:val="auto"/>
          <w:kern w:val="2"/>
          <w:sz w:val="32"/>
          <w:szCs w:val="32"/>
          <w:lang w:val="en-US" w:eastAsia="zh-CN" w:bidi="ar-SA"/>
        </w:rPr>
        <w:t>智能纺机制造行业的劳动用工风险主要发生在劳动关系解除与终止方面。主要涉及违法解除劳动关系，如用人单位在解除劳动关系时未遵守法定程序或未支付经济补偿金，包括未提前通知劳动者、未开具离职证明、未妥善处理社保缴纳手续等，都将引发劳动争议。</w:t>
      </w:r>
    </w:p>
    <w:p>
      <w:pPr>
        <w:pStyle w:val="2"/>
        <w:keepNext w:val="0"/>
        <w:keepLines w:val="0"/>
        <w:pageBreakBefore w:val="0"/>
        <w:widowControl w:val="0"/>
        <w:kinsoku/>
        <w:wordWrap/>
        <w:overflowPunct/>
        <w:topLinePunct w:val="0"/>
        <w:bidi w:val="0"/>
        <w:snapToGrid/>
        <w:spacing w:line="560" w:lineRule="exact"/>
        <w:ind w:left="0" w:firstLine="643" w:firstLineChars="200"/>
        <w:jc w:val="both"/>
        <w:textAlignment w:val="auto"/>
        <w:rPr>
          <w:rFonts w:hint="default" w:ascii="仿宋_GB2312" w:hAnsi="黑体" w:eastAsia="仿宋_GB2312" w:cs="黑体"/>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（六）反商业贿赂风险。</w:t>
      </w:r>
      <w:r>
        <w:rPr>
          <w:rFonts w:hint="eastAsia" w:ascii="仿宋_GB2312" w:hAnsi="黑体" w:eastAsia="仿宋_GB2312" w:cs="黑体"/>
          <w:color w:val="auto"/>
          <w:kern w:val="2"/>
          <w:sz w:val="32"/>
          <w:szCs w:val="32"/>
          <w:lang w:val="en-US" w:eastAsia="zh-CN" w:bidi="ar-SA"/>
        </w:rPr>
        <w:t xml:space="preserve">商业贿赂是在交易活动中的高频风险点，部分企业采用财物或者其他手段贿赂交易相对方的工作人员、受交易相对方委托办理相关事务的单位或者个人，以及利用职权或者影响力影响交易的单位或者个人，以谋取交易机会或者竞争优势。    </w:t>
      </w:r>
    </w:p>
    <w:p>
      <w:pPr>
        <w:pStyle w:val="2"/>
        <w:keepNext w:val="0"/>
        <w:keepLines w:val="0"/>
        <w:pageBreakBefore w:val="0"/>
        <w:widowControl w:val="0"/>
        <w:kinsoku/>
        <w:wordWrap/>
        <w:overflowPunct/>
        <w:topLinePunct w:val="0"/>
        <w:bidi w:val="0"/>
        <w:snapToGrid/>
        <w:spacing w:line="560" w:lineRule="exact"/>
        <w:ind w:left="0" w:firstLine="643" w:firstLineChars="200"/>
        <w:jc w:val="both"/>
        <w:textAlignment w:val="auto"/>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三、纺机企业需求摸底</w:t>
      </w:r>
    </w:p>
    <w:p>
      <w:pPr>
        <w:pStyle w:val="3"/>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lang w:val="en-US" w:eastAsia="zh-CN"/>
        </w:rPr>
      </w:pPr>
      <w:r>
        <w:rPr>
          <w:rFonts w:hint="eastAsia" w:ascii="Times New Roman" w:hAnsi="Times New Roman" w:eastAsia="仿宋_GB2312" w:cs="Times New Roman"/>
          <w:kern w:val="2"/>
          <w:sz w:val="32"/>
          <w:szCs w:val="32"/>
          <w:highlight w:val="none"/>
          <w:shd w:val="clear" w:color="auto" w:fill="auto"/>
          <w:lang w:val="en-US" w:eastAsia="zh-CN" w:bidi="ar-SA"/>
        </w:rPr>
        <w:t>前期，县司法局联合县经信局、县工商联等单位，协同指引编制团队，实地</w:t>
      </w:r>
      <w:r>
        <w:rPr>
          <w:rFonts w:hint="default" w:ascii="Times New Roman" w:hAnsi="Times New Roman" w:eastAsia="仿宋_GB2312" w:cs="Times New Roman"/>
          <w:kern w:val="2"/>
          <w:sz w:val="32"/>
          <w:szCs w:val="32"/>
          <w:highlight w:val="none"/>
          <w:shd w:val="clear" w:color="auto" w:fill="auto"/>
          <w:lang w:val="en-US" w:eastAsia="zh-CN" w:bidi="ar-SA"/>
        </w:rPr>
        <w:t>走访调研纺机企业、行业协会、主管部门等1</w:t>
      </w:r>
      <w:r>
        <w:rPr>
          <w:rFonts w:hint="eastAsia" w:ascii="Times New Roman" w:hAnsi="Times New Roman" w:eastAsia="仿宋_GB2312" w:cs="Times New Roman"/>
          <w:kern w:val="2"/>
          <w:sz w:val="32"/>
          <w:szCs w:val="32"/>
          <w:highlight w:val="none"/>
          <w:shd w:val="clear" w:color="auto" w:fill="auto"/>
          <w:lang w:val="en-US" w:eastAsia="zh-CN" w:bidi="ar-SA"/>
        </w:rPr>
        <w:t>5</w:t>
      </w:r>
      <w:r>
        <w:rPr>
          <w:rFonts w:hint="default" w:ascii="Times New Roman" w:hAnsi="Times New Roman" w:eastAsia="仿宋_GB2312" w:cs="Times New Roman"/>
          <w:kern w:val="2"/>
          <w:sz w:val="32"/>
          <w:szCs w:val="32"/>
          <w:highlight w:val="none"/>
          <w:shd w:val="clear" w:color="auto" w:fill="auto"/>
          <w:lang w:val="en-US" w:eastAsia="zh-CN" w:bidi="ar-SA"/>
        </w:rPr>
        <w:t>家次，征集</w:t>
      </w:r>
      <w:r>
        <w:rPr>
          <w:rFonts w:hint="eastAsia" w:ascii="Times New Roman" w:hAnsi="Times New Roman" w:eastAsia="仿宋_GB2312" w:cs="Times New Roman"/>
          <w:kern w:val="2"/>
          <w:sz w:val="32"/>
          <w:szCs w:val="32"/>
          <w:highlight w:val="none"/>
          <w:shd w:val="clear" w:color="auto" w:fill="auto"/>
          <w:lang w:val="en-US" w:eastAsia="zh-CN" w:bidi="ar-SA"/>
        </w:rPr>
        <w:t>指引编制</w:t>
      </w:r>
      <w:r>
        <w:rPr>
          <w:rFonts w:hint="default" w:ascii="Times New Roman" w:hAnsi="Times New Roman" w:eastAsia="仿宋_GB2312" w:cs="Times New Roman"/>
          <w:kern w:val="2"/>
          <w:sz w:val="32"/>
          <w:szCs w:val="32"/>
          <w:highlight w:val="none"/>
          <w:shd w:val="clear" w:color="auto" w:fill="auto"/>
          <w:lang w:val="en-US" w:eastAsia="zh-CN" w:bidi="ar-SA"/>
        </w:rPr>
        <w:t>意见建议</w:t>
      </w:r>
      <w:r>
        <w:rPr>
          <w:rFonts w:hint="eastAsia" w:ascii="Times New Roman" w:hAnsi="Times New Roman" w:eastAsia="仿宋_GB2312" w:cs="Times New Roman"/>
          <w:kern w:val="2"/>
          <w:sz w:val="32"/>
          <w:szCs w:val="32"/>
          <w:highlight w:val="none"/>
          <w:shd w:val="clear" w:color="auto" w:fill="auto"/>
          <w:lang w:val="en-US" w:eastAsia="zh-CN" w:bidi="ar-SA"/>
        </w:rPr>
        <w:t>30余</w:t>
      </w:r>
      <w:r>
        <w:rPr>
          <w:rFonts w:hint="default" w:ascii="Times New Roman" w:hAnsi="Times New Roman" w:eastAsia="仿宋_GB2312" w:cs="Times New Roman"/>
          <w:kern w:val="2"/>
          <w:sz w:val="32"/>
          <w:szCs w:val="32"/>
          <w:highlight w:val="none"/>
          <w:shd w:val="clear" w:color="auto" w:fill="auto"/>
          <w:lang w:val="en-US" w:eastAsia="zh-CN" w:bidi="ar-SA"/>
        </w:rPr>
        <w:t>条。</w:t>
      </w:r>
      <w:r>
        <w:rPr>
          <w:rFonts w:hint="eastAsia" w:ascii="Times New Roman" w:hAnsi="Times New Roman" w:eastAsia="仿宋_GB2312" w:cs="Times New Roman"/>
          <w:kern w:val="2"/>
          <w:sz w:val="32"/>
          <w:szCs w:val="32"/>
          <w:highlight w:val="none"/>
          <w:shd w:val="clear" w:color="auto" w:fill="auto"/>
          <w:lang w:val="en-US" w:eastAsia="zh-CN" w:bidi="ar-SA"/>
        </w:rPr>
        <w:t>经梳理，智能纺机企业主要存在以下合规需求：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eastAsia" w:ascii="仿宋_GB2312" w:hAnsi="黑体" w:eastAsia="仿宋_GB2312" w:cs="黑体"/>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（一）知识产权</w:t>
      </w:r>
      <w:bookmarkStart w:id="0" w:name="_Hlk171157684"/>
      <w:r>
        <w:rPr>
          <w:rFonts w:hint="eastAsia" w:ascii="楷体" w:hAnsi="楷体" w:eastAsia="楷体" w:cs="楷体"/>
          <w:b/>
          <w:bCs/>
          <w:color w:val="auto"/>
          <w:kern w:val="2"/>
          <w:sz w:val="32"/>
          <w:szCs w:val="32"/>
          <w:lang w:val="en-US" w:eastAsia="zh-CN" w:bidi="ar-SA"/>
        </w:rPr>
        <w:t>保护方面。</w:t>
      </w:r>
      <w:r>
        <w:rPr>
          <w:rFonts w:hint="eastAsia" w:ascii="仿宋_GB2312" w:hAnsi="黑体" w:eastAsia="仿宋_GB2312" w:cs="黑体"/>
          <w:color w:val="auto"/>
          <w:kern w:val="2"/>
          <w:sz w:val="32"/>
          <w:szCs w:val="32"/>
          <w:lang w:val="en-US" w:eastAsia="zh-CN" w:bidi="ar-SA"/>
        </w:rPr>
        <w:t>经调研，企业对于知识产权方面的需求主要包括</w:t>
      </w:r>
      <w:bookmarkEnd w:id="0"/>
      <w:r>
        <w:rPr>
          <w:rFonts w:hint="eastAsia" w:ascii="仿宋_GB2312" w:hAnsi="黑体" w:eastAsia="仿宋_GB2312" w:cs="黑体"/>
          <w:color w:val="auto"/>
          <w:kern w:val="2"/>
          <w:sz w:val="32"/>
          <w:szCs w:val="32"/>
          <w:lang w:val="en-US" w:eastAsia="zh-CN" w:bidi="ar-SA"/>
        </w:rPr>
        <w:t>如何制定完善知识产权管理流程和制度，以及知识产权申请、维护、监控、维权等方面。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eastAsia" w:ascii="仿宋_GB2312" w:hAnsi="黑体" w:eastAsia="仿宋_GB2312" w:cs="黑体"/>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（二）交易安全</w:t>
      </w:r>
      <w:bookmarkStart w:id="1" w:name="_Hlk171157751"/>
      <w:r>
        <w:rPr>
          <w:rFonts w:hint="eastAsia" w:ascii="楷体" w:hAnsi="楷体" w:eastAsia="楷体" w:cs="楷体"/>
          <w:b/>
          <w:bCs/>
          <w:color w:val="auto"/>
          <w:kern w:val="2"/>
          <w:sz w:val="32"/>
          <w:szCs w:val="32"/>
          <w:lang w:val="en-US" w:eastAsia="zh-CN" w:bidi="ar-SA"/>
        </w:rPr>
        <w:t>方面。</w:t>
      </w:r>
      <w:r>
        <w:rPr>
          <w:rFonts w:hint="eastAsia" w:ascii="仿宋_GB2312" w:hAnsi="黑体" w:eastAsia="仿宋_GB2312" w:cs="黑体"/>
          <w:color w:val="auto"/>
          <w:kern w:val="2"/>
          <w:sz w:val="32"/>
          <w:szCs w:val="32"/>
          <w:lang w:val="en-US" w:eastAsia="zh-CN" w:bidi="ar-SA"/>
        </w:rPr>
        <w:t>经调研，企业对于交易安全合规方面的需求主要包括</w:t>
      </w:r>
      <w:bookmarkEnd w:id="1"/>
      <w:r>
        <w:rPr>
          <w:rFonts w:hint="eastAsia" w:ascii="仿宋_GB2312" w:hAnsi="黑体" w:eastAsia="仿宋_GB2312" w:cs="黑体"/>
          <w:color w:val="auto"/>
          <w:kern w:val="2"/>
          <w:sz w:val="32"/>
          <w:szCs w:val="32"/>
          <w:lang w:val="en-US" w:eastAsia="zh-CN" w:bidi="ar-SA"/>
        </w:rPr>
        <w:t>制定完善的合同管理制度和流程，确保合同条款明确、无歧义；在合同签订前进行充分的谈判和沟通，确保双方对合同内容达成共识等。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eastAsia" w:ascii="仿宋_GB2312" w:hAnsi="黑体" w:eastAsia="仿宋_GB2312" w:cs="黑体"/>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（三）反不正当竞争</w:t>
      </w:r>
      <w:bookmarkStart w:id="2" w:name="_Hlk171157922"/>
      <w:r>
        <w:rPr>
          <w:rFonts w:hint="eastAsia" w:ascii="楷体" w:hAnsi="楷体" w:eastAsia="楷体" w:cs="楷体"/>
          <w:b/>
          <w:bCs/>
          <w:color w:val="auto"/>
          <w:kern w:val="2"/>
          <w:sz w:val="32"/>
          <w:szCs w:val="32"/>
          <w:lang w:val="en-US" w:eastAsia="zh-CN" w:bidi="ar-SA"/>
        </w:rPr>
        <w:t>方面。</w:t>
      </w:r>
      <w:r>
        <w:rPr>
          <w:rFonts w:hint="eastAsia" w:ascii="仿宋_GB2312" w:hAnsi="黑体" w:eastAsia="仿宋_GB2312" w:cs="黑体"/>
          <w:color w:val="auto"/>
          <w:kern w:val="2"/>
          <w:sz w:val="32"/>
          <w:szCs w:val="32"/>
          <w:lang w:val="en-US" w:eastAsia="zh-CN" w:bidi="ar-SA"/>
        </w:rPr>
        <w:t>经调研，企业对于反不正当竞争方面的需求主要包括</w:t>
      </w:r>
      <w:bookmarkEnd w:id="2"/>
      <w:r>
        <w:rPr>
          <w:rFonts w:hint="eastAsia" w:ascii="仿宋_GB2312" w:hAnsi="黑体" w:eastAsia="仿宋_GB2312" w:cs="黑体"/>
          <w:color w:val="auto"/>
          <w:kern w:val="2"/>
          <w:sz w:val="32"/>
          <w:szCs w:val="32"/>
          <w:lang w:val="en-US" w:eastAsia="zh-CN" w:bidi="ar-SA"/>
        </w:rPr>
        <w:t>建立完善的内部控制体系，防止商业贿赂等不正当行为的发生等。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eastAsia" w:ascii="仿宋_GB2312" w:hAnsi="黑体" w:eastAsia="仿宋_GB2312" w:cs="黑体"/>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（四）税务管理方面。</w:t>
      </w:r>
      <w:r>
        <w:rPr>
          <w:rFonts w:hint="eastAsia" w:ascii="仿宋_GB2312" w:hAnsi="黑体" w:eastAsia="仿宋_GB2312" w:cs="黑体"/>
          <w:color w:val="auto"/>
          <w:kern w:val="2"/>
          <w:sz w:val="32"/>
          <w:szCs w:val="32"/>
          <w:lang w:val="en-US" w:eastAsia="zh-CN" w:bidi="ar-SA"/>
        </w:rPr>
        <w:t>经调研，企业对于税务合规方面的需求主要包括企业应建立健全税务管理制度，明确税务管理流程和职责分工，确保税务管理的规范性和有效性。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eastAsia" w:ascii="仿宋_GB2312" w:hAnsi="黑体" w:eastAsia="仿宋_GB2312" w:cs="黑体"/>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（五）安全生产方面。</w:t>
      </w:r>
      <w:r>
        <w:rPr>
          <w:rFonts w:hint="eastAsia" w:ascii="仿宋_GB2312" w:hAnsi="黑体" w:eastAsia="仿宋_GB2312" w:cs="黑体"/>
          <w:color w:val="auto"/>
          <w:kern w:val="2"/>
          <w:sz w:val="32"/>
          <w:szCs w:val="32"/>
          <w:highlight w:val="none"/>
          <w:lang w:val="en-US" w:eastAsia="zh-CN" w:bidi="ar-SA"/>
        </w:rPr>
        <w:t>经调研，企业对于安全合规的需求主要包括安全机构设置、人员配备，安全生产投入和规章制度订立，安全警示标志设置，车间、仓库与员工宿舍之间的安全距离，紧急疏散标志、疏散通道的设置，以及员工职业健康保障等，确保在安全生产领域合法合规。</w:t>
      </w:r>
    </w:p>
    <w:p>
      <w:pPr>
        <w:pStyle w:val="3"/>
        <w:keepNext w:val="0"/>
        <w:keepLines w:val="0"/>
        <w:pageBreakBefore w:val="0"/>
        <w:kinsoku/>
        <w:overflowPunct/>
        <w:topLinePunct w:val="0"/>
        <w:autoSpaceDE/>
        <w:autoSpaceDN/>
        <w:bidi w:val="0"/>
        <w:adjustRightInd/>
        <w:snapToGrid/>
        <w:spacing w:line="560" w:lineRule="exact"/>
        <w:ind w:left="0" w:leftChars="0" w:firstLine="640" w:firstLineChars="0"/>
        <w:textAlignment w:val="auto"/>
        <w:rPr>
          <w:rFonts w:hint="eastAsia" w:ascii="仿宋_GB2312" w:hAnsi="黑体" w:eastAsia="仿宋_GB2312" w:cs="黑体"/>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（六）劳务用工方面。</w:t>
      </w:r>
      <w:r>
        <w:rPr>
          <w:rFonts w:hint="eastAsia" w:ascii="仿宋_GB2312" w:hAnsi="黑体" w:eastAsia="仿宋_GB2312" w:cs="黑体"/>
          <w:color w:val="auto"/>
          <w:kern w:val="2"/>
          <w:sz w:val="32"/>
          <w:szCs w:val="32"/>
          <w:highlight w:val="none"/>
          <w:lang w:val="en-US" w:eastAsia="zh-CN" w:bidi="ar-SA"/>
        </w:rPr>
        <w:t>经调研，企业在劳务用工方面的合规需求主要包括既切实保护员工的合法权益，又能充分维护企业的用工权益，以及维持企业的健康有序发展。具体如劳动（务）合同的订立、变更、解除，经济补偿、赔偿金的支付，工伤认定和劳动保护等。</w:t>
      </w:r>
    </w:p>
    <w:p>
      <w:pPr>
        <w:pStyle w:val="3"/>
        <w:keepNext w:val="0"/>
        <w:keepLines w:val="0"/>
        <w:pageBreakBefore w:val="0"/>
        <w:kinsoku/>
        <w:overflowPunct/>
        <w:topLinePunct w:val="0"/>
        <w:autoSpaceDE/>
        <w:autoSpaceDN/>
        <w:bidi w:val="0"/>
        <w:adjustRightInd/>
        <w:snapToGrid/>
        <w:spacing w:line="560" w:lineRule="exact"/>
        <w:ind w:left="0" w:leftChars="0" w:firstLine="0" w:firstLineChars="0"/>
        <w:textAlignment w:val="auto"/>
        <w:rPr>
          <w:rFonts w:hint="default"/>
          <w:highlight w:val="green"/>
          <w:lang w:val="en-US" w:eastAsia="zh-CN"/>
        </w:rPr>
      </w:pPr>
      <w:r>
        <w:rPr>
          <w:rFonts w:hint="eastAsia" w:ascii="仿宋_GB2312" w:hAnsi="黑体" w:eastAsia="仿宋_GB2312" w:cs="黑体"/>
          <w:color w:val="auto"/>
          <w:kern w:val="2"/>
          <w:sz w:val="32"/>
          <w:szCs w:val="32"/>
          <w:highlight w:val="none"/>
          <w:lang w:val="en-US" w:eastAsia="zh-CN" w:bidi="ar-SA"/>
        </w:rPr>
        <w:t xml:space="preserve">    </w:t>
      </w:r>
      <w:r>
        <w:rPr>
          <w:rFonts w:hint="eastAsia" w:ascii="楷体" w:hAnsi="楷体" w:eastAsia="楷体" w:cs="楷体"/>
          <w:b/>
          <w:bCs/>
          <w:color w:val="auto"/>
          <w:kern w:val="2"/>
          <w:sz w:val="32"/>
          <w:szCs w:val="32"/>
          <w:highlight w:val="none"/>
          <w:lang w:val="en-US" w:eastAsia="zh-CN" w:bidi="ar-SA"/>
        </w:rPr>
        <w:t>（七）绿色发展方面。</w:t>
      </w:r>
      <w:r>
        <w:rPr>
          <w:rFonts w:hint="eastAsia" w:ascii="仿宋_GB2312" w:hAnsi="黑体" w:eastAsia="仿宋_GB2312" w:cs="黑体"/>
          <w:color w:val="auto"/>
          <w:kern w:val="2"/>
          <w:sz w:val="32"/>
          <w:szCs w:val="32"/>
          <w:highlight w:val="none"/>
          <w:lang w:val="en-US" w:eastAsia="zh-CN" w:bidi="ar-SA"/>
        </w:rPr>
        <w:t>经调研，企业的绿色合规需求主要来自于国家法律、政策层面的环保要求，以及工业和信息化部、国家发展改革委、商务部、市场监管总局联合印发的《纺织工业提质升级实施方案（2023—2025年）》中提出的“推广节能减污技术装备”规划，企业既关注当前的环保合规，又前瞻性地谋划今后的绿色合规。</w:t>
      </w:r>
    </w:p>
    <w:p>
      <w:pPr>
        <w:pStyle w:val="3"/>
        <w:keepNext w:val="0"/>
        <w:keepLines w:val="0"/>
        <w:pageBreakBefore w:val="0"/>
        <w:kinsoku/>
        <w:overflowPunct/>
        <w:topLinePunct w:val="0"/>
        <w:autoSpaceDE/>
        <w:autoSpaceDN/>
        <w:bidi w:val="0"/>
        <w:adjustRightInd/>
        <w:snapToGrid/>
        <w:spacing w:line="560" w:lineRule="exact"/>
        <w:ind w:left="0" w:leftChars="0" w:firstLine="640" w:firstLineChars="0"/>
        <w:textAlignment w:val="auto"/>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四、合规指引主要内容说明</w:t>
      </w:r>
    </w:p>
    <w:p>
      <w:pPr>
        <w:keepNext w:val="0"/>
        <w:keepLines w:val="0"/>
        <w:pageBreakBefore w:val="0"/>
        <w:widowControl w:val="0"/>
        <w:numPr>
          <w:ilvl w:val="0"/>
          <w:numId w:val="0"/>
        </w:numPr>
        <w:kinsoku/>
        <w:wordWrap/>
        <w:overflowPunct/>
        <w:topLinePunct w:val="0"/>
        <w:bidi w:val="0"/>
        <w:snapToGrid/>
        <w:spacing w:line="560" w:lineRule="exact"/>
        <w:ind w:left="0" w:firstLine="640" w:firstLineChars="200"/>
        <w:textAlignment w:val="auto"/>
        <w:rPr>
          <w:rFonts w:hint="eastAsia" w:ascii="Times New Roman" w:hAnsi="Times New Roman" w:eastAsia="仿宋_GB2312" w:cs="Times New Roman"/>
          <w:kern w:val="2"/>
          <w:sz w:val="32"/>
          <w:szCs w:val="32"/>
          <w:highlight w:val="none"/>
          <w:shd w:val="clear" w:color="auto" w:fill="auto"/>
          <w:lang w:val="en-US" w:eastAsia="zh-CN" w:bidi="ar-SA"/>
        </w:rPr>
      </w:pPr>
      <w:r>
        <w:rPr>
          <w:rFonts w:hint="eastAsia" w:ascii="Times New Roman" w:hAnsi="Times New Roman" w:eastAsia="仿宋_GB2312" w:cs="Times New Roman"/>
          <w:kern w:val="2"/>
          <w:sz w:val="32"/>
          <w:szCs w:val="32"/>
          <w:highlight w:val="none"/>
          <w:shd w:val="clear" w:color="auto" w:fill="auto"/>
          <w:lang w:val="en-US" w:eastAsia="zh-CN" w:bidi="ar-SA"/>
        </w:rPr>
        <w:t>为</w:t>
      </w:r>
      <w:r>
        <w:rPr>
          <w:rFonts w:hint="eastAsia" w:ascii="仿宋_GB2312" w:hAnsi="黑体" w:eastAsia="仿宋_GB2312" w:cs="黑体"/>
          <w:color w:val="auto"/>
          <w:kern w:val="2"/>
          <w:sz w:val="32"/>
          <w:szCs w:val="32"/>
          <w:lang w:val="en-US" w:eastAsia="zh-CN" w:bidi="ar-SA"/>
        </w:rPr>
        <w:t>确保指引具备可读性、专业性、实用性、可借鉴性等价值</w:t>
      </w:r>
      <w:r>
        <w:rPr>
          <w:rFonts w:hint="eastAsia" w:ascii="Times New Roman" w:hAnsi="Times New Roman" w:eastAsia="仿宋_GB2312" w:cs="Times New Roman"/>
          <w:kern w:val="2"/>
          <w:sz w:val="32"/>
          <w:szCs w:val="32"/>
          <w:highlight w:val="none"/>
          <w:shd w:val="clear" w:color="auto" w:fill="auto"/>
          <w:lang w:val="en-US" w:eastAsia="zh-CN" w:bidi="ar-SA"/>
        </w:rPr>
        <w:t>，新昌县司法局在总结2023年《轴承产业合规指引》入选第一批省级重点产业合规指引目录后备项目经验基础上，选聘浙江泽大律师事务所企业合规管理专业团队，主笔撰写《高端装备（智能纺机）产业合规指引》文本。</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黑体" w:eastAsia="仿宋_GB2312" w:cs="黑体"/>
          <w:color w:val="auto"/>
          <w:kern w:val="2"/>
          <w:sz w:val="32"/>
          <w:szCs w:val="32"/>
          <w:lang w:val="en-US" w:eastAsia="zh-CN" w:bidi="ar-SA"/>
        </w:rPr>
        <w:t>该指引共分总则、合规管理组织体系、合规管理制度、重点领域合规管理要点及指引、合规风险控制、合规保障机制等6章68项，突出安全交易、反不正当竞争、知识产权等六大重点领域，详细列明合规风险150余条、合规指引</w:t>
      </w:r>
      <w:r>
        <w:rPr>
          <w:rFonts w:hint="eastAsia" w:ascii="仿宋_GB2312" w:hAnsi="仿宋_GB2312" w:eastAsia="仿宋_GB2312" w:cs="仿宋_GB2312"/>
          <w:color w:val="auto"/>
          <w:sz w:val="32"/>
          <w:szCs w:val="32"/>
          <w:lang w:val="en-US" w:eastAsia="zh-CN"/>
        </w:rPr>
        <w:t>160余条，对合规管理负责人、牵头部门、职能部门等提出了具体合规要求，并为企业建立合规审核、合规纠正、风险处置等风险防控机制提供了制度参考，帮助企业更好地理解和掌握合规的规范要求，有效助力企业完善治理结构和管理体系，提升法律风险防控能力。主要内容如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《指引》第一章“总则”，主要包括目的和依据、适用范围、基本概念、管理原则等。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《指引》第二章“合规管理组织体系”，主要包括合规管理架构、合规管理职责分工、合规管理工作、合规管理报告、合规组织体系、合规管理委员会、合规管理负责人、合规管理牵头部门、业务及职能部门等。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《指引》第三章“合规管理制度”，主要包括制度要素、管理层的合规承诺、管理层的行动支持等。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《指引》第四章“重点领域合规管理要点及指引”，为本指引重点内容，共六节，主要包括安全交易、反不正当竞争、知识产权、税务合规、劳动用工、安全生产</w:t>
      </w:r>
      <w:r>
        <w:rPr>
          <w:rFonts w:hint="eastAsia" w:ascii="Times New Roman" w:hAnsi="Times New Roman" w:eastAsia="仿宋_GB2312" w:cs="Times New Roman"/>
          <w:color w:val="auto"/>
          <w:sz w:val="32"/>
          <w:szCs w:val="32"/>
          <w:lang w:eastAsia="zh-CN"/>
        </w:rPr>
        <w:t>等。</w:t>
      </w:r>
    </w:p>
    <w:p>
      <w:pPr>
        <w:pStyle w:val="2"/>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《指引》第</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章“</w:t>
      </w:r>
      <w:r>
        <w:rPr>
          <w:rFonts w:hint="eastAsia" w:ascii="仿宋_GB2312" w:hAnsi="仿宋_GB2312" w:eastAsia="仿宋_GB2312" w:cs="仿宋_GB2312"/>
          <w:color w:val="auto"/>
          <w:sz w:val="32"/>
          <w:szCs w:val="32"/>
          <w:lang w:eastAsia="zh-CN"/>
        </w:rPr>
        <w:t>合规风险控制</w:t>
      </w:r>
      <w:r>
        <w:rPr>
          <w:rFonts w:hint="eastAsia" w:ascii="仿宋_GB2312" w:hAnsi="仿宋_GB2312" w:eastAsia="仿宋_GB2312" w:cs="仿宋_GB2312"/>
          <w:color w:val="auto"/>
          <w:sz w:val="32"/>
          <w:szCs w:val="32"/>
        </w:rPr>
        <w:t>”，主要包括</w:t>
      </w:r>
      <w:r>
        <w:rPr>
          <w:rFonts w:hint="eastAsia" w:ascii="仿宋_GB2312" w:hAnsi="仿宋_GB2312" w:eastAsia="仿宋_GB2312" w:cs="仿宋_GB2312"/>
          <w:color w:val="auto"/>
          <w:sz w:val="32"/>
          <w:szCs w:val="32"/>
          <w:lang w:eastAsia="zh-CN"/>
        </w:rPr>
        <w:t>合规审核、合规咨询、内部举报、纠正机制、合规汇报、合规自查、风险处置、外部监督等</w:t>
      </w:r>
      <w:r>
        <w:rPr>
          <w:rFonts w:hint="eastAsia" w:ascii="仿宋_GB2312" w:hAnsi="仿宋_GB2312" w:eastAsia="仿宋_GB2312" w:cs="仿宋_GB2312"/>
          <w:color w:val="auto"/>
          <w:sz w:val="32"/>
          <w:szCs w:val="32"/>
        </w:rPr>
        <w:t>。</w:t>
      </w:r>
    </w:p>
    <w:p>
      <w:pPr>
        <w:pStyle w:val="3"/>
        <w:ind w:left="0" w:leftChars="0" w:firstLine="640" w:firstLineChars="200"/>
        <w:rPr>
          <w:rFonts w:hint="eastAsia" w:eastAsia="仿宋_GB2312"/>
          <w:lang w:val="en-US" w:eastAsia="zh-CN"/>
        </w:rPr>
      </w:pPr>
      <w:r>
        <w:rPr>
          <w:rFonts w:hint="eastAsia" w:ascii="仿宋_GB2312" w:hAnsi="仿宋_GB2312" w:eastAsia="仿宋_GB2312" w:cs="仿宋_GB2312"/>
          <w:color w:val="auto"/>
          <w:sz w:val="32"/>
          <w:szCs w:val="32"/>
        </w:rPr>
        <w:t>《指引》第</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章“</w:t>
      </w:r>
      <w:r>
        <w:rPr>
          <w:rFonts w:hint="eastAsia" w:ascii="仿宋_GB2312" w:hAnsi="仿宋_GB2312" w:eastAsia="仿宋_GB2312" w:cs="仿宋_GB2312"/>
          <w:color w:val="auto"/>
          <w:sz w:val="32"/>
          <w:szCs w:val="32"/>
          <w:lang w:eastAsia="zh-CN"/>
        </w:rPr>
        <w:t>合规保障机制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主要包括</w:t>
      </w:r>
      <w:r>
        <w:rPr>
          <w:rFonts w:hint="eastAsia" w:ascii="仿宋_GB2312" w:hAnsi="仿宋_GB2312" w:eastAsia="仿宋_GB2312" w:cs="仿宋_GB2312"/>
          <w:color w:val="auto"/>
          <w:sz w:val="32"/>
          <w:szCs w:val="32"/>
        </w:rPr>
        <w:t>合规培训</w:t>
      </w:r>
      <w:r>
        <w:rPr>
          <w:rFonts w:hint="eastAsia" w:ascii="仿宋_GB2312" w:hAnsi="仿宋_GB2312" w:eastAsia="仿宋_GB2312" w:cs="仿宋_GB2312"/>
          <w:color w:val="auto"/>
          <w:sz w:val="32"/>
          <w:szCs w:val="32"/>
          <w:lang w:eastAsia="zh-CN"/>
        </w:rPr>
        <w:t>、合规考核、合规协调、定期监测与更新、信息化建设、合规文化建设等。</w:t>
      </w:r>
    </w:p>
    <w:p>
      <w:pPr>
        <w:pStyle w:val="2"/>
        <w:keepNext w:val="0"/>
        <w:keepLines w:val="0"/>
        <w:pageBreakBefore w:val="0"/>
        <w:widowControl w:val="0"/>
        <w:kinsoku/>
        <w:wordWrap/>
        <w:overflowPunct/>
        <w:topLinePunct w:val="0"/>
        <w:bidi w:val="0"/>
        <w:snapToGrid/>
        <w:spacing w:line="50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Q3ODY1ZDU3ZmY0ODdiYTBiNTY4MjM0NTZmMzhmMDMifQ=="/>
  </w:docVars>
  <w:rsids>
    <w:rsidRoot w:val="09453F67"/>
    <w:rsid w:val="000150C0"/>
    <w:rsid w:val="000226A1"/>
    <w:rsid w:val="00072201"/>
    <w:rsid w:val="00087585"/>
    <w:rsid w:val="00090D11"/>
    <w:rsid w:val="00145006"/>
    <w:rsid w:val="00156E6A"/>
    <w:rsid w:val="00164E88"/>
    <w:rsid w:val="00167DAA"/>
    <w:rsid w:val="001877CE"/>
    <w:rsid w:val="001904AA"/>
    <w:rsid w:val="001B4750"/>
    <w:rsid w:val="0021379B"/>
    <w:rsid w:val="002F037B"/>
    <w:rsid w:val="00323655"/>
    <w:rsid w:val="00336FC4"/>
    <w:rsid w:val="0035221E"/>
    <w:rsid w:val="00401FB2"/>
    <w:rsid w:val="00481F3D"/>
    <w:rsid w:val="004A52EB"/>
    <w:rsid w:val="005176CF"/>
    <w:rsid w:val="0053726D"/>
    <w:rsid w:val="00541EBF"/>
    <w:rsid w:val="00560B08"/>
    <w:rsid w:val="005E036D"/>
    <w:rsid w:val="006410EF"/>
    <w:rsid w:val="00642A34"/>
    <w:rsid w:val="006A0510"/>
    <w:rsid w:val="00737CC2"/>
    <w:rsid w:val="00764C74"/>
    <w:rsid w:val="00787716"/>
    <w:rsid w:val="007924CF"/>
    <w:rsid w:val="00794705"/>
    <w:rsid w:val="007B4D4D"/>
    <w:rsid w:val="008304BA"/>
    <w:rsid w:val="008720F5"/>
    <w:rsid w:val="00876307"/>
    <w:rsid w:val="00886DE9"/>
    <w:rsid w:val="009E7041"/>
    <w:rsid w:val="00A413B9"/>
    <w:rsid w:val="00A80C89"/>
    <w:rsid w:val="00A80DF1"/>
    <w:rsid w:val="00AA5FCC"/>
    <w:rsid w:val="00AE2910"/>
    <w:rsid w:val="00B00EDF"/>
    <w:rsid w:val="00B2063E"/>
    <w:rsid w:val="00B277C7"/>
    <w:rsid w:val="00B400C7"/>
    <w:rsid w:val="00B800A4"/>
    <w:rsid w:val="00BD395E"/>
    <w:rsid w:val="00BF2107"/>
    <w:rsid w:val="00BF28B1"/>
    <w:rsid w:val="00C32C5C"/>
    <w:rsid w:val="00CB7EC5"/>
    <w:rsid w:val="00D27621"/>
    <w:rsid w:val="00D30919"/>
    <w:rsid w:val="00D56325"/>
    <w:rsid w:val="00D61904"/>
    <w:rsid w:val="00DA1E66"/>
    <w:rsid w:val="00E35274"/>
    <w:rsid w:val="00E35827"/>
    <w:rsid w:val="00E80A34"/>
    <w:rsid w:val="00EB3F27"/>
    <w:rsid w:val="00EE18E0"/>
    <w:rsid w:val="00F022BD"/>
    <w:rsid w:val="00F55F9B"/>
    <w:rsid w:val="00FB68CE"/>
    <w:rsid w:val="00FF631B"/>
    <w:rsid w:val="011B2901"/>
    <w:rsid w:val="01917DEF"/>
    <w:rsid w:val="02357413"/>
    <w:rsid w:val="029C75F5"/>
    <w:rsid w:val="05391DB9"/>
    <w:rsid w:val="05987DBC"/>
    <w:rsid w:val="05B82689"/>
    <w:rsid w:val="062A4D3F"/>
    <w:rsid w:val="077D7DEA"/>
    <w:rsid w:val="0848035F"/>
    <w:rsid w:val="0895761B"/>
    <w:rsid w:val="08AE7E5C"/>
    <w:rsid w:val="08CA7214"/>
    <w:rsid w:val="08DD3C96"/>
    <w:rsid w:val="08FB4F99"/>
    <w:rsid w:val="09453F67"/>
    <w:rsid w:val="09463310"/>
    <w:rsid w:val="0A7B322A"/>
    <w:rsid w:val="0B063855"/>
    <w:rsid w:val="0B2F1563"/>
    <w:rsid w:val="0BAA50AC"/>
    <w:rsid w:val="0BB03C8F"/>
    <w:rsid w:val="0BD40D14"/>
    <w:rsid w:val="0C384413"/>
    <w:rsid w:val="0CF671C1"/>
    <w:rsid w:val="0D0C1AA1"/>
    <w:rsid w:val="0D624279"/>
    <w:rsid w:val="0E6460F2"/>
    <w:rsid w:val="0EB0638E"/>
    <w:rsid w:val="0EE1311E"/>
    <w:rsid w:val="0F252201"/>
    <w:rsid w:val="0F8676D2"/>
    <w:rsid w:val="0F8B69AB"/>
    <w:rsid w:val="106F727C"/>
    <w:rsid w:val="121405E8"/>
    <w:rsid w:val="14462C86"/>
    <w:rsid w:val="14C84621"/>
    <w:rsid w:val="15012B13"/>
    <w:rsid w:val="16576D62"/>
    <w:rsid w:val="16A91EF8"/>
    <w:rsid w:val="182D3261"/>
    <w:rsid w:val="18EA07B1"/>
    <w:rsid w:val="196A41D4"/>
    <w:rsid w:val="19C04379"/>
    <w:rsid w:val="1A3E59C6"/>
    <w:rsid w:val="1A5861D5"/>
    <w:rsid w:val="1ACC72ED"/>
    <w:rsid w:val="1B557165"/>
    <w:rsid w:val="1DD7498F"/>
    <w:rsid w:val="1E0A7720"/>
    <w:rsid w:val="1EE8383F"/>
    <w:rsid w:val="1F0F7230"/>
    <w:rsid w:val="1F5E1313"/>
    <w:rsid w:val="20225FBD"/>
    <w:rsid w:val="203A6D77"/>
    <w:rsid w:val="215F42B2"/>
    <w:rsid w:val="22C00A3B"/>
    <w:rsid w:val="23824848"/>
    <w:rsid w:val="24973449"/>
    <w:rsid w:val="254778BB"/>
    <w:rsid w:val="26215B13"/>
    <w:rsid w:val="27177A25"/>
    <w:rsid w:val="278C10B2"/>
    <w:rsid w:val="27E55690"/>
    <w:rsid w:val="27FD7572"/>
    <w:rsid w:val="29325383"/>
    <w:rsid w:val="2A0A7A37"/>
    <w:rsid w:val="2AB73BC2"/>
    <w:rsid w:val="2C0753E2"/>
    <w:rsid w:val="2C572851"/>
    <w:rsid w:val="2DD9233F"/>
    <w:rsid w:val="2DDF2977"/>
    <w:rsid w:val="2E1A1621"/>
    <w:rsid w:val="2E8149B5"/>
    <w:rsid w:val="2FC22169"/>
    <w:rsid w:val="306453B6"/>
    <w:rsid w:val="31097D0B"/>
    <w:rsid w:val="31AE4C33"/>
    <w:rsid w:val="328426DB"/>
    <w:rsid w:val="330A6D65"/>
    <w:rsid w:val="33182451"/>
    <w:rsid w:val="34162DDA"/>
    <w:rsid w:val="347A0B6B"/>
    <w:rsid w:val="36731570"/>
    <w:rsid w:val="36DA0CCD"/>
    <w:rsid w:val="373A5E6D"/>
    <w:rsid w:val="37717023"/>
    <w:rsid w:val="37C44160"/>
    <w:rsid w:val="386A72E1"/>
    <w:rsid w:val="38D0165E"/>
    <w:rsid w:val="3AFC4118"/>
    <w:rsid w:val="3C004DF8"/>
    <w:rsid w:val="3C2B322B"/>
    <w:rsid w:val="3C386D25"/>
    <w:rsid w:val="3D6A28D7"/>
    <w:rsid w:val="3DB25084"/>
    <w:rsid w:val="3DED169E"/>
    <w:rsid w:val="3F552C6C"/>
    <w:rsid w:val="3FEC482B"/>
    <w:rsid w:val="40497442"/>
    <w:rsid w:val="40DA296D"/>
    <w:rsid w:val="4186089B"/>
    <w:rsid w:val="440311A7"/>
    <w:rsid w:val="4447180A"/>
    <w:rsid w:val="44D47285"/>
    <w:rsid w:val="46720F07"/>
    <w:rsid w:val="474433F3"/>
    <w:rsid w:val="47AE35AC"/>
    <w:rsid w:val="485974B1"/>
    <w:rsid w:val="48BC6866"/>
    <w:rsid w:val="493C3440"/>
    <w:rsid w:val="4B297223"/>
    <w:rsid w:val="4B8D6397"/>
    <w:rsid w:val="4B9276DA"/>
    <w:rsid w:val="4BB95275"/>
    <w:rsid w:val="4BF74ED8"/>
    <w:rsid w:val="4CF76E6B"/>
    <w:rsid w:val="4D0B21D9"/>
    <w:rsid w:val="4DA573D8"/>
    <w:rsid w:val="4EBD7E99"/>
    <w:rsid w:val="4F1E452A"/>
    <w:rsid w:val="501C6CBB"/>
    <w:rsid w:val="50E92E8B"/>
    <w:rsid w:val="50F6750C"/>
    <w:rsid w:val="51C176C0"/>
    <w:rsid w:val="51E67934"/>
    <w:rsid w:val="53187214"/>
    <w:rsid w:val="53623A26"/>
    <w:rsid w:val="53B611EE"/>
    <w:rsid w:val="5449216C"/>
    <w:rsid w:val="54D10254"/>
    <w:rsid w:val="54F97574"/>
    <w:rsid w:val="563F1955"/>
    <w:rsid w:val="563F1E8B"/>
    <w:rsid w:val="57071095"/>
    <w:rsid w:val="578A7645"/>
    <w:rsid w:val="58D02175"/>
    <w:rsid w:val="5941096F"/>
    <w:rsid w:val="5967369D"/>
    <w:rsid w:val="599C0B75"/>
    <w:rsid w:val="5AB50438"/>
    <w:rsid w:val="5AD6466C"/>
    <w:rsid w:val="5B52223C"/>
    <w:rsid w:val="5B9B3CB5"/>
    <w:rsid w:val="5BAA46D0"/>
    <w:rsid w:val="5CEA2FE6"/>
    <w:rsid w:val="5D094C39"/>
    <w:rsid w:val="5D0F1227"/>
    <w:rsid w:val="5D3F4774"/>
    <w:rsid w:val="6056571A"/>
    <w:rsid w:val="60CA1420"/>
    <w:rsid w:val="610D31BF"/>
    <w:rsid w:val="61131169"/>
    <w:rsid w:val="61911387"/>
    <w:rsid w:val="6230531F"/>
    <w:rsid w:val="62C03E44"/>
    <w:rsid w:val="62FF7A2A"/>
    <w:rsid w:val="644E010B"/>
    <w:rsid w:val="646B54E7"/>
    <w:rsid w:val="64A060C3"/>
    <w:rsid w:val="64CC25C3"/>
    <w:rsid w:val="6562740E"/>
    <w:rsid w:val="65C71020"/>
    <w:rsid w:val="65EC6D68"/>
    <w:rsid w:val="66702166"/>
    <w:rsid w:val="66EE308F"/>
    <w:rsid w:val="66F56C6B"/>
    <w:rsid w:val="6743122F"/>
    <w:rsid w:val="67C936E4"/>
    <w:rsid w:val="68570892"/>
    <w:rsid w:val="68785DBF"/>
    <w:rsid w:val="68FB6FD0"/>
    <w:rsid w:val="690A22E6"/>
    <w:rsid w:val="6974506C"/>
    <w:rsid w:val="69A70577"/>
    <w:rsid w:val="69A809E9"/>
    <w:rsid w:val="6AC65D4A"/>
    <w:rsid w:val="6B246BC1"/>
    <w:rsid w:val="6B366F7F"/>
    <w:rsid w:val="6B710FD4"/>
    <w:rsid w:val="6C9360FF"/>
    <w:rsid w:val="6CAD71C1"/>
    <w:rsid w:val="6CCD7863"/>
    <w:rsid w:val="6D87671D"/>
    <w:rsid w:val="6DC062F5"/>
    <w:rsid w:val="6F20011E"/>
    <w:rsid w:val="70246CD6"/>
    <w:rsid w:val="704B020F"/>
    <w:rsid w:val="70C426AE"/>
    <w:rsid w:val="70E066E0"/>
    <w:rsid w:val="72070584"/>
    <w:rsid w:val="722E602E"/>
    <w:rsid w:val="72636124"/>
    <w:rsid w:val="728C35E4"/>
    <w:rsid w:val="73092D21"/>
    <w:rsid w:val="73407040"/>
    <w:rsid w:val="73ED42A3"/>
    <w:rsid w:val="75257D2F"/>
    <w:rsid w:val="76404A0E"/>
    <w:rsid w:val="771A36A5"/>
    <w:rsid w:val="77926773"/>
    <w:rsid w:val="77BA3049"/>
    <w:rsid w:val="77C845D9"/>
    <w:rsid w:val="7887182A"/>
    <w:rsid w:val="79F36820"/>
    <w:rsid w:val="7A9F394B"/>
    <w:rsid w:val="7B2E0096"/>
    <w:rsid w:val="7B456DD4"/>
    <w:rsid w:val="7BF73DE9"/>
    <w:rsid w:val="7C246D74"/>
    <w:rsid w:val="7C4E0D6D"/>
    <w:rsid w:val="7C635D81"/>
    <w:rsid w:val="7CE84519"/>
    <w:rsid w:val="7D9072EE"/>
    <w:rsid w:val="7E4176E5"/>
    <w:rsid w:val="7EAC2C2B"/>
    <w:rsid w:val="7ED55CC3"/>
    <w:rsid w:val="7F7F5E98"/>
    <w:rsid w:val="7F833DB1"/>
    <w:rsid w:val="7FE63D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0"/>
    <w:pPr>
      <w:ind w:firstLine="562" w:firstLineChars="200"/>
      <w:outlineLvl w:val="2"/>
    </w:pPr>
    <w:rPr>
      <w:rFonts w:ascii="仿宋" w:hAnsi="仿宋" w:eastAsia="仿宋" w:cs="仿宋"/>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styleId="5">
    <w:name w:val="Normal Indent"/>
    <w:basedOn w:val="1"/>
    <w:next w:val="1"/>
    <w:qFormat/>
    <w:uiPriority w:val="0"/>
    <w:pPr>
      <w:ind w:firstLine="200" w:firstLineChars="200"/>
    </w:pPr>
    <w:rPr>
      <w:rFonts w:eastAsia="宋体"/>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customStyle="1" w:styleId="12">
    <w:name w:val="页眉 Char"/>
    <w:basedOn w:val="10"/>
    <w:link w:val="7"/>
    <w:qFormat/>
    <w:uiPriority w:val="0"/>
    <w:rPr>
      <w:rFonts w:asciiTheme="minorHAnsi" w:hAnsiTheme="minorHAnsi" w:eastAsiaTheme="minorEastAsia" w:cstheme="minorBidi"/>
      <w:kern w:val="2"/>
      <w:sz w:val="18"/>
      <w:szCs w:val="18"/>
    </w:rPr>
  </w:style>
  <w:style w:type="character" w:customStyle="1" w:styleId="13">
    <w:name w:val="页脚 Char"/>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2821</Words>
  <Characters>2853</Characters>
  <Lines>10</Lines>
  <Paragraphs>2</Paragraphs>
  <TotalTime>8</TotalTime>
  <ScaleCrop>false</ScaleCrop>
  <LinksUpToDate>false</LinksUpToDate>
  <CharactersWithSpaces>2861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2023-09-21T11:19:00Z</dcterms:created>
  <dc:creator>五阿哥</dc:creator>
  <cp:lastModifiedBy>LE</cp:lastModifiedBy>
  <cp:lastPrinted>2023-10-12T09:18:00Z</cp:lastPrinted>
  <dcterms:modified xsi:type="dcterms:W3CDTF">2024-11-19T07:20:48Z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0EF42B8338494C72836756E346BEF3F1_11</vt:lpwstr>
  </property>
</Properties>
</file>