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仿宋_GB2312"/>
          <w:b/>
          <w:sz w:val="72"/>
        </w:rPr>
      </w:pPr>
    </w:p>
    <w:p>
      <w:pPr>
        <w:jc w:val="center"/>
        <w:rPr>
          <w:rFonts w:eastAsia="仿宋_GB2312"/>
          <w:b/>
          <w:sz w:val="72"/>
        </w:rPr>
      </w:pPr>
    </w:p>
    <w:p>
      <w:pPr>
        <w:jc w:val="center"/>
        <w:rPr>
          <w:rFonts w:ascii="方正小标宋简体" w:eastAsia="方正小标宋简体"/>
          <w:bCs/>
          <w:sz w:val="52"/>
          <w:szCs w:val="52"/>
        </w:rPr>
      </w:pPr>
      <w:r>
        <w:rPr>
          <w:rFonts w:hint="eastAsia" w:ascii="方正小标宋简体" w:eastAsia="方正小标宋简体"/>
          <w:bCs/>
          <w:sz w:val="52"/>
          <w:szCs w:val="52"/>
        </w:rPr>
        <w:t>海宁市热电联产（集中供热）规划</w:t>
      </w:r>
      <w:r>
        <w:rPr>
          <w:rFonts w:hint="eastAsia" w:ascii="方正小标宋简体" w:hAnsi="Times New Roman" w:eastAsia="方正小标宋简体" w:cs="Times New Roman"/>
          <w:bCs/>
          <w:sz w:val="52"/>
          <w:szCs w:val="52"/>
        </w:rPr>
        <w:t>（</w:t>
      </w:r>
      <w:r>
        <w:rPr>
          <w:rFonts w:ascii="方正小标宋简体" w:hAnsi="Times New Roman" w:eastAsia="方正小标宋简体" w:cs="Times New Roman"/>
          <w:bCs/>
          <w:sz w:val="52"/>
          <w:szCs w:val="52"/>
        </w:rPr>
        <w:t>2025</w:t>
      </w:r>
      <w:r>
        <w:rPr>
          <w:rFonts w:hint="eastAsia" w:ascii="方正小标宋简体" w:hAnsi="Times New Roman" w:eastAsia="方正小标宋简体" w:cs="Times New Roman"/>
          <w:bCs/>
          <w:sz w:val="52"/>
          <w:szCs w:val="52"/>
        </w:rPr>
        <w:t>～</w:t>
      </w:r>
      <w:r>
        <w:rPr>
          <w:rFonts w:ascii="方正小标宋简体" w:hAnsi="Times New Roman" w:eastAsia="方正小标宋简体" w:cs="Times New Roman"/>
          <w:bCs/>
          <w:sz w:val="52"/>
          <w:szCs w:val="52"/>
        </w:rPr>
        <w:t>2030年</w:t>
      </w:r>
      <w:r>
        <w:rPr>
          <w:rFonts w:hint="eastAsia" w:ascii="方正小标宋简体" w:hAnsi="Times New Roman" w:eastAsia="方正小标宋简体" w:cs="Times New Roman"/>
          <w:bCs/>
          <w:sz w:val="52"/>
          <w:szCs w:val="52"/>
        </w:rPr>
        <w:t>）</w:t>
      </w:r>
    </w:p>
    <w:p>
      <w:pPr>
        <w:jc w:val="center"/>
        <w:rPr>
          <w:rFonts w:ascii="楷体_GB2312" w:eastAsia="楷体_GB2312"/>
          <w:bCs/>
          <w:sz w:val="44"/>
          <w:szCs w:val="44"/>
        </w:rPr>
      </w:pPr>
      <w:r>
        <w:rPr>
          <w:rFonts w:hint="eastAsia" w:ascii="楷体_GB2312" w:eastAsia="楷体_GB2312"/>
          <w:bCs/>
          <w:sz w:val="44"/>
          <w:szCs w:val="44"/>
        </w:rPr>
        <w:t>（送审稿）</w:t>
      </w:r>
    </w:p>
    <w:p>
      <w:pPr>
        <w:rPr>
          <w:rFonts w:eastAsia="仿宋_GB2312"/>
          <w:b/>
        </w:rPr>
      </w:pPr>
    </w:p>
    <w:p>
      <w:pPr>
        <w:rPr>
          <w:rFonts w:eastAsia="仿宋_GB2312"/>
          <w:b/>
        </w:rPr>
      </w:pPr>
    </w:p>
    <w:p>
      <w:pPr>
        <w:rPr>
          <w:rFonts w:eastAsia="仿宋_GB2312"/>
          <w:b/>
        </w:rPr>
      </w:pPr>
    </w:p>
    <w:p>
      <w:pPr>
        <w:rPr>
          <w:rFonts w:eastAsia="仿宋_GB2312"/>
          <w:b/>
        </w:rPr>
      </w:pPr>
    </w:p>
    <w:p>
      <w:pPr>
        <w:rPr>
          <w:rFonts w:eastAsia="仿宋_GB2312"/>
          <w:b/>
        </w:rPr>
      </w:pPr>
    </w:p>
    <w:p>
      <w:pPr>
        <w:rPr>
          <w:rFonts w:eastAsia="仿宋_GB2312"/>
          <w:b/>
        </w:rPr>
      </w:pPr>
    </w:p>
    <w:p>
      <w:pPr>
        <w:rPr>
          <w:rFonts w:eastAsia="仿宋_GB2312"/>
          <w:b/>
        </w:rPr>
      </w:pPr>
    </w:p>
    <w:p>
      <w:pPr>
        <w:pStyle w:val="50"/>
        <w:widowControl w:val="0"/>
        <w:pBdr>
          <w:right w:val="none" w:color="auto" w:sz="0" w:space="0"/>
        </w:pBdr>
        <w:spacing w:before="0" w:after="0"/>
        <w:textAlignment w:val="auto"/>
        <w:rPr>
          <w:rFonts w:ascii="Times New Roman" w:hAnsi="Times New Roman" w:eastAsia="仿宋_GB2312"/>
          <w:b/>
          <w:kern w:val="2"/>
        </w:rPr>
      </w:pPr>
    </w:p>
    <w:p>
      <w:pPr>
        <w:rPr>
          <w:rFonts w:eastAsia="仿宋_GB2312"/>
          <w:b/>
        </w:rPr>
      </w:pPr>
    </w:p>
    <w:p>
      <w:pPr>
        <w:rPr>
          <w:rFonts w:eastAsia="仿宋_GB2312"/>
          <w:b/>
        </w:rPr>
      </w:pPr>
    </w:p>
    <w:p>
      <w:pPr>
        <w:rPr>
          <w:rFonts w:eastAsia="仿宋_GB2312"/>
          <w:b/>
        </w:rPr>
      </w:pPr>
    </w:p>
    <w:p>
      <w:pPr>
        <w:rPr>
          <w:rFonts w:eastAsia="仿宋_GB2312"/>
          <w:b/>
        </w:rPr>
      </w:pPr>
    </w:p>
    <w:p>
      <w:pPr>
        <w:rPr>
          <w:rFonts w:eastAsia="仿宋_GB2312"/>
          <w:b/>
        </w:rPr>
      </w:pPr>
    </w:p>
    <w:p>
      <w:pPr>
        <w:rPr>
          <w:rFonts w:eastAsia="仿宋_GB2312"/>
          <w:b/>
        </w:rPr>
      </w:pPr>
    </w:p>
    <w:p>
      <w:pPr>
        <w:rPr>
          <w:rFonts w:eastAsia="仿宋_GB2312"/>
          <w:b/>
        </w:rPr>
      </w:pPr>
    </w:p>
    <w:p>
      <w:pPr>
        <w:rPr>
          <w:rFonts w:eastAsia="仿宋_GB2312"/>
          <w:b/>
        </w:rPr>
      </w:pPr>
    </w:p>
    <w:p>
      <w:pPr>
        <w:rPr>
          <w:rFonts w:eastAsia="仿宋_GB2312"/>
          <w:b/>
        </w:rPr>
      </w:pPr>
    </w:p>
    <w:p>
      <w:pPr>
        <w:jc w:val="center"/>
        <w:rPr>
          <w:rFonts w:ascii="Times New Roman" w:hAnsi="Times New Roman" w:eastAsia="黑体" w:cs="Times New Roman"/>
          <w:bCs/>
          <w:sz w:val="36"/>
          <w:szCs w:val="36"/>
        </w:rPr>
      </w:pPr>
      <w:r>
        <w:rPr>
          <w:rFonts w:hint="eastAsia" w:ascii="Times New Roman" w:hAnsi="Times New Roman" w:eastAsia="黑体" w:cs="Times New Roman"/>
          <w:bCs/>
          <w:sz w:val="36"/>
          <w:szCs w:val="36"/>
        </w:rPr>
        <w:t>海宁市发展和改革局</w:t>
      </w:r>
    </w:p>
    <w:p>
      <w:pPr>
        <w:spacing w:line="360" w:lineRule="auto"/>
        <w:jc w:val="center"/>
        <w:rPr>
          <w:rFonts w:ascii="Times New Roman" w:hAnsi="Times New Roman" w:eastAsia="黑体" w:cs="Times New Roman"/>
          <w:bCs/>
          <w:sz w:val="36"/>
          <w:szCs w:val="36"/>
        </w:rPr>
      </w:pPr>
      <w:r>
        <w:rPr>
          <w:rFonts w:ascii="Times New Roman" w:hAnsi="Times New Roman" w:eastAsia="黑体" w:cs="Times New Roman"/>
          <w:bCs/>
          <w:sz w:val="36"/>
          <w:szCs w:val="36"/>
        </w:rPr>
        <w:t>2025年2月</w:t>
      </w:r>
    </w:p>
    <w:p>
      <w:pPr>
        <w:spacing w:line="560" w:lineRule="exact"/>
        <w:ind w:firstLine="560" w:firstLineChars="200"/>
        <w:rPr>
          <w:rFonts w:ascii="Times New Roman" w:hAnsi="Times New Roman" w:eastAsia="仿宋_GB2312" w:cs="Times New Roman"/>
          <w:sz w:val="28"/>
          <w:szCs w:val="28"/>
        </w:rPr>
        <w:sectPr>
          <w:headerReference r:id="rId3" w:type="default"/>
          <w:footerReference r:id="rId4" w:type="default"/>
          <w:pgSz w:w="11906" w:h="16838"/>
          <w:pgMar w:top="1440" w:right="1800" w:bottom="1440" w:left="1800" w:header="851" w:footer="992" w:gutter="0"/>
          <w:cols w:space="425" w:num="1"/>
          <w:docGrid w:type="lines" w:linePitch="312" w:charSpace="0"/>
        </w:sectPr>
      </w:pPr>
    </w:p>
    <w:sdt>
      <w:sdtPr>
        <w:rPr>
          <w:rFonts w:asciiTheme="minorHAnsi" w:hAnsiTheme="minorHAnsi" w:eastAsiaTheme="minorEastAsia" w:cstheme="minorBidi"/>
          <w:b w:val="0"/>
          <w:color w:val="auto"/>
          <w:kern w:val="2"/>
          <w:sz w:val="21"/>
          <w:szCs w:val="22"/>
          <w:lang w:val="zh-CN"/>
        </w:rPr>
        <w:id w:val="2035993501"/>
        <w:docPartObj>
          <w:docPartGallery w:val="Table of Contents"/>
          <w:docPartUnique/>
        </w:docPartObj>
      </w:sdtPr>
      <w:sdtEndPr>
        <w:rPr>
          <w:rFonts w:asciiTheme="minorHAnsi" w:hAnsiTheme="minorHAnsi" w:eastAsiaTheme="minorEastAsia" w:cstheme="minorBidi"/>
          <w:b w:val="0"/>
          <w:bCs/>
          <w:color w:val="auto"/>
          <w:kern w:val="2"/>
          <w:sz w:val="21"/>
          <w:szCs w:val="22"/>
          <w:lang w:val="zh-CN"/>
        </w:rPr>
      </w:sdtEndPr>
      <w:sdtContent>
        <w:p>
          <w:pPr>
            <w:pStyle w:val="51"/>
            <w:jc w:val="center"/>
            <w:rPr>
              <w:rFonts w:ascii="黑体" w:hAnsi="黑体" w:eastAsia="黑体" w:cs="Times New Roman"/>
              <w:b w:val="0"/>
              <w:color w:val="auto"/>
            </w:rPr>
          </w:pPr>
          <w:r>
            <w:rPr>
              <w:rFonts w:ascii="黑体" w:hAnsi="黑体" w:eastAsia="黑体" w:cs="Times New Roman"/>
              <w:b w:val="0"/>
              <w:color w:val="auto"/>
              <w:lang w:val="zh-CN"/>
            </w:rPr>
            <w:t>目  录</w:t>
          </w:r>
        </w:p>
        <w:p>
          <w:pPr>
            <w:pStyle w:val="15"/>
            <w:tabs>
              <w:tab w:val="right" w:leader="dot" w:pos="8720"/>
            </w:tabs>
            <w:rPr>
              <w:rFonts w:ascii="Times New Roman" w:hAnsi="Times New Roman" w:eastAsia="楷体_GB2312" w:cs="Times New Roman"/>
              <w:sz w:val="28"/>
              <w:szCs w:val="28"/>
            </w:rPr>
          </w:pPr>
          <w:r>
            <w:rPr>
              <w:rFonts w:ascii="Times New Roman" w:hAnsi="Times New Roman" w:eastAsia="楷体_GB2312" w:cs="Times New Roman"/>
              <w:b/>
              <w:sz w:val="28"/>
              <w:szCs w:val="28"/>
            </w:rPr>
            <w:fldChar w:fldCharType="begin"/>
          </w:r>
          <w:r>
            <w:rPr>
              <w:rFonts w:ascii="Times New Roman" w:hAnsi="Times New Roman" w:eastAsia="楷体_GB2312" w:cs="Times New Roman"/>
              <w:b/>
              <w:sz w:val="28"/>
              <w:szCs w:val="28"/>
            </w:rPr>
            <w:instrText xml:space="preserve"> TOC \o "1-3" \h \z \u </w:instrText>
          </w:r>
          <w:r>
            <w:rPr>
              <w:rFonts w:ascii="Times New Roman" w:hAnsi="Times New Roman" w:eastAsia="楷体_GB2312" w:cs="Times New Roman"/>
              <w:b/>
              <w:sz w:val="28"/>
              <w:szCs w:val="28"/>
            </w:rPr>
            <w:fldChar w:fldCharType="separate"/>
          </w:r>
          <w:r>
            <w:fldChar w:fldCharType="begin"/>
          </w:r>
          <w:r>
            <w:instrText xml:space="preserve"> HYPERLINK \l "_Toc188636864" </w:instrText>
          </w:r>
          <w:r>
            <w:fldChar w:fldCharType="separate"/>
          </w:r>
          <w:r>
            <w:rPr>
              <w:rStyle w:val="28"/>
              <w:rFonts w:ascii="黑体" w:hAnsi="黑体" w:eastAsia="黑体" w:cs="Times New Roman"/>
              <w:sz w:val="28"/>
              <w:szCs w:val="28"/>
            </w:rPr>
            <w:t>一、规划总则</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_Toc188636864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"_Toc188636865" </w:instrText>
          </w:r>
          <w:r>
            <w:fldChar w:fldCharType="separate"/>
          </w:r>
          <w:r>
            <w:rPr>
              <w:rStyle w:val="28"/>
              <w:rFonts w:ascii="Times New Roman" w:hAnsi="Times New Roman" w:eastAsia="楷体_GB2312" w:cs="Times New Roman"/>
              <w:sz w:val="28"/>
              <w:szCs w:val="28"/>
            </w:rPr>
            <w:t>1.1规划背景</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_Toc188636865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"_Toc188636866" </w:instrText>
          </w:r>
          <w:r>
            <w:fldChar w:fldCharType="separate"/>
          </w:r>
          <w:r>
            <w:rPr>
              <w:rStyle w:val="28"/>
              <w:rFonts w:ascii="Times New Roman" w:hAnsi="Times New Roman" w:eastAsia="楷体_GB2312" w:cs="Times New Roman"/>
              <w:sz w:val="28"/>
              <w:szCs w:val="28"/>
            </w:rPr>
            <w:t>1.2 规划指导思想、目标及基本原则</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_Toc188636866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3</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"_Toc188636870" </w:instrText>
          </w:r>
          <w:r>
            <w:fldChar w:fldCharType="separate"/>
          </w:r>
          <w:r>
            <w:rPr>
              <w:rStyle w:val="28"/>
              <w:rFonts w:ascii="Times New Roman" w:hAnsi="Times New Roman" w:eastAsia="楷体_GB2312" w:cs="Times New Roman"/>
              <w:sz w:val="28"/>
              <w:szCs w:val="28"/>
            </w:rPr>
            <w:t>1.3规划依据</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_Toc188636870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5</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"_Toc188636874" </w:instrText>
          </w:r>
          <w:r>
            <w:fldChar w:fldCharType="separate"/>
          </w:r>
          <w:r>
            <w:rPr>
              <w:rStyle w:val="28"/>
              <w:rFonts w:ascii="Times New Roman" w:hAnsi="Times New Roman" w:eastAsia="楷体_GB2312" w:cs="Times New Roman"/>
              <w:sz w:val="28"/>
              <w:szCs w:val="28"/>
            </w:rPr>
            <w:t>1.4规划范围与期限</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_Toc188636874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7</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"_Toc188636877" </w:instrText>
          </w:r>
          <w:r>
            <w:fldChar w:fldCharType="separate"/>
          </w:r>
          <w:r>
            <w:rPr>
              <w:rStyle w:val="28"/>
              <w:rFonts w:ascii="黑体" w:hAnsi="黑体" w:eastAsia="黑体" w:cs="Times New Roman"/>
              <w:sz w:val="28"/>
              <w:szCs w:val="28"/>
            </w:rPr>
            <w:t>二、区域概况</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_Toc188636877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8</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"_Toc188636878" </w:instrText>
          </w:r>
          <w:r>
            <w:fldChar w:fldCharType="separate"/>
          </w:r>
          <w:r>
            <w:rPr>
              <w:rStyle w:val="28"/>
              <w:rFonts w:ascii="Times New Roman" w:hAnsi="Times New Roman" w:eastAsia="楷体_GB2312" w:cs="Times New Roman"/>
              <w:sz w:val="28"/>
              <w:szCs w:val="28"/>
            </w:rPr>
            <w:t>2.1自然条件</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_Toc188636878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8</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"_Toc188636883" </w:instrText>
          </w:r>
          <w:r>
            <w:fldChar w:fldCharType="separate"/>
          </w:r>
          <w:r>
            <w:rPr>
              <w:rStyle w:val="28"/>
              <w:rFonts w:ascii="Times New Roman" w:hAnsi="Times New Roman" w:eastAsia="楷体_GB2312" w:cs="Times New Roman"/>
              <w:sz w:val="28"/>
              <w:szCs w:val="28"/>
            </w:rPr>
            <w:t>2.2经济与社会发展</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_Toc188636883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"_Toc188636886" </w:instrText>
          </w:r>
          <w:r>
            <w:fldChar w:fldCharType="separate"/>
          </w:r>
          <w:r>
            <w:rPr>
              <w:rStyle w:val="28"/>
              <w:rFonts w:ascii="Times New Roman" w:hAnsi="Times New Roman" w:eastAsia="楷体_GB2312" w:cs="Times New Roman"/>
              <w:sz w:val="28"/>
              <w:szCs w:val="28"/>
            </w:rPr>
            <w:t>2.3相关发展规划</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_Toc188636886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11</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"_Toc188636890" </w:instrText>
          </w:r>
          <w:r>
            <w:fldChar w:fldCharType="separate"/>
          </w:r>
          <w:r>
            <w:rPr>
              <w:rStyle w:val="28"/>
              <w:rFonts w:ascii="黑体" w:hAnsi="黑体" w:eastAsia="黑体" w:cs="Times New Roman"/>
              <w:sz w:val="28"/>
              <w:szCs w:val="28"/>
            </w:rPr>
            <w:t>三、供热现状</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_Toc188636890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"_Toc188636891" </w:instrText>
          </w:r>
          <w:r>
            <w:fldChar w:fldCharType="separate"/>
          </w:r>
          <w:r>
            <w:rPr>
              <w:rStyle w:val="28"/>
              <w:rFonts w:ascii="Times New Roman" w:hAnsi="Times New Roman" w:eastAsia="楷体_GB2312" w:cs="Times New Roman"/>
              <w:sz w:val="28"/>
              <w:szCs w:val="28"/>
            </w:rPr>
            <w:t>3.1已有供热规划内容及实施情况</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_Toc188636891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"_Toc188636892" </w:instrText>
          </w:r>
          <w:r>
            <w:fldChar w:fldCharType="separate"/>
          </w:r>
          <w:r>
            <w:rPr>
              <w:rStyle w:val="28"/>
              <w:rFonts w:ascii="Times New Roman" w:hAnsi="Times New Roman" w:eastAsia="楷体_GB2312" w:cs="Times New Roman"/>
              <w:sz w:val="28"/>
              <w:szCs w:val="28"/>
            </w:rPr>
            <w:t>3.2集中供热现状</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_Toc188636892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21</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"_Toc188636899" </w:instrText>
          </w:r>
          <w:r>
            <w:fldChar w:fldCharType="separate"/>
          </w:r>
          <w:r>
            <w:rPr>
              <w:rStyle w:val="28"/>
              <w:rFonts w:ascii="Times New Roman" w:hAnsi="Times New Roman" w:eastAsia="楷体_GB2312" w:cs="Times New Roman"/>
              <w:sz w:val="28"/>
              <w:szCs w:val="28"/>
            </w:rPr>
            <w:t>3.3分散供热现状</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_Toc188636899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49</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"_Toc188636900" </w:instrText>
          </w:r>
          <w:r>
            <w:fldChar w:fldCharType="separate"/>
          </w:r>
          <w:r>
            <w:rPr>
              <w:rStyle w:val="28"/>
              <w:rFonts w:ascii="黑体" w:hAnsi="黑体" w:eastAsia="黑体" w:cs="Times New Roman"/>
              <w:sz w:val="28"/>
              <w:szCs w:val="28"/>
            </w:rPr>
            <w:t>四、供热分区及规划热负荷</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_Toc188636900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51</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"_Toc188636901" </w:instrText>
          </w:r>
          <w:r>
            <w:fldChar w:fldCharType="separate"/>
          </w:r>
          <w:r>
            <w:rPr>
              <w:rStyle w:val="28"/>
              <w:rFonts w:ascii="Times New Roman" w:hAnsi="Times New Roman" w:eastAsia="楷体_GB2312" w:cs="Times New Roman"/>
              <w:sz w:val="28"/>
              <w:szCs w:val="28"/>
            </w:rPr>
            <w:t>4.1供热分区</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_Toc188636901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51</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"_Toc188636902" </w:instrText>
          </w:r>
          <w:r>
            <w:fldChar w:fldCharType="separate"/>
          </w:r>
          <w:r>
            <w:rPr>
              <w:rStyle w:val="28"/>
              <w:rFonts w:ascii="Times New Roman" w:hAnsi="Times New Roman" w:eastAsia="楷体_GB2312" w:cs="Times New Roman"/>
              <w:sz w:val="28"/>
              <w:szCs w:val="28"/>
            </w:rPr>
            <w:t>4.2热负荷规划原则</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_Toc188636902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53</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"_Toc188636903" </w:instrText>
          </w:r>
          <w:r>
            <w:fldChar w:fldCharType="separate"/>
          </w:r>
          <w:r>
            <w:rPr>
              <w:rStyle w:val="28"/>
              <w:rFonts w:ascii="Times New Roman" w:hAnsi="Times New Roman" w:eastAsia="楷体_GB2312" w:cs="Times New Roman"/>
              <w:sz w:val="28"/>
              <w:szCs w:val="28"/>
            </w:rPr>
            <w:t>4.3现状热负荷</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_Toc188636903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54</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"_Toc188636911" </w:instrText>
          </w:r>
          <w:r>
            <w:fldChar w:fldCharType="separate"/>
          </w:r>
          <w:r>
            <w:rPr>
              <w:rStyle w:val="28"/>
              <w:rFonts w:ascii="Times New Roman" w:hAnsi="Times New Roman" w:eastAsia="楷体_GB2312" w:cs="Times New Roman"/>
              <w:sz w:val="28"/>
              <w:szCs w:val="28"/>
            </w:rPr>
            <w:t>4.4近期热负荷预测</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_Toc188636911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56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"_Toc188636917" </w:instrText>
          </w:r>
          <w:r>
            <w:fldChar w:fldCharType="separate"/>
          </w:r>
          <w:r>
            <w:rPr>
              <w:rStyle w:val="28"/>
              <w:rFonts w:ascii="Times New Roman" w:hAnsi="Times New Roman" w:eastAsia="楷体_GB2312" w:cs="Times New Roman"/>
              <w:sz w:val="28"/>
              <w:szCs w:val="28"/>
            </w:rPr>
            <w:t>4.5远期热负荷预测</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_Toc188636917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65</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"_Toc188636923" </w:instrText>
          </w:r>
          <w:r>
            <w:fldChar w:fldCharType="separate"/>
          </w:r>
          <w:r>
            <w:rPr>
              <w:rStyle w:val="28"/>
              <w:rFonts w:ascii="Times New Roman" w:hAnsi="Times New Roman" w:eastAsia="楷体_GB2312" w:cs="Times New Roman"/>
              <w:sz w:val="28"/>
              <w:szCs w:val="28"/>
            </w:rPr>
            <w:t>4.6热负荷汇总</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_Toc188636923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70</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"_Toc188636924" </w:instrText>
          </w:r>
          <w:r>
            <w:fldChar w:fldCharType="separate"/>
          </w:r>
          <w:r>
            <w:rPr>
              <w:rStyle w:val="28"/>
              <w:rFonts w:ascii="黑体" w:hAnsi="黑体" w:eastAsia="黑体" w:cs="Times New Roman"/>
              <w:sz w:val="28"/>
              <w:szCs w:val="28"/>
            </w:rPr>
            <w:t>五、热源点规划建设规模及建设条件</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_Toc188636924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74</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"_Toc188636925" </w:instrText>
          </w:r>
          <w:r>
            <w:fldChar w:fldCharType="separate"/>
          </w:r>
          <w:r>
            <w:rPr>
              <w:rStyle w:val="28"/>
              <w:rFonts w:ascii="Times New Roman" w:hAnsi="Times New Roman" w:eastAsia="楷体_GB2312" w:cs="Times New Roman"/>
              <w:sz w:val="28"/>
              <w:szCs w:val="28"/>
            </w:rPr>
            <w:t>5.1热源点布局原则</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_Toc188636925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74</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"_Toc188636928" </w:instrText>
          </w:r>
          <w:r>
            <w:fldChar w:fldCharType="separate"/>
          </w:r>
          <w:r>
            <w:rPr>
              <w:rStyle w:val="28"/>
              <w:rFonts w:ascii="Times New Roman" w:hAnsi="Times New Roman" w:eastAsia="楷体_GB2312" w:cs="Times New Roman"/>
              <w:sz w:val="28"/>
              <w:szCs w:val="28"/>
            </w:rPr>
            <w:t>5.2热源点布局规划</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_Toc188636928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75</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"_Toc188636940" </w:instrText>
          </w:r>
          <w:r>
            <w:fldChar w:fldCharType="separate"/>
          </w:r>
          <w:r>
            <w:rPr>
              <w:rStyle w:val="28"/>
              <w:rFonts w:ascii="黑体" w:hAnsi="黑体" w:eastAsia="黑体" w:cs="Times New Roman"/>
              <w:sz w:val="28"/>
              <w:szCs w:val="28"/>
            </w:rPr>
            <w:t>六、热网规划</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_Toc188636940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86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"_Toc188636941" </w:instrText>
          </w:r>
          <w:r>
            <w:fldChar w:fldCharType="separate"/>
          </w:r>
          <w:r>
            <w:rPr>
              <w:rStyle w:val="28"/>
              <w:rFonts w:ascii="Times New Roman" w:hAnsi="Times New Roman" w:eastAsia="楷体_GB2312" w:cs="Times New Roman"/>
              <w:sz w:val="28"/>
              <w:szCs w:val="28"/>
            </w:rPr>
            <w:t>6.1供热管网布置原则</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_Toc188636941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86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"_Toc188636942" </w:instrText>
          </w:r>
          <w:r>
            <w:fldChar w:fldCharType="separate"/>
          </w:r>
          <w:r>
            <w:rPr>
              <w:rStyle w:val="28"/>
              <w:rFonts w:ascii="Times New Roman" w:hAnsi="Times New Roman" w:eastAsia="楷体_GB2312" w:cs="Times New Roman"/>
              <w:sz w:val="28"/>
              <w:szCs w:val="28"/>
            </w:rPr>
            <w:t>6.2热网系统概述</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_Toc188636942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86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"_Toc188636943" </w:instrText>
          </w:r>
          <w:r>
            <w:fldChar w:fldCharType="separate"/>
          </w:r>
          <w:r>
            <w:rPr>
              <w:rStyle w:val="28"/>
              <w:rFonts w:ascii="Times New Roman" w:hAnsi="Times New Roman" w:eastAsia="楷体_GB2312" w:cs="Times New Roman"/>
              <w:sz w:val="28"/>
              <w:szCs w:val="28"/>
            </w:rPr>
            <w:t>6.3供热管网布局</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_Toc188636943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89</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"_Toc188636953" </w:instrText>
          </w:r>
          <w:r>
            <w:fldChar w:fldCharType="separate"/>
          </w:r>
          <w:r>
            <w:rPr>
              <w:rStyle w:val="28"/>
              <w:rFonts w:ascii="Times New Roman" w:hAnsi="Times New Roman" w:eastAsia="楷体_GB2312" w:cs="Times New Roman"/>
              <w:sz w:val="28"/>
              <w:szCs w:val="28"/>
            </w:rPr>
            <w:t>6.4热网自控系统</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_Toc188636953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95</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"_Toc188636954" </w:instrText>
          </w:r>
          <w:r>
            <w:fldChar w:fldCharType="separate"/>
          </w:r>
          <w:r>
            <w:rPr>
              <w:rStyle w:val="28"/>
              <w:rFonts w:ascii="黑体" w:hAnsi="黑体" w:eastAsia="黑体" w:cs="Times New Roman"/>
              <w:sz w:val="28"/>
              <w:szCs w:val="28"/>
            </w:rPr>
            <w:t>七、电力系统概述</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_Toc188636954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96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"_Toc188636955" </w:instrText>
          </w:r>
          <w:r>
            <w:fldChar w:fldCharType="separate"/>
          </w:r>
          <w:r>
            <w:rPr>
              <w:rStyle w:val="28"/>
              <w:rFonts w:ascii="Times New Roman" w:hAnsi="Times New Roman" w:eastAsia="楷体_GB2312" w:cs="Times New Roman"/>
              <w:sz w:val="28"/>
              <w:szCs w:val="28"/>
            </w:rPr>
            <w:t>7.1电网现状及规划</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_Toc188636955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96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"_Toc188636956" </w:instrText>
          </w:r>
          <w:r>
            <w:fldChar w:fldCharType="separate"/>
          </w:r>
          <w:r>
            <w:rPr>
              <w:rStyle w:val="28"/>
              <w:rFonts w:ascii="Times New Roman" w:hAnsi="Times New Roman" w:eastAsia="楷体_GB2312" w:cs="Times New Roman"/>
              <w:sz w:val="28"/>
              <w:szCs w:val="28"/>
            </w:rPr>
            <w:t>7.2热源点接入设想</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_Toc188636956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97</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"_Toc188636957" </w:instrText>
          </w:r>
          <w:r>
            <w:fldChar w:fldCharType="separate"/>
          </w:r>
          <w:r>
            <w:rPr>
              <w:rStyle w:val="28"/>
              <w:rFonts w:ascii="Times New Roman" w:hAnsi="Times New Roman" w:eastAsia="楷体_GB2312" w:cs="Times New Roman"/>
              <w:sz w:val="28"/>
              <w:szCs w:val="28"/>
            </w:rPr>
            <w:t>7.3热源点在电力系统中的作用</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_Toc188636957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97</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"_Toc188636958" </w:instrText>
          </w:r>
          <w:r>
            <w:fldChar w:fldCharType="separate"/>
          </w:r>
          <w:r>
            <w:rPr>
              <w:rStyle w:val="28"/>
              <w:rFonts w:ascii="黑体" w:hAnsi="黑体" w:eastAsia="黑体" w:cs="Times New Roman"/>
              <w:sz w:val="28"/>
              <w:szCs w:val="28"/>
            </w:rPr>
            <w:t>八、实施效果评价</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_Toc188636958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99</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"_Toc188636959" </w:instrText>
          </w:r>
          <w:r>
            <w:fldChar w:fldCharType="separate"/>
          </w:r>
          <w:r>
            <w:rPr>
              <w:rStyle w:val="28"/>
              <w:rFonts w:ascii="Times New Roman" w:hAnsi="Times New Roman" w:eastAsia="楷体_GB2312" w:cs="Times New Roman"/>
              <w:sz w:val="28"/>
              <w:szCs w:val="28"/>
            </w:rPr>
            <w:t>8.1节能</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_Toc188636959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99</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"_Toc188636962" </w:instrText>
          </w:r>
          <w:r>
            <w:fldChar w:fldCharType="separate"/>
          </w:r>
          <w:r>
            <w:rPr>
              <w:rStyle w:val="28"/>
              <w:rFonts w:ascii="Times New Roman" w:hAnsi="Times New Roman" w:eastAsia="楷体_GB2312" w:cs="Times New Roman"/>
              <w:sz w:val="28"/>
              <w:szCs w:val="28"/>
            </w:rPr>
            <w:t>8.2能耗、煤耗平衡</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_Toc188636962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101</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"_Toc188636965" </w:instrText>
          </w:r>
          <w:r>
            <w:fldChar w:fldCharType="separate"/>
          </w:r>
          <w:r>
            <w:rPr>
              <w:rStyle w:val="28"/>
              <w:rFonts w:ascii="Times New Roman" w:hAnsi="Times New Roman" w:eastAsia="楷体_GB2312" w:cs="Times New Roman"/>
              <w:sz w:val="28"/>
              <w:szCs w:val="28"/>
            </w:rPr>
            <w:t>8.3环保</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_Toc188636965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103</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"_Toc188636969" </w:instrText>
          </w:r>
          <w:r>
            <w:fldChar w:fldCharType="separate"/>
          </w:r>
          <w:r>
            <w:rPr>
              <w:rStyle w:val="28"/>
              <w:rFonts w:ascii="Times New Roman" w:hAnsi="Times New Roman" w:eastAsia="楷体_GB2312" w:cs="Times New Roman"/>
              <w:sz w:val="28"/>
              <w:szCs w:val="28"/>
            </w:rPr>
            <w:t>8.4社会效益</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_Toc188636969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106</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"_Toc188636970" </w:instrText>
          </w:r>
          <w:r>
            <w:fldChar w:fldCharType="separate"/>
          </w:r>
          <w:r>
            <w:rPr>
              <w:rStyle w:val="28"/>
              <w:rFonts w:ascii="黑体" w:hAnsi="黑体" w:eastAsia="黑体" w:cs="Times New Roman"/>
              <w:sz w:val="28"/>
              <w:szCs w:val="28"/>
            </w:rPr>
            <w:t>九、投资匡算</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_Toc188636970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107</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"_Toc188636971" </w:instrText>
          </w:r>
          <w:r>
            <w:fldChar w:fldCharType="separate"/>
          </w:r>
          <w:r>
            <w:rPr>
              <w:rStyle w:val="28"/>
              <w:rFonts w:ascii="Times New Roman" w:hAnsi="Times New Roman" w:eastAsia="楷体_GB2312" w:cs="Times New Roman"/>
              <w:sz w:val="28"/>
              <w:szCs w:val="28"/>
            </w:rPr>
            <w:t>9.1投资匡算依据</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_Toc188636971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107</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"_Toc188636972" </w:instrText>
          </w:r>
          <w:r>
            <w:fldChar w:fldCharType="separate"/>
          </w:r>
          <w:r>
            <w:rPr>
              <w:rStyle w:val="28"/>
              <w:rFonts w:ascii="Times New Roman" w:hAnsi="Times New Roman" w:eastAsia="楷体_GB2312" w:cs="Times New Roman"/>
              <w:sz w:val="28"/>
              <w:szCs w:val="28"/>
            </w:rPr>
            <w:t>9.2规划热源点新增投资匡算</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_Toc188636972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107</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"_Toc188636973" </w:instrText>
          </w:r>
          <w:r>
            <w:fldChar w:fldCharType="separate"/>
          </w:r>
          <w:r>
            <w:rPr>
              <w:rStyle w:val="28"/>
              <w:rFonts w:ascii="Times New Roman" w:hAnsi="Times New Roman" w:eastAsia="楷体_GB2312" w:cs="Times New Roman"/>
              <w:sz w:val="28"/>
              <w:szCs w:val="28"/>
            </w:rPr>
            <w:t>9.3规划热网投资匡算</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_Toc188636973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108</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15"/>
            <w:tabs>
              <w:tab w:val="right" w:leader="dot" w:pos="8720"/>
            </w:tabs>
            <w:rPr>
              <w:rFonts w:ascii="Times New Roman" w:hAnsi="Times New Roman" w:eastAsia="楷体_GB2312" w:cs="Times New Roman"/>
              <w:sz w:val="28"/>
              <w:szCs w:val="28"/>
            </w:rPr>
          </w:pPr>
          <w:r>
            <w:fldChar w:fldCharType="begin"/>
          </w:r>
          <w:r>
            <w:instrText xml:space="preserve"> HYPERLINK \l "_Toc188636974" </w:instrText>
          </w:r>
          <w:r>
            <w:fldChar w:fldCharType="separate"/>
          </w:r>
          <w:r>
            <w:rPr>
              <w:rStyle w:val="28"/>
              <w:rFonts w:ascii="黑体" w:hAnsi="黑体" w:eastAsia="黑体" w:cs="Times New Roman"/>
              <w:sz w:val="28"/>
              <w:szCs w:val="28"/>
            </w:rPr>
            <w:t>十、主要结论及保障措施</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_Toc188636974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109</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"_Toc188636975" </w:instrText>
          </w:r>
          <w:r>
            <w:fldChar w:fldCharType="separate"/>
          </w:r>
          <w:r>
            <w:rPr>
              <w:rStyle w:val="28"/>
              <w:rFonts w:ascii="Times New Roman" w:hAnsi="Times New Roman" w:eastAsia="楷体_GB2312" w:cs="Times New Roman"/>
              <w:sz w:val="28"/>
              <w:szCs w:val="28"/>
            </w:rPr>
            <w:t>10.1主要结论</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_Toc188636975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109</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20"/>
            <w:tabs>
              <w:tab w:val="right" w:leader="dot" w:pos="8720"/>
            </w:tabs>
            <w:rPr>
              <w:rFonts w:ascii="Times New Roman" w:hAnsi="Times New Roman" w:eastAsia="楷体_GB2312" w:cs="Times New Roman"/>
              <w:sz w:val="28"/>
              <w:szCs w:val="28"/>
            </w:rPr>
          </w:pPr>
          <w:r>
            <w:fldChar w:fldCharType="begin"/>
          </w:r>
          <w:r>
            <w:instrText xml:space="preserve"> HYPERLINK \l "_Toc188636978" </w:instrText>
          </w:r>
          <w:r>
            <w:fldChar w:fldCharType="separate"/>
          </w:r>
          <w:r>
            <w:rPr>
              <w:rStyle w:val="28"/>
              <w:rFonts w:ascii="Times New Roman" w:hAnsi="Times New Roman" w:eastAsia="楷体_GB2312" w:cs="Times New Roman"/>
              <w:sz w:val="28"/>
              <w:szCs w:val="28"/>
            </w:rPr>
            <w:t>10.2保障措施</w:t>
          </w:r>
          <w:r>
            <w:rPr>
              <w:rFonts w:ascii="Times New Roman" w:hAnsi="Times New Roman" w:eastAsia="楷体_GB2312" w:cs="Times New Roman"/>
              <w:sz w:val="28"/>
              <w:szCs w:val="28"/>
            </w:rPr>
            <w:tab/>
          </w:r>
          <w:r>
            <w:rPr>
              <w:rFonts w:ascii="Times New Roman" w:hAnsi="Times New Roman" w:eastAsia="楷体_GB2312" w:cs="Times New Roman"/>
              <w:sz w:val="28"/>
              <w:szCs w:val="28"/>
            </w:rPr>
            <w:fldChar w:fldCharType="begin"/>
          </w:r>
          <w:r>
            <w:rPr>
              <w:rFonts w:ascii="Times New Roman" w:hAnsi="Times New Roman" w:eastAsia="楷体_GB2312" w:cs="Times New Roman"/>
              <w:sz w:val="28"/>
              <w:szCs w:val="28"/>
            </w:rPr>
            <w:instrText xml:space="preserve"> PAGEREF _Toc188636978 \h </w:instrText>
          </w:r>
          <w:r>
            <w:rPr>
              <w:rFonts w:ascii="Times New Roman" w:hAnsi="Times New Roman" w:eastAsia="楷体_GB2312" w:cs="Times New Roman"/>
              <w:sz w:val="28"/>
              <w:szCs w:val="28"/>
            </w:rPr>
            <w:fldChar w:fldCharType="separate"/>
          </w:r>
          <w:r>
            <w:rPr>
              <w:rFonts w:ascii="Times New Roman" w:hAnsi="Times New Roman" w:eastAsia="楷体_GB2312" w:cs="Times New Roman"/>
              <w:sz w:val="28"/>
              <w:szCs w:val="28"/>
            </w:rPr>
            <w:t>115</w:t>
          </w:r>
          <w:r>
            <w:rPr>
              <w:rFonts w:ascii="Times New Roman" w:hAnsi="Times New Roman" w:eastAsia="楷体_GB2312" w:cs="Times New Roman"/>
              <w:sz w:val="28"/>
              <w:szCs w:val="28"/>
            </w:rPr>
            <w:fldChar w:fldCharType="end"/>
          </w:r>
          <w:r>
            <w:rPr>
              <w:rFonts w:ascii="Times New Roman" w:hAnsi="Times New Roman" w:eastAsia="楷体_GB2312"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"_Toc188636979" </w:instrText>
          </w:r>
          <w:r>
            <w:fldChar w:fldCharType="separate"/>
          </w:r>
          <w:r>
            <w:rPr>
              <w:rStyle w:val="28"/>
              <w:rFonts w:ascii="Times New Roman" w:hAnsi="Times New Roman" w:eastAsia="黑体" w:cs="Times New Roman"/>
              <w:sz w:val="28"/>
              <w:szCs w:val="28"/>
            </w:rPr>
            <w:t>附表1 海宁市在用分散锅炉清单</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_Toc188636979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118</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"_Toc188636980" </w:instrText>
          </w:r>
          <w:r>
            <w:fldChar w:fldCharType="separate"/>
          </w:r>
          <w:r>
            <w:rPr>
              <w:rStyle w:val="28"/>
              <w:rFonts w:ascii="Times New Roman" w:hAnsi="Times New Roman" w:eastAsia="黑体" w:cs="Times New Roman"/>
              <w:sz w:val="28"/>
              <w:szCs w:val="28"/>
            </w:rPr>
            <w:t>附图1 海宁市区位图</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_Toc188636980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125</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"_Toc188636981" </w:instrText>
          </w:r>
          <w:r>
            <w:fldChar w:fldCharType="separate"/>
          </w:r>
          <w:r>
            <w:rPr>
              <w:rStyle w:val="28"/>
              <w:rFonts w:ascii="Times New Roman" w:hAnsi="Times New Roman" w:eastAsia="黑体" w:cs="Times New Roman"/>
              <w:sz w:val="28"/>
              <w:szCs w:val="28"/>
            </w:rPr>
            <w:t>附图3 海宁市热电联产（集中供热）规划现有热源点分布图</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_Toc188636981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126</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"_Toc188636982" </w:instrText>
          </w:r>
          <w:r>
            <w:fldChar w:fldCharType="separate"/>
          </w:r>
          <w:r>
            <w:rPr>
              <w:rStyle w:val="28"/>
              <w:rFonts w:ascii="Times New Roman" w:hAnsi="Times New Roman" w:eastAsia="黑体" w:cs="Times New Roman"/>
              <w:sz w:val="28"/>
              <w:szCs w:val="28"/>
            </w:rPr>
            <w:t>附图2 海宁市供热分区图</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_Toc188636982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127</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"_Toc188636983" </w:instrText>
          </w:r>
          <w:r>
            <w:fldChar w:fldCharType="separate"/>
          </w:r>
          <w:r>
            <w:rPr>
              <w:rStyle w:val="28"/>
              <w:rFonts w:ascii="Times New Roman" w:hAnsi="Times New Roman" w:eastAsia="黑体" w:cs="Times New Roman"/>
              <w:sz w:val="28"/>
              <w:szCs w:val="28"/>
            </w:rPr>
            <w:t>附图4 海宁市热电联产（集中供热）规划热源点规划分布图</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_Toc188636983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128</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"_Toc188636984" </w:instrText>
          </w:r>
          <w:r>
            <w:fldChar w:fldCharType="separate"/>
          </w:r>
          <w:r>
            <w:rPr>
              <w:rStyle w:val="28"/>
              <w:rFonts w:ascii="Times New Roman" w:hAnsi="Times New Roman" w:eastAsia="黑体" w:cs="Times New Roman"/>
              <w:sz w:val="28"/>
              <w:szCs w:val="28"/>
            </w:rPr>
            <w:t>附图5 海宁市公共热源点供热半径图</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_Toc188636984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129</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"_Toc188636985" </w:instrText>
          </w:r>
          <w:r>
            <w:fldChar w:fldCharType="separate"/>
          </w:r>
          <w:r>
            <w:rPr>
              <w:rStyle w:val="28"/>
              <w:rFonts w:ascii="Times New Roman" w:hAnsi="Times New Roman" w:eastAsia="黑体" w:cs="Times New Roman"/>
              <w:sz w:val="28"/>
              <w:szCs w:val="28"/>
            </w:rPr>
            <w:t>附图6 海宁市公共热源点供热管网图</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_Toc188636985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130</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"_Toc188636986" </w:instrText>
          </w:r>
          <w:r>
            <w:fldChar w:fldCharType="separate"/>
          </w:r>
          <w:r>
            <w:rPr>
              <w:rStyle w:val="28"/>
              <w:rFonts w:ascii="Times New Roman" w:hAnsi="Times New Roman" w:eastAsia="黑体" w:cs="Times New Roman"/>
              <w:sz w:val="28"/>
              <w:szCs w:val="28"/>
            </w:rPr>
            <w:t>附件1 能耗平衡方案</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_Toc188636986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139</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"_Toc188636987" </w:instrText>
          </w:r>
          <w:r>
            <w:fldChar w:fldCharType="separate"/>
          </w:r>
          <w:r>
            <w:rPr>
              <w:rStyle w:val="28"/>
              <w:rFonts w:ascii="Times New Roman" w:hAnsi="Times New Roman" w:eastAsia="黑体" w:cs="Times New Roman"/>
              <w:sz w:val="28"/>
              <w:szCs w:val="28"/>
            </w:rPr>
            <w:t>附件2 煤耗平衡方案</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_Toc188636987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140</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"_Toc188636988" </w:instrText>
          </w:r>
          <w:r>
            <w:fldChar w:fldCharType="separate"/>
          </w:r>
          <w:r>
            <w:rPr>
              <w:rStyle w:val="28"/>
              <w:rFonts w:ascii="Times New Roman" w:hAnsi="Times New Roman" w:eastAsia="黑体" w:cs="Times New Roman"/>
              <w:sz w:val="28"/>
              <w:szCs w:val="28"/>
            </w:rPr>
            <w:t>附件3 《浙江省经济和信息化委员会关于同意海宁市集中供热规划（2015-2025）的批复》</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_Toc188636988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141</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"_Toc188636989" </w:instrText>
          </w:r>
          <w:r>
            <w:fldChar w:fldCharType="separate"/>
          </w:r>
          <w:r>
            <w:rPr>
              <w:rStyle w:val="28"/>
              <w:rFonts w:ascii="Times New Roman" w:hAnsi="Times New Roman" w:eastAsia="黑体" w:cs="Times New Roman"/>
              <w:sz w:val="28"/>
              <w:szCs w:val="28"/>
            </w:rPr>
            <w:t>附件4 《关于海宁恒逸热电有限公司热电联产一期项目核准的批复》</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_Toc188636989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147</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"_Toc188636990" </w:instrText>
          </w:r>
          <w:r>
            <w:fldChar w:fldCharType="separate"/>
          </w:r>
          <w:r>
            <w:rPr>
              <w:rStyle w:val="28"/>
              <w:rFonts w:ascii="Times New Roman" w:hAnsi="Times New Roman" w:eastAsia="黑体" w:cs="Times New Roman"/>
              <w:sz w:val="28"/>
              <w:szCs w:val="28"/>
            </w:rPr>
            <w:t>附件5 《关于浙江泰亿能源有限公司热电联产项目核准的批复》</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_Toc188636990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151</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"_Toc188636991" </w:instrText>
          </w:r>
          <w:r>
            <w:fldChar w:fldCharType="separate"/>
          </w:r>
          <w:r>
            <w:rPr>
              <w:rStyle w:val="28"/>
              <w:rFonts w:ascii="Times New Roman" w:hAnsi="Times New Roman" w:eastAsia="黑体" w:cs="Times New Roman"/>
              <w:sz w:val="28"/>
              <w:szCs w:val="28"/>
            </w:rPr>
            <w:t>附件6 《关于海宁市红宝热电有限公司等容量改造提升项目核准的批复》</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_Toc188636991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155</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"_Toc188636992" </w:instrText>
          </w:r>
          <w:r>
            <w:fldChar w:fldCharType="separate"/>
          </w:r>
          <w:r>
            <w:rPr>
              <w:rStyle w:val="28"/>
              <w:rFonts w:ascii="Times New Roman" w:hAnsi="Times New Roman" w:eastAsia="黑体" w:cs="Times New Roman"/>
              <w:sz w:val="28"/>
              <w:szCs w:val="28"/>
            </w:rPr>
            <w:t>附件7 《关于同意海宁红宝热电有限公司搬迁规划方案的说明》</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_Toc188636992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158</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"_Toc188636993" </w:instrText>
          </w:r>
          <w:r>
            <w:fldChar w:fldCharType="separate"/>
          </w:r>
          <w:r>
            <w:rPr>
              <w:rStyle w:val="28"/>
              <w:rFonts w:ascii="Times New Roman" w:hAnsi="Times New Roman" w:eastAsia="黑体" w:cs="Times New Roman"/>
              <w:sz w:val="28"/>
              <w:szCs w:val="28"/>
            </w:rPr>
            <w:t>附件8 《关于同意新增尖山新区第二公共热源点规划方案的说明》</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_Toc188636993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160</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"_Toc188636994" </w:instrText>
          </w:r>
          <w:r>
            <w:fldChar w:fldCharType="separate"/>
          </w:r>
          <w:r>
            <w:rPr>
              <w:rStyle w:val="28"/>
              <w:rFonts w:ascii="Times New Roman" w:hAnsi="Times New Roman" w:eastAsia="黑体" w:cs="Times New Roman"/>
              <w:sz w:val="28"/>
              <w:szCs w:val="28"/>
            </w:rPr>
            <w:t>附件9 海宁恒逸热电有限公司80t/h锅炉停用报废注销登记表</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_Toc188636994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161</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"_Toc188636995" </w:instrText>
          </w:r>
          <w:r>
            <w:fldChar w:fldCharType="separate"/>
          </w:r>
          <w:r>
            <w:rPr>
              <w:rStyle w:val="28"/>
              <w:rFonts w:ascii="Times New Roman" w:hAnsi="Times New Roman" w:eastAsia="黑体" w:cs="Times New Roman"/>
              <w:sz w:val="28"/>
              <w:szCs w:val="28"/>
            </w:rPr>
            <w:t>附件10 海宁市热电联产（集中供热）规划主要新增热用户证明材料</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_Toc188636995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162</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pPr>
            <w:pStyle w:val="15"/>
            <w:tabs>
              <w:tab w:val="right" w:leader="dot" w:pos="8720"/>
            </w:tabs>
            <w:rPr>
              <w:rFonts w:ascii="Times New Roman" w:hAnsi="Times New Roman" w:eastAsia="黑体" w:cs="Times New Roman"/>
              <w:sz w:val="28"/>
              <w:szCs w:val="28"/>
            </w:rPr>
          </w:pPr>
          <w:r>
            <w:fldChar w:fldCharType="begin"/>
          </w:r>
          <w:r>
            <w:instrText xml:space="preserve"> HYPERLINK \l "_Toc188636996" </w:instrText>
          </w:r>
          <w:r>
            <w:fldChar w:fldCharType="separate"/>
          </w:r>
          <w:r>
            <w:rPr>
              <w:rStyle w:val="28"/>
              <w:rFonts w:ascii="Times New Roman" w:hAnsi="Times New Roman" w:eastAsia="黑体" w:cs="Times New Roman"/>
              <w:sz w:val="28"/>
              <w:szCs w:val="28"/>
            </w:rPr>
            <w:t>附件11 尖山新区及周边区块海宁市江湾能源有限公司蒸汽供应服务相关协议材料</w:t>
          </w:r>
          <w:r>
            <w:rPr>
              <w:rFonts w:ascii="Times New Roman" w:hAnsi="Times New Roman" w:eastAsia="黑体" w:cs="Times New Roman"/>
              <w:sz w:val="28"/>
              <w:szCs w:val="28"/>
            </w:rPr>
            <w:tab/>
          </w:r>
          <w:r>
            <w:rPr>
              <w:rFonts w:ascii="Times New Roman" w:hAnsi="Times New Roman" w:eastAsia="黑体" w:cs="Times New Roman"/>
              <w:sz w:val="28"/>
              <w:szCs w:val="28"/>
            </w:rPr>
            <w:fldChar w:fldCharType="begin"/>
          </w:r>
          <w:r>
            <w:rPr>
              <w:rFonts w:ascii="Times New Roman" w:hAnsi="Times New Roman" w:eastAsia="黑体" w:cs="Times New Roman"/>
              <w:sz w:val="28"/>
              <w:szCs w:val="28"/>
            </w:rPr>
            <w:instrText xml:space="preserve"> PAGEREF _Toc188636996 \h </w:instrText>
          </w:r>
          <w:r>
            <w:rPr>
              <w:rFonts w:ascii="Times New Roman" w:hAnsi="Times New Roman" w:eastAsia="黑体" w:cs="Times New Roman"/>
              <w:sz w:val="28"/>
              <w:szCs w:val="28"/>
            </w:rPr>
            <w:fldChar w:fldCharType="separate"/>
          </w:r>
          <w:r>
            <w:rPr>
              <w:rFonts w:ascii="Times New Roman" w:hAnsi="Times New Roman" w:eastAsia="黑体" w:cs="Times New Roman"/>
              <w:sz w:val="28"/>
              <w:szCs w:val="28"/>
            </w:rPr>
            <w:t>167</w:t>
          </w:r>
          <w:r>
            <w:rPr>
              <w:rFonts w:ascii="Times New Roman" w:hAnsi="Times New Roman" w:eastAsia="黑体" w:cs="Times New Roman"/>
              <w:sz w:val="28"/>
              <w:szCs w:val="28"/>
            </w:rPr>
            <w:fldChar w:fldCharType="end"/>
          </w:r>
          <w:r>
            <w:rPr>
              <w:rFonts w:ascii="Times New Roman" w:hAnsi="Times New Roman" w:eastAsia="黑体" w:cs="Times New Roman"/>
              <w:sz w:val="28"/>
              <w:szCs w:val="28"/>
            </w:rPr>
            <w:fldChar w:fldCharType="end"/>
          </w:r>
        </w:p>
        <w:p>
          <w:r>
            <w:rPr>
              <w:rFonts w:ascii="Times New Roman" w:hAnsi="Times New Roman" w:eastAsia="楷体_GB2312" w:cs="Times New Roman"/>
              <w:b/>
              <w:sz w:val="28"/>
              <w:szCs w:val="28"/>
            </w:rPr>
            <w:fldChar w:fldCharType="end"/>
          </w:r>
        </w:p>
      </w:sdtContent>
    </w:sdt>
    <w:p>
      <w:pPr>
        <w:rPr>
          <w:rFonts w:ascii="Times New Roman" w:hAnsi="Times New Roman" w:eastAsia="仿宋_GB2312" w:cs="Times New Roman"/>
          <w:sz w:val="28"/>
          <w:szCs w:val="28"/>
        </w:rPr>
      </w:pPr>
    </w:p>
    <w:p>
      <w:pPr>
        <w:rPr>
          <w:rFonts w:ascii="Times New Roman" w:hAnsi="Times New Roman" w:eastAsia="仿宋_GB2312" w:cs="Times New Roman"/>
          <w:sz w:val="28"/>
          <w:szCs w:val="28"/>
        </w:rPr>
        <w:sectPr>
          <w:footerReference r:id="rId5" w:type="default"/>
          <w:pgSz w:w="11906" w:h="16838"/>
          <w:pgMar w:top="1474" w:right="1588" w:bottom="1701" w:left="1588" w:header="851" w:footer="992" w:gutter="0"/>
          <w:pgNumType w:start="1"/>
          <w:cols w:space="425" w:num="1"/>
          <w:docGrid w:type="lines" w:linePitch="312" w:charSpace="0"/>
        </w:sectPr>
      </w:pPr>
    </w:p>
    <w:p>
      <w:pPr>
        <w:pStyle w:val="2"/>
      </w:pPr>
      <w:bookmarkStart w:id="0" w:name="_Toc188636864"/>
      <w:r>
        <w:rPr>
          <w:rFonts w:hint="eastAsia"/>
        </w:rPr>
        <w:t>一、规划总则</w:t>
      </w:r>
      <w:bookmarkEnd w:id="0"/>
    </w:p>
    <w:p>
      <w:pPr>
        <w:pStyle w:val="3"/>
      </w:pPr>
      <w:bookmarkStart w:id="1" w:name="_Toc188636865"/>
      <w:r>
        <w:t>1.1</w:t>
      </w:r>
      <w:r>
        <w:rPr>
          <w:rFonts w:hint="eastAsia"/>
        </w:rPr>
        <w:t>规划背景</w:t>
      </w:r>
      <w:bookmarkEnd w:id="1"/>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集中供热、热电联产具有节约能源、改善环境、提高供热质量等综合效益，是提高人民生活质量、保障产业高质量发展的公益性基础设施，也是治理大气污染和提高能源综合利用率的重要手段之一，符合国家建设资源节约型社会和环境友好型社会的发展战略。根据《浙江省地方燃煤热电联产行业综合改造升级行动计划》（浙经信电力〔</w:t>
      </w:r>
      <w:r>
        <w:rPr>
          <w:rFonts w:ascii="Times New Roman" w:hAnsi="Times New Roman" w:eastAsia="仿宋_GB2312" w:cs="宋体"/>
          <w:sz w:val="28"/>
        </w:rPr>
        <w:t>2015</w:t>
      </w:r>
      <w:r>
        <w:rPr>
          <w:rFonts w:hint="eastAsia" w:ascii="Times New Roman" w:hAnsi="Times New Roman" w:eastAsia="仿宋_GB2312" w:cs="宋体"/>
          <w:sz w:val="28"/>
        </w:rPr>
        <w:t>〕</w:t>
      </w:r>
      <w:r>
        <w:rPr>
          <w:rFonts w:ascii="Times New Roman" w:hAnsi="Times New Roman" w:eastAsia="仿宋_GB2312" w:cs="宋体"/>
          <w:sz w:val="28"/>
        </w:rPr>
        <w:t>371</w:t>
      </w:r>
      <w:r>
        <w:rPr>
          <w:rFonts w:hint="eastAsia" w:ascii="Times New Roman" w:hAnsi="Times New Roman" w:eastAsia="仿宋_GB2312" w:cs="宋体"/>
          <w:sz w:val="28"/>
        </w:rPr>
        <w:t>号）要求，浙江省各市、县（区）结合当地产业结构调整和社会经济发展规划，编制或修订完善区域热电联产规划，规划编制应统筹优化整合现有热源点、科学布局新热源点，引导用热企业向集中供热区域集聚，禁止规划新增企业自备燃煤热源点。</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海宁市十分重视热电联产发展，对照《海宁市集中供热规划（</w:t>
      </w:r>
      <w:r>
        <w:rPr>
          <w:rFonts w:ascii="Times New Roman" w:hAnsi="Times New Roman" w:eastAsia="仿宋_GB2312" w:cs="宋体"/>
          <w:sz w:val="28"/>
        </w:rPr>
        <w:t>2015</w:t>
      </w:r>
      <w:r>
        <w:rPr>
          <w:rFonts w:hint="eastAsia" w:ascii="Times New Roman" w:hAnsi="Times New Roman" w:eastAsia="仿宋_GB2312" w:cs="宋体"/>
          <w:sz w:val="28"/>
        </w:rPr>
        <w:t>~</w:t>
      </w:r>
      <w:r>
        <w:rPr>
          <w:rFonts w:ascii="Times New Roman" w:hAnsi="Times New Roman" w:eastAsia="仿宋_GB2312" w:cs="宋体"/>
          <w:sz w:val="28"/>
        </w:rPr>
        <w:t>2025）</w:t>
      </w:r>
      <w:r>
        <w:rPr>
          <w:rFonts w:hint="eastAsia" w:ascii="Times New Roman" w:hAnsi="Times New Roman" w:eastAsia="仿宋_GB2312" w:cs="宋体"/>
          <w:sz w:val="28"/>
        </w:rPr>
        <w:t>》（以下简称“原《规划》”）及批复，多年来海宁市的热源点发生了许多变化，原《规划》已不符合新形势发展要求，需要及时调整编制新一轮规划。具体如下：</w:t>
      </w:r>
    </w:p>
    <w:p>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（1）原《规划》已难以适应海宁市现有供热形势</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海宁市集中供热情况与原《规划》发生了很大变化。原《规划》海宁市有公共热源点4家，分别为海宁东山热电有限公司、浙江宝峰热电有限公司、海宁马桥大都市热电有限公司、海宁红宝热电有限公司。海宁市现有公共热源点6家，新建了海宁恒逸热电有限公司（原《规划》里规划新建的黄湾镇新热源点）和浙江泰亿能源有限公司（原《规划》里规划新建的周王庙镇新热源点），海宁东山热电厂被海宁光耀热电有限公司吸收合并并改名为海宁光耀热电有限公司</w:t>
      </w:r>
      <w:r>
        <w:rPr>
          <w:rFonts w:ascii="Times New Roman" w:hAnsi="Times New Roman" w:eastAsia="仿宋_GB2312" w:cs="宋体"/>
          <w:sz w:val="28"/>
        </w:rPr>
        <w:t>1号能源站</w:t>
      </w:r>
      <w:r>
        <w:rPr>
          <w:rFonts w:hint="eastAsia" w:ascii="Times New Roman" w:hAnsi="Times New Roman" w:eastAsia="仿宋_GB2312" w:cs="宋体"/>
          <w:sz w:val="28"/>
        </w:rPr>
        <w:t>，海宁钱江生化自备热电厂转为公共热源点（符合原《规划》内容）并改名为海宁光耀热电有限公司</w:t>
      </w:r>
      <w:r>
        <w:rPr>
          <w:rFonts w:ascii="Times New Roman" w:hAnsi="Times New Roman" w:eastAsia="仿宋_GB2312" w:cs="宋体"/>
          <w:sz w:val="28"/>
        </w:rPr>
        <w:t>2号能源站</w:t>
      </w:r>
      <w:r>
        <w:rPr>
          <w:rFonts w:hint="eastAsia" w:ascii="Times New Roman" w:hAnsi="Times New Roman" w:eastAsia="仿宋_GB2312" w:cs="宋体"/>
          <w:sz w:val="28"/>
        </w:rPr>
        <w:t>。截至2</w:t>
      </w:r>
      <w:r>
        <w:rPr>
          <w:rFonts w:ascii="Times New Roman" w:hAnsi="Times New Roman" w:eastAsia="仿宋_GB2312" w:cs="宋体"/>
          <w:sz w:val="28"/>
        </w:rPr>
        <w:t>024</w:t>
      </w:r>
      <w:r>
        <w:rPr>
          <w:rFonts w:hint="eastAsia" w:ascii="Times New Roman" w:hAnsi="Times New Roman" w:eastAsia="仿宋_GB2312" w:cs="宋体"/>
          <w:sz w:val="28"/>
        </w:rPr>
        <w:t>年底，海宁市现有公共热源点</w:t>
      </w:r>
      <w:r>
        <w:rPr>
          <w:rFonts w:ascii="Times New Roman" w:hAnsi="Times New Roman" w:eastAsia="仿宋_GB2312" w:cs="宋体"/>
          <w:sz w:val="28"/>
        </w:rPr>
        <w:t>锅炉总蒸发量</w:t>
      </w:r>
      <w:r>
        <w:rPr>
          <w:rFonts w:hint="eastAsia" w:ascii="Times New Roman" w:hAnsi="Times New Roman" w:eastAsia="仿宋_GB2312" w:cs="宋体"/>
          <w:sz w:val="28"/>
        </w:rPr>
        <w:t>达到了</w:t>
      </w:r>
      <w:r>
        <w:rPr>
          <w:rFonts w:ascii="Times New Roman" w:hAnsi="Times New Roman" w:eastAsia="仿宋_GB2312" w:cs="宋体"/>
          <w:sz w:val="28"/>
        </w:rPr>
        <w:t>2080t/h，总装机容量166.5MW</w:t>
      </w:r>
      <w:r>
        <w:rPr>
          <w:rFonts w:hint="eastAsia" w:ascii="Times New Roman" w:hAnsi="Times New Roman" w:eastAsia="仿宋_GB2312" w:cs="宋体"/>
          <w:sz w:val="28"/>
        </w:rPr>
        <w:t>。公共热源点的供热范围及热用户均与原《规划》发生较大变化。</w:t>
      </w:r>
    </w:p>
    <w:p>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（2）城市发展对热电联产（集中供热）提出新要求</w:t>
      </w:r>
    </w:p>
    <w:p>
      <w:pPr>
        <w:spacing w:line="580" w:lineRule="exact"/>
        <w:ind w:firstLine="555"/>
        <w:rPr>
          <w:rFonts w:ascii="Times New Roman" w:hAnsi="Times New Roman" w:eastAsia="仿宋_GB2312" w:cs="宋体"/>
          <w:color w:val="FF0000"/>
          <w:sz w:val="28"/>
        </w:rPr>
      </w:pPr>
      <w:r>
        <w:rPr>
          <w:rFonts w:hint="eastAsia" w:ascii="Times New Roman" w:hAnsi="Times New Roman" w:eastAsia="仿宋_GB2312" w:cs="宋体"/>
          <w:sz w:val="28"/>
        </w:rPr>
        <w:t>根据《海宁钱塘国际新城详细城市设计》，“十四五”时期，长安镇南部将打造钱塘国际新城，主要包括杭海之门、钱塘之眼、观潮之窗三个重点片区，海宁红宝热电有限公司现位于钱塘之眼片区，然而热电产业不符合钱塘国际新城规划发展方向。为保证钱塘国际新城建设的顺利推进，同时保障长安镇热用户的用热需求，需考虑对海宁红宝热电有限公司进行搬迁。长安镇北部存在一定量的用热需求，然而目前该区域主要依靠低效的分散小锅炉进行蒸汽供应，造成能源浪费和环境污染。海宁红宝热电有限公司向北搬迁，不仅可以保障长安镇南部海宁高新技术产业园区现有热用户的用热需求，还可以对长安镇北部热用户提供集中供热服务，助力海宁市节能减排。此外，尖山新区规划打造半导体基础材料园、智能厨电产业园、外资高新产业园、“万亩千亿”产业平台，近期将有若干重大产业项目落地，热负荷将大幅增长，该区域现仅有海宁恒逸热电有限公司一个公共热源点，无法满足区域发展的热负荷需求，需抓紧增加该区域集中供热能力，保障区域发展用热需求。</w:t>
      </w:r>
    </w:p>
    <w:p>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（3）碳达峰碳中和目标对热电联产（集中供热）提出新要求</w:t>
      </w:r>
    </w:p>
    <w:p>
      <w:pPr>
        <w:spacing w:line="580" w:lineRule="exact"/>
        <w:ind w:firstLine="556"/>
        <w:rPr>
          <w:rFonts w:ascii="Times New Roman" w:hAnsi="Times New Roman" w:eastAsia="仿宋_GB2312" w:cs="宋体"/>
          <w:sz w:val="28"/>
        </w:rPr>
      </w:pPr>
      <w:r>
        <w:rPr>
          <w:rFonts w:hint="eastAsia" w:ascii="Times New Roman" w:hAnsi="Times New Roman" w:eastAsia="仿宋_GB2312" w:cs="宋体"/>
          <w:sz w:val="28"/>
        </w:rPr>
        <w:t>在碳达峰碳中和背景下，既要保障产业用热需求，又将在煤炭消费紧约束条件下实现能源结构清洁转型。海宁绿动海云环保能源有限公司是海宁市的一座垃圾焚烧厂，现有规模</w:t>
      </w:r>
      <w:r>
        <w:rPr>
          <w:rFonts w:ascii="Times New Roman" w:hAnsi="Times New Roman" w:eastAsia="仿宋_GB2312" w:cs="宋体"/>
          <w:sz w:val="28"/>
        </w:rPr>
        <w:t>2炉1机，锅炉总容量164t/h，装机总容量35MW</w:t>
      </w:r>
      <w:r>
        <w:rPr>
          <w:rFonts w:hint="eastAsia" w:ascii="Times New Roman" w:hAnsi="Times New Roman" w:eastAsia="仿宋_GB2312" w:cs="宋体"/>
          <w:sz w:val="28"/>
        </w:rPr>
        <w:t>，</w:t>
      </w:r>
      <w:r>
        <w:rPr>
          <w:rFonts w:ascii="Times New Roman" w:hAnsi="Times New Roman" w:eastAsia="仿宋_GB2312" w:cs="宋体"/>
          <w:sz w:val="28"/>
        </w:rPr>
        <w:t>目前只发电不供热</w:t>
      </w:r>
      <w:r>
        <w:rPr>
          <w:rFonts w:hint="eastAsia" w:ascii="Times New Roman" w:hAnsi="Times New Roman" w:eastAsia="仿宋_GB2312" w:cs="宋体"/>
          <w:sz w:val="28"/>
        </w:rPr>
        <w:t>，能源利用效率不高</w:t>
      </w:r>
      <w:r>
        <w:rPr>
          <w:rFonts w:ascii="Times New Roman" w:hAnsi="Times New Roman" w:eastAsia="仿宋_GB2312" w:cs="宋体"/>
          <w:sz w:val="28"/>
        </w:rPr>
        <w:t>。</w:t>
      </w:r>
      <w:r>
        <w:rPr>
          <w:rFonts w:hint="eastAsia" w:ascii="Times New Roman" w:hAnsi="Times New Roman" w:eastAsia="仿宋_GB2312" w:cs="宋体"/>
          <w:sz w:val="28"/>
        </w:rPr>
        <w:t>根据《海宁市制造业高质量发展“十四五”规划》，“十四五”时期尖山新区将打造“半导体基础材料产业园”，将有大量新材料相关项目落地尖山新区，热负荷将明显增长。</w:t>
      </w:r>
      <w:r>
        <w:rPr>
          <w:rFonts w:ascii="Times New Roman" w:hAnsi="Times New Roman" w:eastAsia="仿宋_GB2312" w:cs="宋体"/>
          <w:sz w:val="28"/>
        </w:rPr>
        <w:t>随着</w:t>
      </w:r>
      <w:r>
        <w:rPr>
          <w:rFonts w:hint="eastAsia" w:ascii="Times New Roman" w:hAnsi="Times New Roman" w:eastAsia="仿宋_GB2312" w:cs="宋体"/>
          <w:sz w:val="28"/>
        </w:rPr>
        <w:t>黄湾镇</w:t>
      </w:r>
      <w:r>
        <w:rPr>
          <w:rFonts w:ascii="Times New Roman" w:hAnsi="Times New Roman" w:eastAsia="仿宋_GB2312" w:cs="宋体"/>
          <w:sz w:val="28"/>
        </w:rPr>
        <w:t>热负荷需求增加，</w:t>
      </w:r>
      <w:r>
        <w:rPr>
          <w:rFonts w:hint="eastAsia" w:ascii="Times New Roman" w:hAnsi="Times New Roman" w:eastAsia="仿宋_GB2312" w:cs="宋体"/>
          <w:sz w:val="28"/>
        </w:rPr>
        <w:t>近期</w:t>
      </w:r>
      <w:r>
        <w:rPr>
          <w:rFonts w:ascii="Times New Roman" w:hAnsi="Times New Roman" w:eastAsia="仿宋_GB2312" w:cs="宋体"/>
          <w:sz w:val="28"/>
        </w:rPr>
        <w:t>适时</w:t>
      </w:r>
      <w:r>
        <w:rPr>
          <w:rFonts w:hint="eastAsia" w:ascii="Times New Roman" w:hAnsi="Times New Roman" w:eastAsia="仿宋_GB2312" w:cs="宋体"/>
          <w:sz w:val="28"/>
        </w:rPr>
        <w:t>对</w:t>
      </w:r>
      <w:r>
        <w:rPr>
          <w:rFonts w:hint="eastAsia" w:ascii="Times New Roman" w:hAnsi="Times New Roman" w:eastAsia="仿宋_GB2312" w:cs="宋体"/>
          <w:color w:val="000000" w:themeColor="text1"/>
          <w:sz w:val="28"/>
          <w14:textFill>
            <w14:solidFill>
              <w14:schemeClr w14:val="tx1"/>
            </w14:solidFill>
          </w14:textFill>
        </w:rPr>
        <w:t>海宁绿动海云环保能源有限公司</w:t>
      </w:r>
      <w:r>
        <w:rPr>
          <w:rFonts w:ascii="Times New Roman" w:hAnsi="Times New Roman" w:eastAsia="仿宋_GB2312" w:cs="宋体"/>
          <w:color w:val="000000" w:themeColor="text1"/>
          <w:sz w:val="28"/>
          <w14:textFill>
            <w14:solidFill>
              <w14:schemeClr w14:val="tx1"/>
            </w14:solidFill>
          </w14:textFill>
        </w:rPr>
        <w:t>进行改造，作为公共热电厂对外供热，</w:t>
      </w:r>
      <w:r>
        <w:rPr>
          <w:rFonts w:hint="eastAsia" w:ascii="Times New Roman" w:hAnsi="Times New Roman" w:eastAsia="仿宋_GB2312" w:cs="宋体"/>
          <w:color w:val="000000" w:themeColor="text1"/>
          <w:sz w:val="28"/>
          <w14:textFill>
            <w14:solidFill>
              <w14:schemeClr w14:val="tx1"/>
            </w14:solidFill>
          </w14:textFill>
        </w:rPr>
        <w:t>不仅能提高海宁绿动海云环保能源有限公司的能源利用效率，增加经济收益，还能助力海宁市完成能耗双控和煤炭指标考核任务</w:t>
      </w:r>
      <w:r>
        <w:rPr>
          <w:rFonts w:ascii="Times New Roman" w:hAnsi="Times New Roman" w:eastAsia="仿宋_GB2312" w:cs="宋体"/>
          <w:color w:val="000000" w:themeColor="text1"/>
          <w:sz w:val="28"/>
          <w14:textFill>
            <w14:solidFill>
              <w14:schemeClr w14:val="tx1"/>
            </w14:solidFill>
          </w14:textFill>
        </w:rPr>
        <w:t>。</w:t>
      </w:r>
    </w:p>
    <w:p>
      <w:pPr>
        <w:pStyle w:val="3"/>
      </w:pPr>
      <w:bookmarkStart w:id="2" w:name="_Toc188636866"/>
      <w:r>
        <w:t xml:space="preserve">1.2 </w:t>
      </w:r>
      <w:r>
        <w:rPr>
          <w:rFonts w:hint="eastAsia"/>
        </w:rPr>
        <w:t>规划指导思想、目标及基本原则</w:t>
      </w:r>
      <w:bookmarkEnd w:id="2"/>
    </w:p>
    <w:p>
      <w:pPr>
        <w:pStyle w:val="4"/>
      </w:pPr>
      <w:bookmarkStart w:id="3" w:name="_Toc144300966"/>
      <w:bookmarkStart w:id="4" w:name="_Toc171197807"/>
      <w:bookmarkStart w:id="5" w:name="_Toc139379126"/>
      <w:bookmarkStart w:id="6" w:name="_Toc144301185"/>
      <w:bookmarkStart w:id="7" w:name="_Toc188636867"/>
      <w:bookmarkStart w:id="8" w:name="_Toc181983723"/>
      <w:bookmarkStart w:id="9" w:name="_Toc183631740"/>
      <w:bookmarkStart w:id="10" w:name="_Toc136514686"/>
      <w:r>
        <w:t>1.2.1</w:t>
      </w:r>
      <w:r>
        <w:rPr>
          <w:rFonts w:hint="eastAsia"/>
        </w:rPr>
        <w:t>指导思想</w:t>
      </w:r>
      <w:bookmarkEnd w:id="3"/>
      <w:bookmarkEnd w:id="4"/>
      <w:bookmarkEnd w:id="5"/>
      <w:bookmarkEnd w:id="6"/>
      <w:bookmarkEnd w:id="7"/>
      <w:bookmarkEnd w:id="8"/>
      <w:bookmarkEnd w:id="9"/>
      <w:bookmarkEnd w:id="10"/>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以习近平新时代中国特色社会主义思想为指导，全面贯彻落实党的二十大精神，坚持贯彻新发展理念，忠实践行“八八战略”，奋力打造“重要窗口”，紧紧围绕“四个革命、一个合作”能源安全新战略与碳达峰、碳中和要求，坚持以循环经济理念为指导，认真贯彻国家关于发展热电联产的有关规定和建设资源节约型社会、环境友好型社会的要求，持续开展大气污染防治行动，结合海宁市经济社会发展和环境保护状况，以提高能源利用率、优化热源布局、改善区域环境为目标，以集中供热为主要任务，以管理创新和体制创新为手段，从实际出发，科学规划，统筹兼顾，满足海宁市经济社会发展要求。</w:t>
      </w:r>
    </w:p>
    <w:p>
      <w:pPr>
        <w:pStyle w:val="4"/>
      </w:pPr>
      <w:bookmarkStart w:id="11" w:name="_Toc183631741"/>
      <w:bookmarkStart w:id="12" w:name="_Toc144300967"/>
      <w:bookmarkStart w:id="13" w:name="_Toc171197808"/>
      <w:bookmarkStart w:id="14" w:name="_Toc136514687"/>
      <w:bookmarkStart w:id="15" w:name="_Toc139379127"/>
      <w:bookmarkStart w:id="16" w:name="_Toc181983724"/>
      <w:bookmarkStart w:id="17" w:name="_Toc188636868"/>
      <w:bookmarkStart w:id="18" w:name="_Toc144301186"/>
      <w:r>
        <w:t>1.2.2</w:t>
      </w:r>
      <w:r>
        <w:rPr>
          <w:rFonts w:hint="eastAsia"/>
        </w:rPr>
        <w:t>规划目标</w:t>
      </w:r>
      <w:bookmarkEnd w:id="11"/>
      <w:bookmarkEnd w:id="12"/>
      <w:bookmarkEnd w:id="13"/>
      <w:bookmarkEnd w:id="14"/>
      <w:bookmarkEnd w:id="15"/>
      <w:bookmarkEnd w:id="16"/>
      <w:bookmarkEnd w:id="17"/>
      <w:bookmarkEnd w:id="18"/>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w:t>
      </w:r>
      <w:r>
        <w:rPr>
          <w:rFonts w:ascii="Times New Roman" w:hAnsi="Times New Roman" w:eastAsia="仿宋_GB2312" w:cs="宋体"/>
          <w:sz w:val="28"/>
        </w:rPr>
        <w:t>1</w:t>
      </w:r>
      <w:r>
        <w:rPr>
          <w:rFonts w:hint="eastAsia" w:ascii="Times New Roman" w:hAnsi="Times New Roman" w:eastAsia="仿宋_GB2312" w:cs="宋体"/>
          <w:sz w:val="28"/>
        </w:rPr>
        <w:t>）满足海宁市经济社会快速发展的需要，紧密配合海宁市国土空间总体规划和产业布局规划调整，合理分配供热分区，完善能源基础设施建设，在热用户相对集中区域实行热电联产、集中供热，满足各类热用户的热能需求。</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2）结合“统一规划、以热定电、立足存量、结构优化、提高能效、环保优先”的原则，根据现有热源点情况及热负荷需求预测，合理确定规划期集中供热项目及配套供热管网的建设方案。探索多热源联供、智能化管网的新模式，进一步提高海宁市集中供热水平，保障区域稳定、连续、安全供热。</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w:t>
      </w:r>
      <w:r>
        <w:rPr>
          <w:rFonts w:ascii="Times New Roman" w:hAnsi="Times New Roman" w:eastAsia="仿宋_GB2312" w:cs="宋体"/>
          <w:sz w:val="28"/>
        </w:rPr>
        <w:t>3</w:t>
      </w:r>
      <w:r>
        <w:rPr>
          <w:rFonts w:hint="eastAsia" w:ascii="Times New Roman" w:hAnsi="Times New Roman" w:eastAsia="仿宋_GB2312" w:cs="宋体"/>
          <w:sz w:val="28"/>
        </w:rPr>
        <w:t>）积极响应国家节能减排号召，</w:t>
      </w:r>
      <w:r>
        <w:rPr>
          <w:rFonts w:hint="eastAsia" w:ascii="Times New Roman" w:hAnsi="Times New Roman" w:eastAsia="仿宋_GB2312" w:cs="Times New Roman"/>
          <w:sz w:val="28"/>
        </w:rPr>
        <w:t>加快推进现有热源点低效机组</w:t>
      </w:r>
      <w:r>
        <w:rPr>
          <w:rFonts w:hint="eastAsia" w:ascii="Times New Roman" w:hAnsi="Times New Roman" w:eastAsia="仿宋_GB2312" w:cs="宋体"/>
          <w:sz w:val="28"/>
        </w:rPr>
        <w:t>升级改造</w:t>
      </w:r>
      <w:r>
        <w:rPr>
          <w:rFonts w:hint="eastAsia" w:ascii="Times New Roman" w:hAnsi="Times New Roman" w:eastAsia="仿宋_GB2312" w:cs="Times New Roman"/>
          <w:sz w:val="28"/>
        </w:rPr>
        <w:t>，有序推进集中供热范围内小锅炉的淘汰改造，实现节能减碳、保护当地生态环境的目标，建设节约型社会，发展循环经济。</w:t>
      </w:r>
    </w:p>
    <w:p>
      <w:pPr>
        <w:pStyle w:val="4"/>
      </w:pPr>
      <w:bookmarkStart w:id="19" w:name="_Toc171197809"/>
      <w:bookmarkStart w:id="20" w:name="_Toc188636869"/>
      <w:bookmarkStart w:id="21" w:name="_Toc144300968"/>
      <w:bookmarkStart w:id="22" w:name="_Toc136514688"/>
      <w:bookmarkStart w:id="23" w:name="_Toc144301187"/>
      <w:bookmarkStart w:id="24" w:name="_Toc181983725"/>
      <w:bookmarkStart w:id="25" w:name="_Toc139379128"/>
      <w:bookmarkStart w:id="26" w:name="_Toc183631742"/>
      <w:r>
        <w:t>1.2.3</w:t>
      </w:r>
      <w:r>
        <w:rPr>
          <w:rFonts w:hint="eastAsia"/>
        </w:rPr>
        <w:t>规划原则</w:t>
      </w:r>
      <w:bookmarkEnd w:id="19"/>
      <w:bookmarkEnd w:id="20"/>
      <w:bookmarkEnd w:id="21"/>
      <w:bookmarkEnd w:id="22"/>
      <w:bookmarkEnd w:id="23"/>
      <w:bookmarkEnd w:id="24"/>
      <w:bookmarkEnd w:id="25"/>
      <w:bookmarkEnd w:id="26"/>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w:t>
      </w:r>
      <w:r>
        <w:rPr>
          <w:rFonts w:ascii="Times New Roman" w:hAnsi="Times New Roman" w:eastAsia="仿宋_GB2312" w:cs="宋体"/>
          <w:b/>
          <w:sz w:val="28"/>
        </w:rPr>
        <w:t>1</w:t>
      </w:r>
      <w:r>
        <w:rPr>
          <w:rFonts w:hint="eastAsia" w:ascii="Times New Roman" w:hAnsi="Times New Roman" w:eastAsia="仿宋_GB2312" w:cs="宋体"/>
          <w:b/>
          <w:sz w:val="28"/>
        </w:rPr>
        <w:t>）统一规划、分步实施。</w:t>
      </w:r>
      <w:r>
        <w:rPr>
          <w:rFonts w:hint="eastAsia" w:ascii="Times New Roman" w:hAnsi="Times New Roman" w:eastAsia="仿宋_GB2312" w:cs="宋体"/>
          <w:sz w:val="28"/>
        </w:rPr>
        <w:t>热电联产（集中供热）规划要与国民经济和社会发展规划相衔接，并具有前瞻性。本规划在现有热电企业规模与布局的基础上，结合目前实际需要和将来的发展，统一规划，突出重点，分步实施。规划既要突出可行性和可操作性，也要考虑指导性、前瞻性。</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w:t>
      </w:r>
      <w:r>
        <w:rPr>
          <w:rFonts w:ascii="Times New Roman" w:hAnsi="Times New Roman" w:eastAsia="仿宋_GB2312" w:cs="宋体"/>
          <w:b/>
          <w:sz w:val="28"/>
        </w:rPr>
        <w:t>2</w:t>
      </w:r>
      <w:r>
        <w:rPr>
          <w:rFonts w:hint="eastAsia" w:ascii="Times New Roman" w:hAnsi="Times New Roman" w:eastAsia="仿宋_GB2312" w:cs="宋体"/>
          <w:b/>
          <w:sz w:val="28"/>
        </w:rPr>
        <w:t>）以热定电、规模适度。</w:t>
      </w:r>
      <w:r>
        <w:rPr>
          <w:rFonts w:hint="eastAsia" w:ascii="Times New Roman" w:hAnsi="Times New Roman" w:eastAsia="仿宋_GB2312" w:cs="宋体"/>
          <w:sz w:val="28"/>
        </w:rPr>
        <w:t>热电联产（集中供热）规划应严格执行国家的能源政策，实现能源的梯级、合理利用，提高经济效益。热电厂的建设以供热为主，发电为辅；热电联产的规模视热负荷而定，并结合热负荷发展趋势，优选机组。热电厂的建设规模要考虑热负荷的增长和今后的扩建需求。</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w:t>
      </w:r>
      <w:r>
        <w:rPr>
          <w:rFonts w:ascii="Times New Roman" w:hAnsi="Times New Roman" w:eastAsia="仿宋_GB2312" w:cs="宋体"/>
          <w:b/>
          <w:sz w:val="28"/>
        </w:rPr>
        <w:t>3</w:t>
      </w:r>
      <w:r>
        <w:rPr>
          <w:rFonts w:hint="eastAsia" w:ascii="Times New Roman" w:hAnsi="Times New Roman" w:eastAsia="仿宋_GB2312" w:cs="宋体"/>
          <w:b/>
          <w:sz w:val="28"/>
        </w:rPr>
        <w:t>）技术先进、绿色低碳。</w:t>
      </w:r>
      <w:r>
        <w:rPr>
          <w:rFonts w:hint="eastAsia" w:ascii="Times New Roman" w:hAnsi="Times New Roman" w:eastAsia="仿宋_GB2312" w:cs="宋体"/>
          <w:sz w:val="28"/>
        </w:rPr>
        <w:t>热电系统应紧紧围绕碳达峰碳中和目标，以循环经济理念为指导，积极采用新工艺、新技术、新材料、新设备，提高热电厂热效率和自动化水平，突出环保、低碳与节能，做到技术先进、经济合理、安全可靠又绿色低碳。</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w:t>
      </w:r>
      <w:r>
        <w:rPr>
          <w:rFonts w:ascii="Times New Roman" w:hAnsi="Times New Roman" w:eastAsia="仿宋_GB2312" w:cs="宋体"/>
          <w:b/>
          <w:sz w:val="28"/>
        </w:rPr>
        <w:t>4</w:t>
      </w:r>
      <w:r>
        <w:rPr>
          <w:rFonts w:hint="eastAsia" w:ascii="Times New Roman" w:hAnsi="Times New Roman" w:eastAsia="仿宋_GB2312" w:cs="宋体"/>
          <w:b/>
          <w:sz w:val="28"/>
        </w:rPr>
        <w:t>）改革创新、科学管理。</w:t>
      </w:r>
      <w:r>
        <w:rPr>
          <w:rFonts w:hint="eastAsia" w:ascii="Times New Roman" w:hAnsi="Times New Roman" w:eastAsia="仿宋_GB2312" w:cs="宋体"/>
          <w:sz w:val="28"/>
        </w:rPr>
        <w:t>积极推动供热管理体制改革，着力优化当地供热资源布局，加快推进供热区域热网互联互通，优化热力运营调度，深化推进供热计</w:t>
      </w:r>
      <w:r>
        <w:rPr>
          <w:rFonts w:ascii="Times New Roman" w:hAnsi="Times New Roman" w:eastAsia="仿宋_GB2312" w:cs="宋体"/>
          <w:sz w:val="28"/>
        </w:rPr>
        <w:t>量收费改革</w:t>
      </w:r>
      <w:r>
        <w:rPr>
          <w:rFonts w:hint="eastAsia" w:ascii="Times New Roman" w:hAnsi="Times New Roman" w:eastAsia="仿宋_GB2312" w:cs="宋体"/>
          <w:sz w:val="28"/>
        </w:rPr>
        <w:t>，提升区域供热的质量和效率。</w:t>
      </w:r>
    </w:p>
    <w:p>
      <w:pPr>
        <w:pStyle w:val="3"/>
      </w:pPr>
      <w:bookmarkStart w:id="27" w:name="_Toc109534990"/>
      <w:bookmarkStart w:id="28" w:name="_Toc107627441"/>
      <w:bookmarkStart w:id="29" w:name="_Toc51407082"/>
      <w:bookmarkStart w:id="30" w:name="_Toc108406424"/>
      <w:bookmarkStart w:id="31" w:name="_Toc48713676"/>
      <w:bookmarkStart w:id="32" w:name="_Toc48714398"/>
      <w:bookmarkStart w:id="33" w:name="_Toc108256964"/>
      <w:bookmarkStart w:id="34" w:name="_Toc312171446"/>
      <w:bookmarkStart w:id="35" w:name="_Toc65407828"/>
      <w:bookmarkStart w:id="36" w:name="_Toc72632428"/>
      <w:bookmarkStart w:id="37" w:name="_Toc67306558"/>
      <w:bookmarkStart w:id="38" w:name="_Toc47520033"/>
      <w:bookmarkStart w:id="39" w:name="_Toc66757298"/>
      <w:bookmarkStart w:id="40" w:name="_Toc108406168"/>
      <w:bookmarkStart w:id="41" w:name="_Toc65464895"/>
      <w:bookmarkStart w:id="42" w:name="_Toc67291940"/>
      <w:bookmarkStart w:id="43" w:name="_Toc188636870"/>
      <w:bookmarkStart w:id="44" w:name="_Toc51574257"/>
      <w:bookmarkStart w:id="45" w:name="_Toc67306402"/>
      <w:bookmarkStart w:id="46" w:name="_Toc107627595"/>
      <w:bookmarkStart w:id="47" w:name="_Toc47519909"/>
      <w:bookmarkStart w:id="48" w:name="_Toc110226024"/>
      <w:r>
        <w:t>1.3</w:t>
      </w:r>
      <w:r>
        <w:rPr>
          <w:rFonts w:hint="eastAsia"/>
        </w:rPr>
        <w:t>规划依据</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pPr>
        <w:pStyle w:val="4"/>
      </w:pPr>
      <w:bookmarkStart w:id="49" w:name="_Toc144301189"/>
      <w:bookmarkStart w:id="50" w:name="_Toc181983727"/>
      <w:bookmarkStart w:id="51" w:name="_Toc183631744"/>
      <w:bookmarkStart w:id="52" w:name="_Toc139379130"/>
      <w:bookmarkStart w:id="53" w:name="_Toc136514690"/>
      <w:bookmarkStart w:id="54" w:name="_Toc144300970"/>
      <w:bookmarkStart w:id="55" w:name="_Toc188636871"/>
      <w:bookmarkStart w:id="56" w:name="_Toc171197811"/>
      <w:r>
        <w:t>1.3.1</w:t>
      </w:r>
      <w:r>
        <w:rPr>
          <w:rFonts w:hint="eastAsia"/>
        </w:rPr>
        <w:t>法律法规及政策文件</w:t>
      </w:r>
      <w:bookmarkEnd w:id="49"/>
      <w:bookmarkEnd w:id="50"/>
      <w:bookmarkEnd w:id="51"/>
      <w:bookmarkEnd w:id="52"/>
      <w:bookmarkEnd w:id="53"/>
      <w:bookmarkEnd w:id="54"/>
      <w:bookmarkEnd w:id="55"/>
      <w:bookmarkEnd w:id="56"/>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1、《中华人民共和国城乡规划法》（2015年4月修订）；</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2、《中华人民共和国环境保护法》（2015年1月修订）；</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3、《中华人民共和国土地管理法》（2</w:t>
      </w:r>
      <w:r>
        <w:rPr>
          <w:rFonts w:ascii="Times New Roman" w:hAnsi="Times New Roman" w:eastAsia="仿宋_GB2312" w:cs="宋体"/>
          <w:sz w:val="28"/>
        </w:rPr>
        <w:t>019</w:t>
      </w:r>
      <w:r>
        <w:rPr>
          <w:rFonts w:hint="eastAsia" w:ascii="Times New Roman" w:hAnsi="Times New Roman" w:eastAsia="仿宋_GB2312" w:cs="宋体"/>
          <w:sz w:val="28"/>
        </w:rPr>
        <w:t>年8月修订）；</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4、《中华人民共和国土地管理法实施条例》（国令第</w:t>
      </w:r>
      <w:r>
        <w:rPr>
          <w:rFonts w:ascii="Times New Roman" w:hAnsi="Times New Roman" w:eastAsia="仿宋_GB2312" w:cs="宋体"/>
          <w:sz w:val="28"/>
        </w:rPr>
        <w:t>743号</w:t>
      </w:r>
      <w:r>
        <w:rPr>
          <w:rFonts w:hint="eastAsia" w:ascii="Times New Roman" w:hAnsi="Times New Roman" w:eastAsia="仿宋_GB2312" w:cs="宋体"/>
          <w:sz w:val="28"/>
        </w:rPr>
        <w:t>）；</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5、《中华人民共和国电力法》（2018年12月修订）；</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6、《中华人民共和国煤炭法》（2016年11月修订）；</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7、《中华人民共和国大气污染防治法》（2018年10月修订）；</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8、《中华人民共和国节约能源法》（2018年修订）；</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9</w:t>
      </w:r>
      <w:r>
        <w:rPr>
          <w:rFonts w:hint="eastAsia" w:ascii="Times New Roman" w:hAnsi="Times New Roman" w:eastAsia="仿宋_GB2312" w:cs="宋体"/>
          <w:sz w:val="28"/>
        </w:rPr>
        <w:t>、《产业结构调整指导目录（20</w:t>
      </w:r>
      <w:r>
        <w:rPr>
          <w:rFonts w:ascii="Times New Roman" w:hAnsi="Times New Roman" w:eastAsia="仿宋_GB2312" w:cs="宋体"/>
          <w:sz w:val="28"/>
        </w:rPr>
        <w:t>24</w:t>
      </w:r>
      <w:r>
        <w:rPr>
          <w:rFonts w:hint="eastAsia" w:ascii="Times New Roman" w:hAnsi="Times New Roman" w:eastAsia="仿宋_GB2312" w:cs="宋体"/>
          <w:sz w:val="28"/>
        </w:rPr>
        <w:t>年本）》；</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10、</w:t>
      </w:r>
      <w:r>
        <w:rPr>
          <w:rFonts w:hint="eastAsia" w:ascii="Times New Roman" w:hAnsi="Times New Roman" w:eastAsia="仿宋_GB2312" w:cs="宋体"/>
          <w:sz w:val="28"/>
        </w:rPr>
        <w:t>《燃煤电厂大气污染物排放标准》</w:t>
      </w:r>
      <w:r>
        <w:rPr>
          <w:rFonts w:ascii="Times New Roman" w:hAnsi="Times New Roman" w:eastAsia="仿宋_GB2312" w:cs="宋体"/>
          <w:sz w:val="28"/>
        </w:rPr>
        <w:t>DB332147-2018；</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11、《锅炉大气污染物排放标准》GB13271-2014</w:t>
      </w:r>
      <w:r>
        <w:rPr>
          <w:rFonts w:hint="eastAsia" w:ascii="Times New Roman" w:hAnsi="Times New Roman" w:eastAsia="仿宋_GB2312" w:cs="宋体"/>
          <w:sz w:val="28"/>
        </w:rPr>
        <w:t>；</w:t>
      </w:r>
    </w:p>
    <w:p>
      <w:pPr>
        <w:spacing w:line="580" w:lineRule="exact"/>
        <w:ind w:firstLine="555"/>
        <w:rPr>
          <w:rFonts w:ascii="Times New Roman" w:hAnsi="Times New Roman" w:eastAsia="仿宋_GB2312" w:cs="宋体"/>
          <w:sz w:val="28"/>
        </w:rPr>
      </w:pPr>
      <w:r>
        <w:rPr>
          <w:rFonts w:ascii="Times New Roman" w:hAnsi="Times New Roman" w:eastAsia="仿宋_GB2312" w:cs="Times New Roman"/>
          <w:sz w:val="28"/>
        </w:rPr>
        <w:t>12、《火电厂大气污染物排放标准》（GB13223-2011）</w:t>
      </w:r>
      <w:r>
        <w:rPr>
          <w:rFonts w:hint="eastAsia" w:ascii="Times New Roman" w:hAnsi="Times New Roman" w:eastAsia="仿宋_GB2312" w:cs="Times New Roman"/>
          <w:sz w:val="28"/>
        </w:rPr>
        <w:t>。</w:t>
      </w:r>
    </w:p>
    <w:p>
      <w:pPr>
        <w:pStyle w:val="4"/>
      </w:pPr>
      <w:bookmarkStart w:id="57" w:name="_Toc144301190"/>
      <w:bookmarkStart w:id="58" w:name="_Toc144300971"/>
      <w:bookmarkStart w:id="59" w:name="_Toc171197812"/>
      <w:bookmarkStart w:id="60" w:name="_Toc136514691"/>
      <w:bookmarkStart w:id="61" w:name="_Toc139379131"/>
      <w:bookmarkStart w:id="62" w:name="_Toc188636872"/>
      <w:bookmarkStart w:id="63" w:name="_Toc181983728"/>
      <w:bookmarkStart w:id="64" w:name="_Toc183631745"/>
      <w:r>
        <w:t>1.3.2</w:t>
      </w:r>
      <w:r>
        <w:rPr>
          <w:rFonts w:hint="eastAsia"/>
        </w:rPr>
        <w:t>相关规划</w:t>
      </w:r>
      <w:bookmarkEnd w:id="57"/>
      <w:bookmarkEnd w:id="58"/>
      <w:bookmarkEnd w:id="59"/>
      <w:bookmarkEnd w:id="60"/>
      <w:bookmarkEnd w:id="61"/>
      <w:bookmarkEnd w:id="62"/>
      <w:bookmarkEnd w:id="63"/>
      <w:bookmarkEnd w:id="64"/>
    </w:p>
    <w:p>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1、《“十四五”节能减排综合工作方案》（国发〔2021〕33号）；</w:t>
      </w:r>
    </w:p>
    <w:p>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2、《空气质量持续改善行动计划》（国发〔2023〕24号）；</w:t>
      </w:r>
    </w:p>
    <w:p>
      <w:pPr>
        <w:spacing w:line="580" w:lineRule="exact"/>
        <w:ind w:firstLine="560" w:firstLineChars="200"/>
        <w:rPr>
          <w:rFonts w:ascii="Times New Roman" w:hAnsi="Times New Roman" w:eastAsia="仿宋_GB2312" w:cs="Times New Roman"/>
          <w:sz w:val="28"/>
        </w:rPr>
      </w:pPr>
      <w:r>
        <w:rPr>
          <w:rFonts w:ascii="Times New Roman" w:hAnsi="Times New Roman" w:eastAsia="仿宋_GB2312" w:cs="Times New Roman"/>
          <w:sz w:val="28"/>
        </w:rPr>
        <w:t>3、《“十四五”现代能源体系规划》（发改能源〔2022〕210号）；</w:t>
      </w:r>
    </w:p>
    <w:p>
      <w:pPr>
        <w:spacing w:line="580" w:lineRule="exact"/>
        <w:ind w:firstLine="560" w:firstLineChars="200"/>
        <w:rPr>
          <w:rFonts w:ascii="Times New Roman" w:hAnsi="Times New Roman" w:eastAsia="仿宋_GB2312" w:cs="Times New Roman"/>
          <w:sz w:val="28"/>
        </w:rPr>
      </w:pPr>
      <w:r>
        <w:rPr>
          <w:rFonts w:ascii="Times New Roman" w:hAnsi="Times New Roman" w:eastAsia="仿宋_GB2312" w:cs="Times New Roman"/>
          <w:sz w:val="28"/>
        </w:rPr>
        <w:t>4、《浙江省能源发展“十四五”规划》（浙政办发〔2022〕29号）；</w:t>
      </w:r>
    </w:p>
    <w:p>
      <w:pPr>
        <w:spacing w:line="580" w:lineRule="exact"/>
        <w:ind w:firstLine="560" w:firstLineChars="200"/>
        <w:rPr>
          <w:rFonts w:ascii="Times New Roman" w:hAnsi="Times New Roman" w:eastAsia="仿宋_GB2312" w:cs="Times New Roman"/>
          <w:sz w:val="28"/>
        </w:rPr>
      </w:pPr>
      <w:r>
        <w:rPr>
          <w:rFonts w:ascii="Times New Roman" w:hAnsi="Times New Roman" w:eastAsia="仿宋_GB2312" w:cs="Times New Roman"/>
          <w:sz w:val="28"/>
        </w:rPr>
        <w:t>5、《浙江省空气质量持续改善行动计划》（浙政发〔2024〕11号）；</w:t>
      </w:r>
    </w:p>
    <w:p>
      <w:pPr>
        <w:spacing w:line="580" w:lineRule="exact"/>
        <w:ind w:firstLine="560" w:firstLineChars="200"/>
        <w:rPr>
          <w:rFonts w:ascii="Times New Roman" w:hAnsi="Times New Roman" w:eastAsia="仿宋_GB2312" w:cs="Times New Roman"/>
          <w:sz w:val="28"/>
        </w:rPr>
      </w:pPr>
      <w:r>
        <w:rPr>
          <w:rFonts w:ascii="Times New Roman" w:hAnsi="Times New Roman" w:eastAsia="仿宋_GB2312" w:cs="Times New Roman"/>
          <w:sz w:val="28"/>
        </w:rPr>
        <w:t>6、《浙江省空气质量改善“十四五”规划》（浙发改规划〔2021〕215 号）；</w:t>
      </w:r>
    </w:p>
    <w:p>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szCs w:val="28"/>
        </w:rPr>
        <w:t>7、</w:t>
      </w:r>
      <w:r>
        <w:rPr>
          <w:rFonts w:ascii="Times New Roman" w:hAnsi="Times New Roman" w:eastAsia="仿宋_GB2312" w:cs="Times New Roman"/>
          <w:sz w:val="28"/>
        </w:rPr>
        <w:t>《浙江省能源领域设备更新专项行动方案》（浙发改能源〔202</w:t>
      </w:r>
      <w:r>
        <w:rPr>
          <w:rFonts w:hint="eastAsia" w:ascii="Times New Roman" w:hAnsi="Times New Roman" w:eastAsia="仿宋_GB2312" w:cs="Times New Roman"/>
          <w:sz w:val="28"/>
        </w:rPr>
        <w:t>4</w:t>
      </w:r>
      <w:r>
        <w:rPr>
          <w:rFonts w:ascii="Times New Roman" w:hAnsi="Times New Roman" w:eastAsia="仿宋_GB2312" w:cs="Times New Roman"/>
          <w:sz w:val="28"/>
        </w:rPr>
        <w:t>〕104号）</w:t>
      </w:r>
      <w:r>
        <w:rPr>
          <w:rFonts w:hint="eastAsia" w:ascii="Times New Roman" w:hAnsi="Times New Roman" w:eastAsia="仿宋_GB2312" w:cs="Times New Roman"/>
          <w:sz w:val="28"/>
        </w:rPr>
        <w:t>；</w:t>
      </w:r>
    </w:p>
    <w:p>
      <w:pPr>
        <w:spacing w:line="580" w:lineRule="exact"/>
        <w:ind w:firstLine="555"/>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8、</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嘉兴</w:t>
      </w:r>
      <w:r>
        <w:rPr>
          <w:rFonts w:ascii="Times New Roman" w:hAnsi="Times New Roman" w:eastAsia="仿宋_GB2312" w:cs="Times New Roman"/>
          <w:sz w:val="28"/>
          <w:szCs w:val="28"/>
        </w:rPr>
        <w:t>市国民经济和社会发展第十四个五年规划和二</w:t>
      </w:r>
      <w:r>
        <w:rPr>
          <w:rFonts w:ascii="Times New Roman" w:hAnsi="Times New Roman" w:eastAsia="微软雅黑" w:cs="Times New Roman"/>
          <w:sz w:val="28"/>
          <w:szCs w:val="28"/>
        </w:rPr>
        <w:t>〇</w:t>
      </w:r>
      <w:r>
        <w:rPr>
          <w:rFonts w:ascii="Times New Roman" w:hAnsi="Times New Roman" w:eastAsia="仿宋_GB2312" w:cs="Times New Roman"/>
          <w:sz w:val="28"/>
          <w:szCs w:val="28"/>
        </w:rPr>
        <w:t>三五年远景目标纲要》</w:t>
      </w:r>
      <w:r>
        <w:rPr>
          <w:rFonts w:hint="eastAsia" w:ascii="Times New Roman" w:hAnsi="Times New Roman" w:eastAsia="仿宋_GB2312" w:cs="Times New Roman"/>
          <w:sz w:val="28"/>
          <w:szCs w:val="28"/>
        </w:rPr>
        <w:t>（嘉政发〔</w:t>
      </w:r>
      <w:r>
        <w:rPr>
          <w:rFonts w:ascii="Times New Roman" w:hAnsi="Times New Roman" w:eastAsia="仿宋_GB2312" w:cs="Times New Roman"/>
          <w:sz w:val="28"/>
          <w:szCs w:val="28"/>
        </w:rPr>
        <w:t>2021〕6号</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9、《嘉兴市能源发展“十四五”规划》（嘉发改</w:t>
      </w:r>
      <w:r>
        <w:rPr>
          <w:rFonts w:hint="eastAsia" w:ascii="Times New Roman" w:hAnsi="Times New Roman" w:eastAsia="仿宋_GB2312" w:cs="Times New Roman"/>
          <w:sz w:val="28"/>
          <w:szCs w:val="28"/>
        </w:rPr>
        <w:t>〔</w:t>
      </w:r>
      <w:r>
        <w:rPr>
          <w:rFonts w:ascii="Times New Roman" w:hAnsi="Times New Roman" w:eastAsia="仿宋_GB2312" w:cs="宋体"/>
          <w:sz w:val="28"/>
        </w:rPr>
        <w:t>2022</w:t>
      </w:r>
      <w:r>
        <w:rPr>
          <w:rFonts w:ascii="Times New Roman" w:hAnsi="Times New Roman" w:eastAsia="仿宋_GB2312" w:cs="Times New Roman"/>
          <w:sz w:val="28"/>
          <w:szCs w:val="28"/>
        </w:rPr>
        <w:t>〕</w:t>
      </w:r>
      <w:r>
        <w:rPr>
          <w:rFonts w:ascii="Times New Roman" w:hAnsi="Times New Roman" w:eastAsia="仿宋_GB2312" w:cs="宋体"/>
          <w:sz w:val="28"/>
        </w:rPr>
        <w:t>20号</w:t>
      </w:r>
      <w:r>
        <w:rPr>
          <w:rFonts w:hint="eastAsia" w:ascii="Times New Roman" w:hAnsi="Times New Roman" w:eastAsia="仿宋_GB2312" w:cs="宋体"/>
          <w:sz w:val="28"/>
        </w:rPr>
        <w:t>）；</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1</w:t>
      </w:r>
      <w:r>
        <w:rPr>
          <w:rFonts w:ascii="Times New Roman" w:hAnsi="Times New Roman" w:eastAsia="仿宋_GB2312" w:cs="宋体"/>
          <w:sz w:val="28"/>
        </w:rPr>
        <w:t>0</w:t>
      </w:r>
      <w:r>
        <w:rPr>
          <w:rFonts w:hint="eastAsia" w:ascii="Times New Roman" w:hAnsi="Times New Roman" w:eastAsia="仿宋_GB2312" w:cs="宋体"/>
          <w:sz w:val="28"/>
        </w:rPr>
        <w:t>、《嘉兴市可再生能源发展“十四五”规划》（嘉发改〔</w:t>
      </w:r>
      <w:r>
        <w:rPr>
          <w:rFonts w:ascii="Times New Roman" w:hAnsi="Times New Roman" w:eastAsia="仿宋_GB2312" w:cs="宋体"/>
          <w:sz w:val="28"/>
        </w:rPr>
        <w:t>2022〕109号</w:t>
      </w:r>
      <w:r>
        <w:rPr>
          <w:rFonts w:hint="eastAsia" w:ascii="Times New Roman" w:hAnsi="Times New Roman" w:eastAsia="仿宋_GB2312" w:cs="宋体"/>
          <w:sz w:val="28"/>
        </w:rPr>
        <w:t>）；</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11</w:t>
      </w:r>
      <w:r>
        <w:rPr>
          <w:rFonts w:hint="eastAsia" w:ascii="Times New Roman" w:hAnsi="Times New Roman" w:eastAsia="仿宋_GB2312" w:cs="宋体"/>
          <w:sz w:val="28"/>
        </w:rPr>
        <w:t>、《嘉兴市国土空间总体规划（</w:t>
      </w:r>
      <w:r>
        <w:rPr>
          <w:rFonts w:ascii="Times New Roman" w:hAnsi="Times New Roman" w:eastAsia="仿宋_GB2312" w:cs="宋体"/>
          <w:sz w:val="28"/>
        </w:rPr>
        <w:t>2021-2035年）</w:t>
      </w:r>
      <w:r>
        <w:rPr>
          <w:rFonts w:hint="eastAsia" w:ascii="Times New Roman" w:hAnsi="Times New Roman" w:eastAsia="仿宋_GB2312" w:cs="宋体"/>
          <w:sz w:val="28"/>
        </w:rPr>
        <w:t>》；</w:t>
      </w:r>
    </w:p>
    <w:p>
      <w:pPr>
        <w:spacing w:line="580" w:lineRule="exact"/>
        <w:ind w:firstLine="555"/>
        <w:rPr>
          <w:rFonts w:ascii="仿宋_GB2312" w:hAnsi="仿宋_GB2312" w:eastAsia="仿宋_GB2312" w:cs="仿宋_GB2312"/>
          <w:sz w:val="28"/>
        </w:rPr>
      </w:pPr>
      <w:r>
        <w:rPr>
          <w:rFonts w:ascii="Times New Roman" w:hAnsi="Times New Roman" w:eastAsia="仿宋_GB2312" w:cs="宋体"/>
          <w:sz w:val="28"/>
        </w:rPr>
        <w:t>12</w:t>
      </w:r>
      <w:r>
        <w:rPr>
          <w:rFonts w:hint="eastAsia" w:ascii="Times New Roman" w:hAnsi="Times New Roman" w:eastAsia="仿宋_GB2312" w:cs="宋体"/>
          <w:sz w:val="28"/>
        </w:rPr>
        <w:t>、《海宁市国民经济和社会发展第十四个五年规划和二</w:t>
      </w:r>
      <w:r>
        <w:rPr>
          <w:rFonts w:hint="eastAsia" w:ascii="微软雅黑" w:hAnsi="微软雅黑" w:eastAsia="微软雅黑" w:cs="微软雅黑"/>
          <w:sz w:val="28"/>
        </w:rPr>
        <w:t>〇</w:t>
      </w:r>
      <w:r>
        <w:rPr>
          <w:rFonts w:hint="eastAsia" w:ascii="仿宋_GB2312" w:hAnsi="仿宋_GB2312" w:eastAsia="仿宋_GB2312" w:cs="仿宋_GB2312"/>
          <w:sz w:val="28"/>
        </w:rPr>
        <w:t>三五年远景目标纲要》；</w:t>
      </w:r>
    </w:p>
    <w:p>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13、</w:t>
      </w:r>
      <w:r>
        <w:rPr>
          <w:rFonts w:hint="eastAsia" w:ascii="Times New Roman" w:hAnsi="Times New Roman" w:eastAsia="仿宋_GB2312" w:cs="Times New Roman"/>
          <w:sz w:val="28"/>
        </w:rPr>
        <w:t>《海宁市国土空间总体规划（</w:t>
      </w:r>
      <w:r>
        <w:rPr>
          <w:rFonts w:ascii="Times New Roman" w:hAnsi="Times New Roman" w:eastAsia="仿宋_GB2312" w:cs="Times New Roman"/>
          <w:sz w:val="28"/>
        </w:rPr>
        <w:t>2021-2035年）</w:t>
      </w:r>
      <w:r>
        <w:rPr>
          <w:rFonts w:hint="eastAsia" w:ascii="Times New Roman" w:hAnsi="Times New Roman" w:eastAsia="仿宋_GB2312" w:cs="Times New Roman"/>
          <w:sz w:val="28"/>
        </w:rPr>
        <w:t>》；</w:t>
      </w:r>
    </w:p>
    <w:p>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14、《海宁市能源发展“十四五”规划》；</w:t>
      </w:r>
    </w:p>
    <w:p>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15、《海宁市制造业高质量发展“十四五”规划》；</w:t>
      </w:r>
    </w:p>
    <w:p>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16</w:t>
      </w:r>
      <w:r>
        <w:rPr>
          <w:rFonts w:hint="eastAsia" w:ascii="Times New Roman" w:hAnsi="Times New Roman" w:eastAsia="仿宋_GB2312" w:cs="Times New Roman"/>
          <w:sz w:val="28"/>
        </w:rPr>
        <w:t>、《海宁市电网发展“十四五”规划》；</w:t>
      </w:r>
    </w:p>
    <w:p>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17</w:t>
      </w:r>
      <w:r>
        <w:rPr>
          <w:rFonts w:hint="eastAsia" w:ascii="Times New Roman" w:hAnsi="Times New Roman" w:eastAsia="仿宋_GB2312" w:cs="Times New Roman"/>
          <w:sz w:val="28"/>
        </w:rPr>
        <w:t>、</w:t>
      </w:r>
      <w:r>
        <w:rPr>
          <w:rFonts w:ascii="Times New Roman" w:hAnsi="Times New Roman" w:eastAsia="仿宋_GB2312" w:cs="Times New Roman"/>
          <w:sz w:val="28"/>
        </w:rPr>
        <w:t>《海宁市印染产业整合提升方案（2021-2023）》</w:t>
      </w:r>
      <w:r>
        <w:rPr>
          <w:rFonts w:hint="eastAsia" w:ascii="Times New Roman" w:hAnsi="Times New Roman" w:eastAsia="仿宋_GB2312" w:cs="Times New Roman"/>
          <w:sz w:val="28"/>
        </w:rPr>
        <w:t>（海政办发〔</w:t>
      </w:r>
      <w:r>
        <w:rPr>
          <w:rFonts w:ascii="Times New Roman" w:hAnsi="Times New Roman" w:eastAsia="仿宋_GB2312" w:cs="Times New Roman"/>
          <w:sz w:val="28"/>
        </w:rPr>
        <w:t>2022</w:t>
      </w:r>
      <w:r>
        <w:rPr>
          <w:rFonts w:hint="eastAsia" w:ascii="Times New Roman" w:hAnsi="Times New Roman" w:eastAsia="仿宋_GB2312" w:cs="Times New Roman"/>
          <w:sz w:val="28"/>
        </w:rPr>
        <w:t>〕</w:t>
      </w:r>
      <w:r>
        <w:rPr>
          <w:rFonts w:ascii="Times New Roman" w:hAnsi="Times New Roman" w:eastAsia="仿宋_GB2312" w:cs="Times New Roman"/>
          <w:sz w:val="28"/>
        </w:rPr>
        <w:t>1号</w:t>
      </w:r>
      <w:r>
        <w:rPr>
          <w:rFonts w:hint="eastAsia" w:ascii="Times New Roman" w:hAnsi="Times New Roman" w:eastAsia="仿宋_GB2312" w:cs="Times New Roman"/>
          <w:sz w:val="28"/>
        </w:rPr>
        <w:t>）；</w:t>
      </w:r>
    </w:p>
    <w:p>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18</w:t>
      </w:r>
      <w:r>
        <w:rPr>
          <w:rFonts w:hint="eastAsia" w:ascii="Times New Roman" w:hAnsi="Times New Roman" w:eastAsia="仿宋_GB2312" w:cs="Times New Roman"/>
          <w:sz w:val="28"/>
        </w:rPr>
        <w:t>、《海宁市集中供热规划（</w:t>
      </w:r>
      <w:r>
        <w:rPr>
          <w:rFonts w:ascii="Times New Roman" w:hAnsi="Times New Roman" w:eastAsia="仿宋_GB2312" w:cs="Times New Roman"/>
          <w:sz w:val="28"/>
        </w:rPr>
        <w:t>2015</w:t>
      </w:r>
      <w:r>
        <w:rPr>
          <w:rFonts w:hint="eastAsia" w:ascii="Times New Roman" w:hAnsi="Times New Roman" w:eastAsia="仿宋_GB2312" w:cs="Times New Roman"/>
          <w:sz w:val="28"/>
        </w:rPr>
        <w:t>-</w:t>
      </w:r>
      <w:r>
        <w:rPr>
          <w:rFonts w:ascii="Times New Roman" w:hAnsi="Times New Roman" w:eastAsia="仿宋_GB2312" w:cs="Times New Roman"/>
          <w:sz w:val="28"/>
        </w:rPr>
        <w:t>2025）</w:t>
      </w:r>
      <w:r>
        <w:rPr>
          <w:rFonts w:hint="eastAsia" w:ascii="Times New Roman" w:hAnsi="Times New Roman" w:eastAsia="仿宋_GB2312" w:cs="Times New Roman"/>
          <w:sz w:val="28"/>
        </w:rPr>
        <w:t>》。</w:t>
      </w:r>
    </w:p>
    <w:p>
      <w:pPr>
        <w:pStyle w:val="4"/>
      </w:pPr>
      <w:bookmarkStart w:id="65" w:name="_Toc188636873"/>
      <w:bookmarkStart w:id="66" w:name="_Toc183631746"/>
      <w:bookmarkStart w:id="67" w:name="_Toc139379132"/>
      <w:bookmarkStart w:id="68" w:name="_Toc136514692"/>
      <w:bookmarkStart w:id="69" w:name="_Toc144300972"/>
      <w:bookmarkStart w:id="70" w:name="_Toc171197813"/>
      <w:bookmarkStart w:id="71" w:name="_Toc144301191"/>
      <w:bookmarkStart w:id="72" w:name="_Toc181983729"/>
      <w:r>
        <w:t>1.3.3</w:t>
      </w:r>
      <w:r>
        <w:rPr>
          <w:rFonts w:hint="eastAsia"/>
        </w:rPr>
        <w:t>技术规范、规程和标准</w:t>
      </w:r>
      <w:bookmarkEnd w:id="65"/>
      <w:bookmarkEnd w:id="66"/>
      <w:bookmarkEnd w:id="67"/>
      <w:bookmarkEnd w:id="68"/>
      <w:bookmarkEnd w:id="69"/>
      <w:bookmarkEnd w:id="70"/>
      <w:bookmarkEnd w:id="71"/>
      <w:bookmarkEnd w:id="72"/>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1、《浙江省能源局关于进一步规范热电联产（集中供热）规划管理的通知》（浙能源〔2023〕11号）；</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2、《城市热电联产规划编制要求》；</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3、《关于发展热电联产的规定》（计基础〔2000〕1268号）；</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4、《热电联产管理办法》（发改能源〔2016〕617号）；</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5、《城市供热规划规范》GB/T51074-2015；</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6、《城镇供热管网设计标准》CJJ/T34-2022；</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7、《城镇供热直埋蒸汽管道技术规程》CJJ/T104-2014；</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8、《城镇供热管网工程施工及验收规范》CJJ28-2014；</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9、《小型火力发电厂设计规范》GB50049-2011；</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10、《燃气-蒸汽联合循环电厂设计规范》DL∕T 5174-2020；</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11、《燃气分布式能源站设计规范》T/CEC 5066-2021；</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12、《热电联产能效能耗限额及计算方法》（DB33/ 642-2019）。</w:t>
      </w:r>
    </w:p>
    <w:p>
      <w:pPr>
        <w:pStyle w:val="3"/>
      </w:pPr>
      <w:bookmarkStart w:id="73" w:name="_Toc188636874"/>
      <w:bookmarkStart w:id="74" w:name="_Toc51407083"/>
      <w:bookmarkStart w:id="75" w:name="_Toc109534991"/>
      <w:bookmarkStart w:id="76" w:name="_Toc312171447"/>
      <w:bookmarkStart w:id="77" w:name="_Toc47520034"/>
      <w:bookmarkStart w:id="78" w:name="_Toc48714399"/>
      <w:bookmarkStart w:id="79" w:name="_Toc65407829"/>
      <w:bookmarkStart w:id="80" w:name="_Toc66757299"/>
      <w:bookmarkStart w:id="81" w:name="_Toc67306403"/>
      <w:bookmarkStart w:id="82" w:name="_Toc67306559"/>
      <w:bookmarkStart w:id="83" w:name="_Toc107627596"/>
      <w:bookmarkStart w:id="84" w:name="_Toc72632429"/>
      <w:bookmarkStart w:id="85" w:name="_Toc51574258"/>
      <w:bookmarkStart w:id="86" w:name="_Toc108406169"/>
      <w:bookmarkStart w:id="87" w:name="_Toc110226025"/>
      <w:bookmarkStart w:id="88" w:name="_Toc48713677"/>
      <w:bookmarkStart w:id="89" w:name="_Toc67291941"/>
      <w:bookmarkStart w:id="90" w:name="_Toc108406425"/>
      <w:bookmarkStart w:id="91" w:name="_Toc47519910"/>
      <w:bookmarkStart w:id="92" w:name="_Toc65464896"/>
      <w:bookmarkStart w:id="93" w:name="_Toc107627442"/>
      <w:bookmarkStart w:id="94" w:name="_Toc108256965"/>
      <w:r>
        <w:t>1.4</w:t>
      </w:r>
      <w:r>
        <w:rPr>
          <w:rFonts w:hint="eastAsia"/>
        </w:rPr>
        <w:t>规划范围与期限</w:t>
      </w:r>
      <w:bookmarkEnd w:id="73"/>
    </w:p>
    <w:p>
      <w:pPr>
        <w:pStyle w:val="4"/>
      </w:pPr>
      <w:bookmarkStart w:id="95" w:name="_Toc139379134"/>
      <w:bookmarkStart w:id="96" w:name="_Toc181983731"/>
      <w:bookmarkStart w:id="97" w:name="_Toc183631748"/>
      <w:bookmarkStart w:id="98" w:name="_Toc144301193"/>
      <w:bookmarkStart w:id="99" w:name="_Toc171197815"/>
      <w:bookmarkStart w:id="100" w:name="_Toc136514694"/>
      <w:bookmarkStart w:id="101" w:name="_Toc188636875"/>
      <w:bookmarkStart w:id="102" w:name="_Toc144300974"/>
      <w:r>
        <w:t>1.4.1</w:t>
      </w:r>
      <w:r>
        <w:rPr>
          <w:rFonts w:hint="eastAsia"/>
        </w:rPr>
        <w:t>规划范围</w:t>
      </w:r>
      <w:bookmarkEnd w:id="95"/>
      <w:bookmarkEnd w:id="96"/>
      <w:bookmarkEnd w:id="97"/>
      <w:bookmarkEnd w:id="98"/>
      <w:bookmarkEnd w:id="99"/>
      <w:bookmarkEnd w:id="100"/>
      <w:bookmarkEnd w:id="101"/>
      <w:bookmarkEnd w:id="102"/>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本规划范围为海宁市辖区内范围，包括</w:t>
      </w:r>
      <w:r>
        <w:rPr>
          <w:rFonts w:ascii="Times New Roman" w:hAnsi="Times New Roman" w:eastAsia="仿宋_GB2312" w:cs="宋体"/>
          <w:sz w:val="28"/>
        </w:rPr>
        <w:t>4个街道、8个建制</w:t>
      </w:r>
      <w:r>
        <w:rPr>
          <w:rFonts w:hint="eastAsia" w:ascii="Times New Roman" w:hAnsi="Times New Roman" w:eastAsia="仿宋_GB2312" w:cs="宋体"/>
          <w:sz w:val="28"/>
        </w:rPr>
        <w:t>镇，分别为</w:t>
      </w:r>
      <w:r>
        <w:rPr>
          <w:rFonts w:ascii="Times New Roman" w:hAnsi="Times New Roman" w:eastAsia="仿宋_GB2312" w:cs="宋体"/>
          <w:sz w:val="28"/>
        </w:rPr>
        <w:t>硖石街道、海洲街道、海昌街道、马桥街道、许村镇、长安镇、周王庙镇、盐官镇、丁桥镇、斜桥镇、袁花镇、黄湾镇</w:t>
      </w:r>
      <w:r>
        <w:rPr>
          <w:rFonts w:hint="eastAsia" w:ascii="Times New Roman" w:hAnsi="Times New Roman" w:eastAsia="仿宋_GB2312" w:cs="宋体"/>
          <w:sz w:val="28"/>
        </w:rPr>
        <w:t>，总面积</w:t>
      </w:r>
      <w:r>
        <w:rPr>
          <w:rFonts w:ascii="Times New Roman" w:hAnsi="Times New Roman" w:eastAsia="仿宋_GB2312" w:cs="宋体"/>
          <w:sz w:val="28"/>
        </w:rPr>
        <w:t>863平方公里。</w:t>
      </w:r>
    </w:p>
    <w:p>
      <w:pPr>
        <w:pStyle w:val="4"/>
      </w:pPr>
      <w:bookmarkStart w:id="103" w:name="_Toc181983732"/>
      <w:bookmarkStart w:id="104" w:name="_Toc144300975"/>
      <w:bookmarkStart w:id="105" w:name="_Toc183631749"/>
      <w:bookmarkStart w:id="106" w:name="_Toc136514695"/>
      <w:bookmarkStart w:id="107" w:name="_Toc188636876"/>
      <w:bookmarkStart w:id="108" w:name="_Toc139379135"/>
      <w:bookmarkStart w:id="109" w:name="_Toc144301194"/>
      <w:bookmarkStart w:id="110" w:name="_Toc171197816"/>
      <w:r>
        <w:t>1.4.2</w:t>
      </w:r>
      <w:r>
        <w:rPr>
          <w:rFonts w:hint="eastAsia"/>
        </w:rPr>
        <w:t>规划期限</w:t>
      </w:r>
      <w:bookmarkEnd w:id="103"/>
      <w:bookmarkEnd w:id="104"/>
      <w:bookmarkEnd w:id="105"/>
      <w:bookmarkEnd w:id="106"/>
      <w:bookmarkEnd w:id="107"/>
      <w:bookmarkEnd w:id="108"/>
      <w:bookmarkEnd w:id="109"/>
      <w:bookmarkEnd w:id="110"/>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规划期限为</w:t>
      </w:r>
      <w:r>
        <w:rPr>
          <w:rFonts w:ascii="Times New Roman" w:hAnsi="Times New Roman" w:eastAsia="仿宋_GB2312" w:cs="宋体"/>
          <w:sz w:val="28"/>
        </w:rPr>
        <w:t>2025~2030</w:t>
      </w:r>
      <w:r>
        <w:rPr>
          <w:rFonts w:hint="eastAsia" w:ascii="Times New Roman" w:hAnsi="Times New Roman" w:eastAsia="仿宋_GB2312" w:cs="宋体"/>
          <w:sz w:val="28"/>
        </w:rPr>
        <w:t>年，近期至2</w:t>
      </w:r>
      <w:r>
        <w:rPr>
          <w:rFonts w:ascii="Times New Roman" w:hAnsi="Times New Roman" w:eastAsia="仿宋_GB2312" w:cs="宋体"/>
          <w:sz w:val="28"/>
        </w:rPr>
        <w:t>026</w:t>
      </w:r>
      <w:r>
        <w:rPr>
          <w:rFonts w:hint="eastAsia" w:ascii="Times New Roman" w:hAnsi="Times New Roman" w:eastAsia="仿宋_GB2312" w:cs="宋体"/>
          <w:sz w:val="28"/>
        </w:rPr>
        <w:t>年，远期至2</w:t>
      </w:r>
      <w:r>
        <w:rPr>
          <w:rFonts w:ascii="Times New Roman" w:hAnsi="Times New Roman" w:eastAsia="仿宋_GB2312" w:cs="宋体"/>
          <w:sz w:val="28"/>
        </w:rPr>
        <w:t>030</w:t>
      </w:r>
      <w:r>
        <w:rPr>
          <w:rFonts w:hint="eastAsia" w:ascii="Times New Roman" w:hAnsi="Times New Roman" w:eastAsia="仿宋_GB2312" w:cs="宋体"/>
          <w:sz w:val="28"/>
        </w:rPr>
        <w:t>年。</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Times New Roman" w:hAnsi="Times New Roman" w:eastAsia="仿宋_GB2312" w:cs="宋体"/>
          <w:sz w:val="28"/>
        </w:rPr>
        <w:br w:type="page"/>
      </w:r>
    </w:p>
    <w:p>
      <w:pPr>
        <w:pStyle w:val="2"/>
      </w:pPr>
      <w:bookmarkStart w:id="111" w:name="_Toc188636877"/>
      <w:r>
        <w:rPr>
          <w:rFonts w:hint="eastAsia"/>
        </w:rPr>
        <w:t>二、区域概况</w:t>
      </w:r>
      <w:bookmarkEnd w:id="111"/>
    </w:p>
    <w:p>
      <w:pPr>
        <w:pStyle w:val="3"/>
      </w:pPr>
      <w:bookmarkStart w:id="112" w:name="_Toc188636878"/>
      <w:bookmarkStart w:id="113" w:name="_Toc100526717"/>
      <w:bookmarkStart w:id="114" w:name="_Toc312171452"/>
      <w:r>
        <w:t>2.1</w:t>
      </w:r>
      <w:r>
        <w:rPr>
          <w:rFonts w:hint="eastAsia"/>
        </w:rPr>
        <w:t>自然条件</w:t>
      </w:r>
      <w:bookmarkEnd w:id="112"/>
    </w:p>
    <w:p>
      <w:pPr>
        <w:pStyle w:val="4"/>
        <w:rPr>
          <w:rFonts w:eastAsia="宋体"/>
          <w:b w:val="0"/>
          <w:kern w:val="28"/>
          <w:szCs w:val="28"/>
        </w:rPr>
      </w:pPr>
      <w:bookmarkStart w:id="115" w:name="_Toc171197819"/>
      <w:bookmarkStart w:id="116" w:name="_Toc183631752"/>
      <w:bookmarkStart w:id="117" w:name="_Toc181983735"/>
      <w:bookmarkStart w:id="118" w:name="_Toc144300978"/>
      <w:bookmarkStart w:id="119" w:name="_Toc144301197"/>
      <w:bookmarkStart w:id="120" w:name="_Toc188636879"/>
      <w:r>
        <w:t>2.1.1 地理位置</w:t>
      </w:r>
      <w:bookmarkEnd w:id="115"/>
      <w:bookmarkEnd w:id="116"/>
      <w:bookmarkEnd w:id="117"/>
      <w:bookmarkEnd w:id="118"/>
      <w:bookmarkEnd w:id="119"/>
      <w:bookmarkEnd w:id="120"/>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海宁市位于浙江省北部、嘉兴市域南部。南濒钱塘江与杭州市钱塘区、绍兴市上虞区隔江相望，西接杭州市临平区，北连嘉兴市桐乡市、秀洲区，东邻海盐市。中心城区距杭州</w:t>
      </w:r>
      <w:r>
        <w:rPr>
          <w:rFonts w:ascii="Times New Roman" w:hAnsi="Times New Roman" w:eastAsia="仿宋_GB2312" w:cs="宋体"/>
          <w:sz w:val="28"/>
        </w:rPr>
        <w:t>61.5公里，距上海125公里。沪杭铁路、101省道东西贯通市域，沪杭高速公路、320国道越北境，杭州绕城公路东线穿行西部。</w:t>
      </w:r>
    </w:p>
    <w:p>
      <w:pPr>
        <w:pStyle w:val="63"/>
        <w:numPr>
          <w:ilvl w:val="2"/>
          <w:numId w:val="0"/>
        </w:numPr>
        <w:spacing w:line="240" w:lineRule="auto"/>
        <w:jc w:val="center"/>
      </w:pPr>
      <w:r>
        <w:drawing>
          <wp:inline distT="0" distB="0" distL="0" distR="0">
            <wp:extent cx="5274310" cy="3206750"/>
            <wp:effectExtent l="0" t="0" r="2540" b="0"/>
            <wp:docPr id="21" name="图片 21" descr="E:\1-省发展规划研究院\0-发规院近期任务\2-海宁供热规划\资料\海宁市区位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1-省发展规划研究院\0-发规院近期任务\2-海宁供热规划\资料\海宁市区位图.jpg"/>
                    <pic:cNvPicPr>
                      <a:picLocks noChangeAspect="1" noChangeArrowheads="1"/>
                    </pic:cNvPicPr>
                  </pic:nvPicPr>
                  <pic:blipFill>
                    <a:blip r:embed="rId11"/>
                    <a:srcRect/>
                    <a:stretch>
                      <a:fillRect/>
                    </a:stretch>
                  </pic:blipFill>
                  <pic:spPr>
                    <a:xfrm>
                      <a:off x="0" y="0"/>
                      <a:ext cx="5274310" cy="3207314"/>
                    </a:xfrm>
                    <a:prstGeom prst="rect">
                      <a:avLst/>
                    </a:prstGeom>
                    <a:noFill/>
                    <a:ln>
                      <a:noFill/>
                    </a:ln>
                  </pic:spPr>
                </pic:pic>
              </a:graphicData>
            </a:graphic>
          </wp:inline>
        </w:drawing>
      </w:r>
    </w:p>
    <w:p>
      <w:pPr>
        <w:widowControl/>
        <w:spacing w:after="156" w:afterLines="50"/>
        <w:jc w:val="center"/>
        <w:rPr>
          <w:rFonts w:ascii="黑体" w:hAnsi="黑体" w:eastAsia="黑体" w:cs="Times New Roman"/>
          <w:kern w:val="0"/>
          <w:sz w:val="28"/>
          <w:szCs w:val="24"/>
        </w:rPr>
      </w:pPr>
      <w:r>
        <w:rPr>
          <w:rFonts w:hint="eastAsia" w:ascii="黑体" w:hAnsi="黑体" w:eastAsia="黑体" w:cs="Times New Roman"/>
          <w:kern w:val="0"/>
          <w:sz w:val="28"/>
          <w:szCs w:val="24"/>
        </w:rPr>
        <w:t>图</w:t>
      </w:r>
      <w:r>
        <w:rPr>
          <w:rFonts w:ascii="黑体" w:hAnsi="黑体" w:eastAsia="黑体" w:cs="Times New Roman"/>
          <w:kern w:val="0"/>
          <w:sz w:val="28"/>
          <w:szCs w:val="24"/>
        </w:rPr>
        <w:t xml:space="preserve">2-1 </w:t>
      </w:r>
      <w:r>
        <w:rPr>
          <w:rFonts w:hint="eastAsia" w:ascii="黑体" w:hAnsi="黑体" w:eastAsia="黑体" w:cs="Times New Roman"/>
          <w:kern w:val="0"/>
          <w:sz w:val="28"/>
          <w:szCs w:val="24"/>
        </w:rPr>
        <w:t xml:space="preserve"> 海宁市区位图</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海宁市辖</w:t>
      </w:r>
      <w:r>
        <w:rPr>
          <w:rFonts w:ascii="Times New Roman" w:hAnsi="Times New Roman" w:eastAsia="仿宋_GB2312" w:cs="宋体"/>
          <w:sz w:val="28"/>
        </w:rPr>
        <w:t>8个镇（许村镇、长安镇、周王庙镇、盐官镇、丁桥镇、斜桥镇、袁花镇、黄湾镇），4个街道（海昌街道、海洲街道、硖石街道、马桥街道），市政府驻海洲街道。</w:t>
      </w:r>
    </w:p>
    <w:p>
      <w:pPr>
        <w:rPr>
          <w:rFonts w:ascii="Times New Roman" w:hAnsi="Times New Roman" w:eastAsia="仿宋_GB2312" w:cs="宋体"/>
          <w:sz w:val="28"/>
        </w:rPr>
      </w:pPr>
      <w:r>
        <w:rPr>
          <w:rFonts w:ascii="Times New Roman" w:hAnsi="Times New Roman" w:eastAsia="仿宋_GB2312" w:cs="宋体"/>
          <w:sz w:val="28"/>
        </w:rPr>
        <w:t xml:space="preserve"> </w:t>
      </w:r>
      <w:r>
        <w:rPr>
          <w:rFonts w:ascii="Times New Roman" w:hAnsi="Times New Roman" w:eastAsia="仿宋_GB2312" w:cs="宋体"/>
          <w:sz w:val="28"/>
        </w:rPr>
        <w:drawing>
          <wp:inline distT="0" distB="0" distL="0" distR="0">
            <wp:extent cx="4962525" cy="3103245"/>
            <wp:effectExtent l="0" t="0" r="9525"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
                    <a:srcRect/>
                    <a:stretch>
                      <a:fillRect/>
                    </a:stretch>
                  </pic:blipFill>
                  <pic:spPr>
                    <a:xfrm>
                      <a:off x="0" y="0"/>
                      <a:ext cx="4962525" cy="3103245"/>
                    </a:xfrm>
                    <a:prstGeom prst="rect">
                      <a:avLst/>
                    </a:prstGeom>
                    <a:noFill/>
                  </pic:spPr>
                </pic:pic>
              </a:graphicData>
            </a:graphic>
          </wp:inline>
        </w:drawing>
      </w:r>
    </w:p>
    <w:p>
      <w:pPr>
        <w:widowControl/>
        <w:spacing w:after="156" w:afterLines="50"/>
        <w:jc w:val="center"/>
        <w:rPr>
          <w:rFonts w:ascii="黑体" w:hAnsi="黑体" w:eastAsia="黑体" w:cs="Times New Roman"/>
          <w:kern w:val="0"/>
          <w:sz w:val="28"/>
          <w:szCs w:val="24"/>
        </w:rPr>
      </w:pPr>
      <w:r>
        <w:rPr>
          <w:rFonts w:hint="eastAsia" w:ascii="黑体" w:hAnsi="黑体" w:eastAsia="黑体" w:cs="Times New Roman"/>
          <w:kern w:val="0"/>
          <w:sz w:val="28"/>
          <w:szCs w:val="24"/>
        </w:rPr>
        <w:t>图</w:t>
      </w:r>
      <w:r>
        <w:rPr>
          <w:rFonts w:ascii="黑体" w:hAnsi="黑体" w:eastAsia="黑体" w:cs="Times New Roman"/>
          <w:kern w:val="0"/>
          <w:sz w:val="28"/>
          <w:szCs w:val="24"/>
        </w:rPr>
        <w:t>2-2  海宁市行政区划图</w:t>
      </w:r>
    </w:p>
    <w:p>
      <w:pPr>
        <w:pStyle w:val="4"/>
        <w:rPr>
          <w:rFonts w:eastAsia="宋体"/>
          <w:b w:val="0"/>
          <w:kern w:val="28"/>
          <w:szCs w:val="28"/>
        </w:rPr>
      </w:pPr>
      <w:bookmarkStart w:id="121" w:name="_Toc181983736"/>
      <w:bookmarkStart w:id="122" w:name="_Toc171197820"/>
      <w:bookmarkStart w:id="123" w:name="_Toc144301198"/>
      <w:bookmarkStart w:id="124" w:name="_Toc183631753"/>
      <w:bookmarkStart w:id="125" w:name="_Toc188636880"/>
      <w:bookmarkStart w:id="126" w:name="_Toc144300979"/>
      <w:r>
        <w:t>2.1.2 地形地貌</w:t>
      </w:r>
      <w:bookmarkEnd w:id="121"/>
      <w:bookmarkEnd w:id="122"/>
      <w:bookmarkEnd w:id="123"/>
      <w:bookmarkEnd w:id="124"/>
      <w:bookmarkEnd w:id="125"/>
      <w:bookmarkEnd w:id="126"/>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海宁地处长江三角洲杭嘉湖平原，地形狭长，东西长51.65公里，南北宽28.94公里。地势平坦，自西南向东北倾斜，地面高程4~8米。</w:t>
      </w:r>
    </w:p>
    <w:p>
      <w:pPr>
        <w:pStyle w:val="4"/>
      </w:pPr>
      <w:bookmarkStart w:id="127" w:name="_Toc188636881"/>
      <w:bookmarkStart w:id="128" w:name="_Toc144300980"/>
      <w:bookmarkStart w:id="129" w:name="_Toc144301199"/>
      <w:bookmarkStart w:id="130" w:name="_Toc171197821"/>
      <w:bookmarkStart w:id="131" w:name="_Toc183631754"/>
      <w:bookmarkStart w:id="132" w:name="_Toc181983737"/>
      <w:r>
        <w:t>2.1.3 地质和水文</w:t>
      </w:r>
      <w:bookmarkEnd w:id="127"/>
      <w:bookmarkEnd w:id="128"/>
      <w:bookmarkEnd w:id="129"/>
      <w:bookmarkEnd w:id="130"/>
      <w:bookmarkEnd w:id="131"/>
      <w:bookmarkEnd w:id="132"/>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海宁属太湖流域水网地带，境内有上塘河和运河两个水系，河道总长1865.4公里，河网率为5.1%。水资源以河网径流量为主，外来水利用率高，对地下水控制开采，水资源总量6.62亿立方米，能满足工农业生产和人民生活需要。海宁地居钱塘江河口北岸，境内岸线长55.92公里，水域21730公顷；海塘长53.6公里，占北岸海塘总长的33.5%。</w:t>
      </w:r>
    </w:p>
    <w:p>
      <w:pPr>
        <w:pStyle w:val="4"/>
      </w:pPr>
      <w:bookmarkStart w:id="133" w:name="_Toc171197822"/>
      <w:bookmarkStart w:id="134" w:name="_Toc188636882"/>
      <w:bookmarkStart w:id="135" w:name="_Toc183631755"/>
      <w:bookmarkStart w:id="136" w:name="_Toc181983738"/>
      <w:bookmarkStart w:id="137" w:name="_Toc144301200"/>
      <w:bookmarkStart w:id="138" w:name="_Toc144300981"/>
      <w:r>
        <w:t>2.1.4 气候</w:t>
      </w:r>
      <w:bookmarkEnd w:id="133"/>
      <w:bookmarkEnd w:id="134"/>
      <w:bookmarkEnd w:id="135"/>
      <w:bookmarkEnd w:id="136"/>
      <w:bookmarkEnd w:id="137"/>
      <w:bookmarkEnd w:id="138"/>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海宁属北亚热带季风性气候区，气候温和，雨量较丰，日照充足，四季分明。常年平均气温15.9°C，年均降雨量1187毫米，日照2002.9小时，无霜期233.5天。</w:t>
      </w:r>
    </w:p>
    <w:p>
      <w:pPr>
        <w:pStyle w:val="3"/>
      </w:pPr>
      <w:bookmarkStart w:id="139" w:name="_Toc188636883"/>
      <w:r>
        <w:t>2.2</w:t>
      </w:r>
      <w:r>
        <w:rPr>
          <w:rFonts w:hint="eastAsia"/>
        </w:rPr>
        <w:t>经济与社会发展</w:t>
      </w:r>
      <w:bookmarkEnd w:id="139"/>
    </w:p>
    <w:p>
      <w:pPr>
        <w:pStyle w:val="4"/>
        <w:rPr>
          <w:rFonts w:eastAsia="宋体"/>
          <w:b w:val="0"/>
          <w:kern w:val="28"/>
          <w:szCs w:val="28"/>
        </w:rPr>
      </w:pPr>
      <w:bookmarkStart w:id="140" w:name="_Toc183631757"/>
      <w:bookmarkStart w:id="141" w:name="_Toc144301202"/>
      <w:bookmarkStart w:id="142" w:name="_Toc171197824"/>
      <w:bookmarkStart w:id="143" w:name="_Toc144300983"/>
      <w:bookmarkStart w:id="144" w:name="_Toc188636884"/>
      <w:bookmarkStart w:id="145" w:name="_Toc181983740"/>
      <w:r>
        <w:t xml:space="preserve">2.2.1 </w:t>
      </w:r>
      <w:r>
        <w:rPr>
          <w:rFonts w:hint="eastAsia"/>
        </w:rPr>
        <w:t>总体发展情况</w:t>
      </w:r>
      <w:bookmarkEnd w:id="140"/>
      <w:bookmarkEnd w:id="141"/>
      <w:bookmarkEnd w:id="142"/>
      <w:bookmarkEnd w:id="143"/>
      <w:bookmarkEnd w:id="144"/>
      <w:bookmarkEnd w:id="145"/>
    </w:p>
    <w:p>
      <w:pPr>
        <w:widowControl/>
        <w:spacing w:line="580" w:lineRule="exact"/>
        <w:ind w:firstLine="560"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kern w:val="0"/>
          <w:sz w:val="28"/>
          <w:szCs w:val="24"/>
        </w:rPr>
        <w:t>海宁市地区生产总值总体呈现稳步增长态势。</w:t>
      </w:r>
      <w:r>
        <w:rPr>
          <w:rFonts w:ascii="Times New Roman" w:hAnsi="Times New Roman" w:eastAsia="仿宋_GB2312" w:cs="Times New Roman"/>
          <w:kern w:val="0"/>
          <w:sz w:val="28"/>
          <w:szCs w:val="24"/>
        </w:rPr>
        <w:t>202</w:t>
      </w:r>
      <w:r>
        <w:rPr>
          <w:rFonts w:hint="eastAsia" w:ascii="Times New Roman" w:hAnsi="Times New Roman" w:eastAsia="仿宋_GB2312" w:cs="Times New Roman"/>
          <w:kern w:val="0"/>
          <w:sz w:val="28"/>
          <w:szCs w:val="24"/>
        </w:rPr>
        <w:t>3</w:t>
      </w:r>
      <w:r>
        <w:rPr>
          <w:rFonts w:ascii="Times New Roman" w:hAnsi="Times New Roman" w:eastAsia="仿宋_GB2312" w:cs="Times New Roman"/>
          <w:kern w:val="0"/>
          <w:sz w:val="28"/>
          <w:szCs w:val="24"/>
        </w:rPr>
        <w:t>年，海宁市地区生产总值达到</w:t>
      </w:r>
      <w:r>
        <w:rPr>
          <w:rFonts w:hint="eastAsia" w:ascii="Times New Roman" w:hAnsi="Times New Roman" w:eastAsia="仿宋_GB2312" w:cs="Times New Roman"/>
          <w:kern w:val="0"/>
          <w:sz w:val="28"/>
          <w:szCs w:val="24"/>
        </w:rPr>
        <w:t>1318</w:t>
      </w:r>
      <w:r>
        <w:rPr>
          <w:rFonts w:ascii="Times New Roman" w:hAnsi="Times New Roman" w:eastAsia="仿宋_GB2312" w:cs="Times New Roman"/>
          <w:kern w:val="0"/>
          <w:sz w:val="28"/>
          <w:szCs w:val="24"/>
        </w:rPr>
        <w:t>亿元，增长</w:t>
      </w:r>
      <w:r>
        <w:rPr>
          <w:rFonts w:hint="eastAsia" w:ascii="Times New Roman" w:hAnsi="Times New Roman" w:eastAsia="仿宋_GB2312" w:cs="Times New Roman"/>
          <w:kern w:val="0"/>
          <w:sz w:val="28"/>
          <w:szCs w:val="24"/>
        </w:rPr>
        <w:t>3.8</w:t>
      </w:r>
      <w:r>
        <w:rPr>
          <w:rFonts w:ascii="Times New Roman" w:hAnsi="Times New Roman" w:eastAsia="仿宋_GB2312" w:cs="Times New Roman"/>
          <w:kern w:val="0"/>
          <w:sz w:val="28"/>
          <w:szCs w:val="24"/>
        </w:rPr>
        <w:t>%。</w:t>
      </w:r>
      <w:r>
        <w:rPr>
          <w:rFonts w:hint="eastAsia" w:ascii="Times New Roman" w:hAnsi="Times New Roman" w:eastAsia="仿宋_GB2312" w:cs="Times New Roman"/>
          <w:kern w:val="0"/>
          <w:sz w:val="28"/>
          <w:szCs w:val="24"/>
        </w:rPr>
        <w:t>其中，第一产业实现增加值20.75亿元，增长3.8%；第二产业实现增加值755.06亿元，增长8.9%，其中工业实现增加值678.23亿元，增长10.0%；第三产业实现增加值542.36亿元，增长7.0%。三次产业结构比为1.6∶57.3∶41.1。按常住人口计算的全市人均生产总值为119345元，增长7.7%。</w:t>
      </w:r>
    </w:p>
    <w:p>
      <w:pPr>
        <w:pStyle w:val="4"/>
        <w:rPr>
          <w:rFonts w:eastAsia="宋体"/>
          <w:b w:val="0"/>
          <w:kern w:val="28"/>
          <w:szCs w:val="28"/>
        </w:rPr>
      </w:pPr>
      <w:bookmarkStart w:id="146" w:name="_Toc181983741"/>
      <w:bookmarkStart w:id="147" w:name="_Toc144301203"/>
      <w:bookmarkStart w:id="148" w:name="_Toc183631758"/>
      <w:bookmarkStart w:id="149" w:name="_Toc188636885"/>
      <w:bookmarkStart w:id="150" w:name="_Toc171197825"/>
      <w:bookmarkStart w:id="151" w:name="_Toc144300984"/>
      <w:r>
        <w:t xml:space="preserve">2.2.2 </w:t>
      </w:r>
      <w:r>
        <w:rPr>
          <w:rFonts w:hint="eastAsia"/>
        </w:rPr>
        <w:t>产业发展情况</w:t>
      </w:r>
      <w:bookmarkEnd w:id="146"/>
      <w:bookmarkEnd w:id="147"/>
      <w:bookmarkEnd w:id="148"/>
      <w:bookmarkEnd w:id="149"/>
      <w:bookmarkEnd w:id="150"/>
      <w:bookmarkEnd w:id="151"/>
    </w:p>
    <w:p>
      <w:pPr>
        <w:widowControl/>
        <w:spacing w:line="580" w:lineRule="exact"/>
        <w:ind w:firstLine="560" w:firstLineChars="200"/>
        <w:rPr>
          <w:rFonts w:ascii="Times New Roman" w:hAnsi="Times New Roman" w:eastAsia="仿宋_GB2312" w:cs="Times New Roman"/>
          <w:kern w:val="0"/>
          <w:sz w:val="28"/>
          <w:szCs w:val="24"/>
        </w:rPr>
      </w:pPr>
      <w:r>
        <w:rPr>
          <w:rFonts w:ascii="Times New Roman" w:hAnsi="Times New Roman" w:eastAsia="仿宋_GB2312" w:cs="Times New Roman"/>
          <w:kern w:val="0"/>
          <w:sz w:val="28"/>
          <w:szCs w:val="24"/>
        </w:rPr>
        <w:t>202</w:t>
      </w:r>
      <w:r>
        <w:rPr>
          <w:rFonts w:hint="eastAsia" w:ascii="Times New Roman" w:hAnsi="Times New Roman" w:eastAsia="仿宋_GB2312" w:cs="Times New Roman"/>
          <w:kern w:val="0"/>
          <w:sz w:val="28"/>
          <w:szCs w:val="24"/>
        </w:rPr>
        <w:t>3</w:t>
      </w:r>
      <w:r>
        <w:rPr>
          <w:rFonts w:ascii="Times New Roman" w:hAnsi="Times New Roman" w:eastAsia="仿宋_GB2312" w:cs="Times New Roman"/>
          <w:kern w:val="0"/>
          <w:sz w:val="28"/>
          <w:szCs w:val="24"/>
        </w:rPr>
        <w:t>年，海宁市</w:t>
      </w:r>
      <w:r>
        <w:rPr>
          <w:rFonts w:hint="eastAsia" w:ascii="Times New Roman" w:hAnsi="Times New Roman" w:eastAsia="仿宋_GB2312" w:cs="Times New Roman"/>
          <w:kern w:val="0"/>
          <w:sz w:val="28"/>
          <w:szCs w:val="24"/>
        </w:rPr>
        <w:t>完成规模以上工业总产值2817.98亿元，比上年增长10.8%；实现规上工业增加值537.80亿元，比上年增长14.8%，其中轻工业增加值245.37亿元，增长1.3%，重工业增加值292.42亿元，增长29.4%。规模以上工业新产品产值1595.88亿元，增长25.5%；出口交货值583.79亿元，增长4.1%，出口交货值占销售产值的比重为20.5%。</w:t>
      </w:r>
    </w:p>
    <w:p>
      <w:pPr>
        <w:widowControl/>
        <w:spacing w:line="580" w:lineRule="exact"/>
        <w:ind w:firstLine="560"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kern w:val="0"/>
          <w:sz w:val="28"/>
          <w:szCs w:val="24"/>
        </w:rPr>
        <w:t>主要行业中，规模以上电气机械制造业和化工医药业实现较快发展，增加值达到153.06亿元和25.26亿元，分别增长61.0%和16.7%。重点产业中，规模以上战略性新兴产业、数字经济核心产业和高新技术产业分别实现增加值250.23亿元、144.76亿元、380.12亿元，增长32.1%、30.0%和20.5%。</w:t>
      </w:r>
      <w:r>
        <w:rPr>
          <w:rFonts w:ascii="Times New Roman" w:hAnsi="Times New Roman" w:eastAsia="仿宋_GB2312" w:cs="Times New Roman"/>
          <w:kern w:val="0"/>
          <w:sz w:val="28"/>
          <w:szCs w:val="24"/>
        </w:rPr>
        <w:t>。</w:t>
      </w:r>
    </w:p>
    <w:p>
      <w:pPr>
        <w:spacing w:before="156" w:beforeLines="50"/>
        <w:jc w:val="center"/>
        <w:rPr>
          <w:rFonts w:ascii="黑体" w:hAnsi="黑体" w:eastAsia="黑体" w:cs="Times New Roman"/>
          <w:sz w:val="28"/>
          <w:szCs w:val="24"/>
        </w:rPr>
      </w:pPr>
      <w:r>
        <w:rPr>
          <w:rFonts w:hint="eastAsia" w:ascii="黑体" w:hAnsi="黑体" w:eastAsia="黑体" w:cs="Times New Roman"/>
          <w:sz w:val="28"/>
          <w:szCs w:val="24"/>
        </w:rPr>
        <w:t>表2</w:t>
      </w:r>
      <w:r>
        <w:rPr>
          <w:rFonts w:ascii="黑体" w:hAnsi="黑体" w:eastAsia="黑体" w:cs="Times New Roman"/>
          <w:sz w:val="28"/>
          <w:szCs w:val="24"/>
        </w:rPr>
        <w:t>-1  202</w:t>
      </w:r>
      <w:r>
        <w:rPr>
          <w:rFonts w:hint="eastAsia" w:ascii="黑体" w:hAnsi="黑体" w:eastAsia="黑体" w:cs="Times New Roman"/>
          <w:sz w:val="28"/>
          <w:szCs w:val="24"/>
        </w:rPr>
        <w:t>3年海宁市规模以上工业重点产业增加值</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977"/>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547" w:type="dxa"/>
          </w:tcPr>
          <w:p>
            <w:pPr>
              <w:snapToGrid w:val="0"/>
              <w:jc w:val="center"/>
              <w:rPr>
                <w:rFonts w:ascii="Times New Roman" w:hAnsi="Times New Roman" w:eastAsia="仿宋_GB2312" w:cs="Times New Roman"/>
                <w:b/>
                <w:sz w:val="24"/>
                <w:szCs w:val="28"/>
                <w:lang w:bidi="ar"/>
              </w:rPr>
            </w:pPr>
            <w:r>
              <w:rPr>
                <w:rFonts w:hint="eastAsia" w:ascii="Times New Roman" w:hAnsi="Times New Roman" w:eastAsia="仿宋_GB2312" w:cs="Times New Roman"/>
                <w:b/>
                <w:sz w:val="24"/>
                <w:szCs w:val="28"/>
                <w:lang w:bidi="ar"/>
              </w:rPr>
              <w:t>重点产业</w:t>
            </w:r>
          </w:p>
        </w:tc>
        <w:tc>
          <w:tcPr>
            <w:tcW w:w="2977" w:type="dxa"/>
          </w:tcPr>
          <w:p>
            <w:pPr>
              <w:snapToGrid w:val="0"/>
              <w:jc w:val="center"/>
              <w:rPr>
                <w:rFonts w:ascii="Times New Roman" w:hAnsi="Times New Roman" w:eastAsia="仿宋_GB2312"/>
                <w:b/>
                <w:sz w:val="24"/>
                <w:szCs w:val="28"/>
                <w:lang w:bidi="ar"/>
              </w:rPr>
            </w:pPr>
            <w:r>
              <w:rPr>
                <w:rFonts w:hint="eastAsia" w:ascii="Times New Roman" w:hAnsi="Times New Roman" w:eastAsia="仿宋_GB2312"/>
                <w:b/>
                <w:sz w:val="24"/>
                <w:szCs w:val="28"/>
                <w:lang w:bidi="ar"/>
              </w:rPr>
              <w:t>规上工业增加值（亿元）</w:t>
            </w:r>
          </w:p>
        </w:tc>
        <w:tc>
          <w:tcPr>
            <w:tcW w:w="2673" w:type="dxa"/>
          </w:tcPr>
          <w:p>
            <w:pPr>
              <w:snapToGrid w:val="0"/>
              <w:jc w:val="center"/>
              <w:rPr>
                <w:rFonts w:ascii="Times New Roman" w:hAnsi="Times New Roman" w:eastAsia="仿宋_GB2312"/>
                <w:b/>
                <w:sz w:val="24"/>
                <w:szCs w:val="28"/>
                <w:lang w:bidi="ar"/>
              </w:rPr>
            </w:pPr>
            <w:r>
              <w:rPr>
                <w:rFonts w:hint="eastAsia" w:ascii="Times New Roman" w:hAnsi="Times New Roman" w:eastAsia="仿宋_GB2312"/>
                <w:b/>
                <w:sz w:val="24"/>
                <w:szCs w:val="28"/>
                <w:lang w:bidi="ar"/>
              </w:rPr>
              <w:t>较上年增长（%）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战略性新兴产业</w:t>
            </w:r>
          </w:p>
        </w:tc>
        <w:tc>
          <w:tcPr>
            <w:tcW w:w="2977"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250.23</w:t>
            </w:r>
          </w:p>
        </w:tc>
        <w:tc>
          <w:tcPr>
            <w:tcW w:w="2673"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高新技术产业</w:t>
            </w:r>
          </w:p>
        </w:tc>
        <w:tc>
          <w:tcPr>
            <w:tcW w:w="2977"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380.12</w:t>
            </w:r>
          </w:p>
        </w:tc>
        <w:tc>
          <w:tcPr>
            <w:tcW w:w="2673"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装备制造业</w:t>
            </w:r>
          </w:p>
        </w:tc>
        <w:tc>
          <w:tcPr>
            <w:tcW w:w="2977"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274.50</w:t>
            </w:r>
          </w:p>
        </w:tc>
        <w:tc>
          <w:tcPr>
            <w:tcW w:w="2673"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数字经济核心产业</w:t>
            </w:r>
          </w:p>
        </w:tc>
        <w:tc>
          <w:tcPr>
            <w:tcW w:w="2977"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144.76</w:t>
            </w:r>
          </w:p>
        </w:tc>
        <w:tc>
          <w:tcPr>
            <w:tcW w:w="2673"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高端装备制造业</w:t>
            </w:r>
          </w:p>
        </w:tc>
        <w:tc>
          <w:tcPr>
            <w:tcW w:w="2977"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149.06</w:t>
            </w:r>
          </w:p>
        </w:tc>
        <w:tc>
          <w:tcPr>
            <w:tcW w:w="2673"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节能环保产业</w:t>
            </w:r>
          </w:p>
        </w:tc>
        <w:tc>
          <w:tcPr>
            <w:tcW w:w="2977"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122.19</w:t>
            </w:r>
          </w:p>
        </w:tc>
        <w:tc>
          <w:tcPr>
            <w:tcW w:w="2673"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新材料产业</w:t>
            </w:r>
          </w:p>
        </w:tc>
        <w:tc>
          <w:tcPr>
            <w:tcW w:w="2977"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64.14</w:t>
            </w:r>
          </w:p>
        </w:tc>
        <w:tc>
          <w:tcPr>
            <w:tcW w:w="2673"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健康产品制造业</w:t>
            </w:r>
          </w:p>
        </w:tc>
        <w:tc>
          <w:tcPr>
            <w:tcW w:w="2977"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8.31</w:t>
            </w:r>
          </w:p>
        </w:tc>
        <w:tc>
          <w:tcPr>
            <w:tcW w:w="2673"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7" w:type="dxa"/>
          </w:tcPr>
          <w:p>
            <w:pPr>
              <w:snapToGrid w:val="0"/>
              <w:jc w:val="center"/>
              <w:rPr>
                <w:rFonts w:ascii="Times New Roman" w:hAnsi="Times New Roman" w:eastAsia="仿宋_GB2312" w:cs="Times New Roman"/>
                <w:sz w:val="24"/>
                <w:szCs w:val="28"/>
                <w:lang w:bidi="ar"/>
              </w:rPr>
            </w:pPr>
            <w:r>
              <w:rPr>
                <w:rFonts w:hint="eastAsia" w:ascii="Times New Roman" w:hAnsi="Times New Roman" w:eastAsia="仿宋_GB2312" w:cs="Times New Roman"/>
                <w:sz w:val="24"/>
                <w:szCs w:val="28"/>
                <w:lang w:bidi="ar"/>
              </w:rPr>
              <w:t>高技术产业</w:t>
            </w:r>
          </w:p>
        </w:tc>
        <w:tc>
          <w:tcPr>
            <w:tcW w:w="2977" w:type="dxa"/>
          </w:tcPr>
          <w:p>
            <w:pPr>
              <w:snapToGrid w:val="0"/>
              <w:jc w:val="center"/>
              <w:rPr>
                <w:rFonts w:ascii="Times New Roman" w:hAnsi="Times New Roman" w:eastAsia="仿宋_GB2312" w:cs="Times New Roman"/>
                <w:sz w:val="24"/>
                <w:szCs w:val="28"/>
                <w:lang w:bidi="ar"/>
              </w:rPr>
            </w:pPr>
            <w:r>
              <w:rPr>
                <w:rFonts w:ascii="Times New Roman" w:hAnsi="Times New Roman" w:eastAsia="仿宋_GB2312" w:cs="Times New Roman"/>
                <w:sz w:val="24"/>
                <w:szCs w:val="28"/>
                <w:lang w:bidi="ar"/>
              </w:rPr>
              <w:t>52.45</w:t>
            </w:r>
          </w:p>
        </w:tc>
        <w:tc>
          <w:tcPr>
            <w:tcW w:w="2673" w:type="dxa"/>
          </w:tcPr>
          <w:p>
            <w:pPr>
              <w:snapToGrid w:val="0"/>
              <w:jc w:val="center"/>
              <w:rPr>
                <w:rFonts w:ascii="Times New Roman" w:hAnsi="Times New Roman" w:eastAsia="仿宋_GB2312" w:cs="Times New Roman"/>
                <w:sz w:val="24"/>
                <w:szCs w:val="28"/>
                <w:lang w:bidi="ar"/>
              </w:rPr>
            </w:pPr>
            <w:r>
              <w:rPr>
                <w:rFonts w:ascii="Times New Roman" w:hAnsi="Times New Roman" w:eastAsia="Times New Roman"/>
                <w:sz w:val="24"/>
                <w:szCs w:val="24"/>
                <w:lang w:val="zh-CN"/>
              </w:rPr>
              <w:t>4.1</w:t>
            </w:r>
          </w:p>
        </w:tc>
      </w:tr>
    </w:tbl>
    <w:p>
      <w:pPr>
        <w:pStyle w:val="3"/>
      </w:pPr>
      <w:bookmarkStart w:id="152" w:name="_Toc188636886"/>
      <w:r>
        <w:t>2.3</w:t>
      </w:r>
      <w:r>
        <w:rPr>
          <w:rFonts w:hint="eastAsia"/>
        </w:rPr>
        <w:t>相关发展规划</w:t>
      </w:r>
      <w:bookmarkEnd w:id="152"/>
    </w:p>
    <w:p>
      <w:pPr>
        <w:pStyle w:val="4"/>
        <w:rPr>
          <w:rFonts w:eastAsia="宋体"/>
          <w:b w:val="0"/>
          <w:kern w:val="28"/>
          <w:szCs w:val="28"/>
        </w:rPr>
      </w:pPr>
      <w:bookmarkStart w:id="153" w:name="_Toc144301205"/>
      <w:bookmarkStart w:id="154" w:name="_Toc181983743"/>
      <w:bookmarkStart w:id="155" w:name="_Toc144300986"/>
      <w:bookmarkStart w:id="156" w:name="_Toc188636887"/>
      <w:bookmarkStart w:id="157" w:name="_Toc171197827"/>
      <w:bookmarkStart w:id="158" w:name="_Toc183631760"/>
      <w:bookmarkStart w:id="159" w:name="_Toc141991223"/>
      <w:r>
        <w:t xml:space="preserve">2.3.1 </w:t>
      </w:r>
      <w:r>
        <w:rPr>
          <w:rFonts w:hint="eastAsia"/>
        </w:rPr>
        <w:t>国土空间总体规划</w:t>
      </w:r>
      <w:bookmarkEnd w:id="153"/>
      <w:bookmarkEnd w:id="154"/>
      <w:bookmarkEnd w:id="155"/>
      <w:bookmarkEnd w:id="156"/>
      <w:bookmarkEnd w:id="157"/>
      <w:bookmarkEnd w:id="158"/>
    </w:p>
    <w:p>
      <w:pPr>
        <w:widowControl/>
        <w:spacing w:line="580" w:lineRule="exact"/>
        <w:ind w:firstLine="560"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kern w:val="0"/>
          <w:sz w:val="28"/>
          <w:szCs w:val="24"/>
        </w:rPr>
        <w:t>根据《海宁市国土空间总体规划（2021-2035））》</w:t>
      </w:r>
      <w:bookmarkEnd w:id="159"/>
      <w:r>
        <w:rPr>
          <w:rFonts w:hint="eastAsia" w:ascii="Times New Roman" w:hAnsi="Times New Roman" w:eastAsia="仿宋_GB2312" w:cs="Times New Roman"/>
          <w:kern w:val="0"/>
          <w:sz w:val="28"/>
          <w:szCs w:val="24"/>
        </w:rPr>
        <w:t>，海宁市正大力规划构建“一主两副两带”的总体空间格局。</w:t>
      </w:r>
    </w:p>
    <w:p>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“一主”即一个主中心（中心城区），包括硖石、海洲、海昌、马桥四个街道。</w:t>
      </w:r>
      <w:r>
        <w:rPr>
          <w:rFonts w:hint="eastAsia" w:ascii="Times New Roman" w:hAnsi="Times New Roman" w:eastAsia="仿宋_GB2312" w:cs="Times New Roman"/>
          <w:kern w:val="0"/>
          <w:sz w:val="28"/>
          <w:szCs w:val="24"/>
        </w:rPr>
        <w:t>明确中心城区发展方向，优化中心城区功能布局。以海州路和海宁大道为主轴线，串联老城片、开发区片、城市新区片、鹃湖国际科技城片和经编产业组团。推进市区火车站交通枢纽提升改造，联动金三角区块，打通交通堵点，促进城北与市区融合发展。完善行政文化商务核和鹃湖国际创新核功能，提升皮革城综合服务功能，高标准建设城西中央商务区，推进马桥、丁桥、斜桥联动发展。</w:t>
      </w:r>
    </w:p>
    <w:p>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“两副”即杭海新区和尖山新区两个副中心。</w:t>
      </w:r>
      <w:r>
        <w:rPr>
          <w:rFonts w:hint="eastAsia" w:ascii="Times New Roman" w:hAnsi="Times New Roman" w:eastAsia="仿宋_GB2312" w:cs="Times New Roman"/>
          <w:kern w:val="0"/>
          <w:sz w:val="28"/>
          <w:szCs w:val="24"/>
        </w:rPr>
        <w:t>其中，杭海新区副中心，包括长安（高新区）、许村镇，重点抓住杭州城市东拓和千万人口大都市要素外溢机遇，对标杭州钱江新城、钱江世纪城，打造拥江发展、深度融杭的市域西部综合型服务副城，建设成为拥江发展的产业高地和深度融杭的品质新城。深化与钱塘区、临平区战略合作，推进海宁与钱塘区共创国家级新区，加快临平海宁合作区块开发建设。高水平建设杭海数字新城和钱塘国际新城，打造海宁跨越发展新增长极。尖山新区副中心强化适应从招商引资为主到产城并重的新定位，以高端化、国际化、未来化为导向，抓住市区南拓和区域轨道交通谋划的机遇，完善住、行、学、医、休闲活动等配套功能，吸引人气，加快产城融合，打造市域南部增长极。依托鹃湖国际科技城创新优势，强化产学研合作。强化与杭州钱塘新区和绍兴滨海新区的互动。</w:t>
      </w:r>
    </w:p>
    <w:p>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“两带”即沿城际铁路产城融合带和沿钱塘江生态经济带。</w:t>
      </w:r>
      <w:r>
        <w:rPr>
          <w:rFonts w:hint="eastAsia" w:ascii="Times New Roman" w:hAnsi="Times New Roman" w:eastAsia="仿宋_GB2312" w:cs="Times New Roman"/>
          <w:kern w:val="0"/>
          <w:sz w:val="28"/>
          <w:szCs w:val="24"/>
        </w:rPr>
        <w:t>其中，沿城际铁路产城融合带重点做好沿城际轨道线城镇品质提升，将龙渡湖、伊嘉塘公园、鹃湖三大生态系统串联成线，逐渐形成东西拓展的带状组团式城市空间结构，集聚商业商务、创新创业资源，构筑集创业创新、生活消费于一体的城市经济发展新典范。统筹沿线乡镇用地的商贸、居住、办公等综合功能安排，实现东中西联动发展。沿钱塘江生态经济带重点抓住海宁作为河口田园型示范段列入省生态海岸带的机遇，加快统筹谋划和重要节点建设，串联高新区、盐官景区和尖山新区，跨江发展、融杭发展，形成集生产服务、总部经济、观潮旅游、会议度假、文化展示、先进制造等为一体的钱塘江特色经济轴，延续环杭大湾区南北呼应的产业带和风貌带。</w:t>
      </w:r>
    </w:p>
    <w:p>
      <w:pPr>
        <w:pStyle w:val="4"/>
        <w:rPr>
          <w:rFonts w:eastAsia="宋体"/>
          <w:b w:val="0"/>
          <w:kern w:val="28"/>
          <w:szCs w:val="28"/>
        </w:rPr>
      </w:pPr>
      <w:bookmarkStart w:id="160" w:name="_Toc144300987"/>
      <w:bookmarkStart w:id="161" w:name="_Toc188636888"/>
      <w:bookmarkStart w:id="162" w:name="_Toc171197828"/>
      <w:bookmarkStart w:id="163" w:name="_Toc183631761"/>
      <w:bookmarkStart w:id="164" w:name="_Toc181983744"/>
      <w:bookmarkStart w:id="165" w:name="_Toc144301206"/>
      <w:r>
        <w:t xml:space="preserve">2.3.2 </w:t>
      </w:r>
      <w:r>
        <w:rPr>
          <w:rFonts w:hint="eastAsia"/>
        </w:rPr>
        <w:t>产业发展规划</w:t>
      </w:r>
      <w:bookmarkEnd w:id="160"/>
      <w:bookmarkEnd w:id="161"/>
      <w:bookmarkEnd w:id="162"/>
      <w:bookmarkEnd w:id="163"/>
      <w:bookmarkEnd w:id="164"/>
      <w:bookmarkEnd w:id="165"/>
    </w:p>
    <w:p>
      <w:pPr>
        <w:widowControl/>
        <w:spacing w:line="580" w:lineRule="exact"/>
        <w:ind w:firstLine="560"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kern w:val="0"/>
          <w:sz w:val="28"/>
          <w:szCs w:val="24"/>
        </w:rPr>
        <w:t>集中供热规划是支撑产业高质量发展的重要基础。海宁市瞄准产业发展前沿，正全力打造时尚产业、光伏新能源</w:t>
      </w:r>
      <w:r>
        <w:rPr>
          <w:rFonts w:ascii="Times New Roman" w:hAnsi="Times New Roman" w:eastAsia="仿宋_GB2312" w:cs="Times New Roman"/>
          <w:kern w:val="0"/>
          <w:sz w:val="28"/>
          <w:szCs w:val="24"/>
        </w:rPr>
        <w:t>2个</w:t>
      </w:r>
      <w:r>
        <w:rPr>
          <w:rFonts w:hint="eastAsia" w:ascii="Times New Roman" w:hAnsi="Times New Roman" w:eastAsia="仿宋_GB2312" w:cs="Times New Roman"/>
          <w:kern w:val="0"/>
          <w:sz w:val="28"/>
          <w:szCs w:val="24"/>
        </w:rPr>
        <w:t>千亿级产业集群，壮大泛半导体、储能、新材料、高端装备制造产业</w:t>
      </w:r>
      <w:r>
        <w:rPr>
          <w:rFonts w:ascii="Times New Roman" w:hAnsi="Times New Roman" w:eastAsia="仿宋_GB2312" w:cs="Times New Roman"/>
          <w:kern w:val="0"/>
          <w:sz w:val="28"/>
          <w:szCs w:val="24"/>
        </w:rPr>
        <w:t>4个500亿级产业集群，培育生命健康</w:t>
      </w:r>
      <w:r>
        <w:rPr>
          <w:rFonts w:hint="eastAsia" w:ascii="Times New Roman" w:hAnsi="Times New Roman" w:eastAsia="仿宋_GB2312" w:cs="Times New Roman"/>
          <w:kern w:val="0"/>
          <w:sz w:val="28"/>
          <w:szCs w:val="24"/>
        </w:rPr>
        <w:t>1</w:t>
      </w:r>
      <w:r>
        <w:rPr>
          <w:rFonts w:ascii="Times New Roman" w:hAnsi="Times New Roman" w:eastAsia="仿宋_GB2312" w:cs="Times New Roman"/>
          <w:kern w:val="0"/>
          <w:sz w:val="28"/>
          <w:szCs w:val="24"/>
        </w:rPr>
        <w:t>个百亿级产业集群，构建海宁“241”先进制造业集群。</w:t>
      </w:r>
    </w:p>
    <w:p>
      <w:pPr>
        <w:widowControl/>
        <w:spacing w:line="580" w:lineRule="exact"/>
        <w:ind w:firstLine="562" w:firstLineChars="200"/>
        <w:rPr>
          <w:rFonts w:ascii="Times New Roman" w:hAnsi="Times New Roman" w:eastAsia="仿宋_GB2312" w:cs="Times New Roman"/>
          <w:b/>
          <w:kern w:val="0"/>
          <w:sz w:val="28"/>
          <w:szCs w:val="24"/>
        </w:rPr>
      </w:pPr>
      <w:r>
        <w:rPr>
          <w:rFonts w:hint="eastAsia" w:ascii="Times New Roman" w:hAnsi="Times New Roman" w:eastAsia="仿宋_GB2312" w:cs="Times New Roman"/>
          <w:b/>
          <w:kern w:val="0"/>
          <w:sz w:val="28"/>
          <w:szCs w:val="24"/>
        </w:rPr>
        <w:t>（1）聚力培育</w:t>
      </w:r>
      <w:r>
        <w:rPr>
          <w:rFonts w:ascii="Times New Roman" w:hAnsi="Times New Roman" w:eastAsia="仿宋_GB2312" w:cs="Times New Roman"/>
          <w:b/>
          <w:kern w:val="0"/>
          <w:sz w:val="28"/>
          <w:szCs w:val="24"/>
        </w:rPr>
        <w:t>2个千亿产业集群</w:t>
      </w:r>
    </w:p>
    <w:p>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时尚产业：</w:t>
      </w:r>
      <w:r>
        <w:rPr>
          <w:rFonts w:hint="eastAsia" w:ascii="Times New Roman" w:hAnsi="Times New Roman" w:eastAsia="仿宋_GB2312" w:cs="Times New Roman"/>
          <w:kern w:val="0"/>
          <w:sz w:val="28"/>
          <w:szCs w:val="24"/>
        </w:rPr>
        <w:t>聚焦“三都两基地”建设，坚持“提升两头、优化中间、完善链条、抢占高端”的发展思路，推进皮革、纺织面料、家纺、服装及袜业向高端化、品牌化、国际化、融合化、集群化转型，大力发展时尚设计，提升产业链协同制造和柔性定制水平，推动时尚产业集群裂变提质发展，将海宁打造成为品牌荟萃、市场活跃、智造发达、消费集聚、影响力大的国际品质潮城。到</w:t>
      </w:r>
      <w:r>
        <w:rPr>
          <w:rFonts w:ascii="Times New Roman" w:hAnsi="Times New Roman" w:eastAsia="仿宋_GB2312" w:cs="Times New Roman"/>
          <w:kern w:val="0"/>
          <w:sz w:val="28"/>
          <w:szCs w:val="24"/>
        </w:rPr>
        <w:t>2025年，时尚产业规上工业</w:t>
      </w:r>
      <w:r>
        <w:rPr>
          <w:rFonts w:hint="eastAsia" w:ascii="Times New Roman" w:hAnsi="Times New Roman" w:eastAsia="仿宋_GB2312" w:cs="Times New Roman"/>
          <w:kern w:val="0"/>
          <w:sz w:val="28"/>
          <w:szCs w:val="24"/>
        </w:rPr>
        <w:t>产值超</w:t>
      </w:r>
      <w:r>
        <w:rPr>
          <w:rFonts w:ascii="Times New Roman" w:hAnsi="Times New Roman" w:eastAsia="仿宋_GB2312" w:cs="Times New Roman"/>
          <w:kern w:val="0"/>
          <w:sz w:val="28"/>
          <w:szCs w:val="24"/>
        </w:rPr>
        <w:t>1000亿元，规上企业数量超千家，引育百名优秀设</w:t>
      </w:r>
      <w:r>
        <w:rPr>
          <w:rFonts w:hint="eastAsia" w:ascii="Times New Roman" w:hAnsi="Times New Roman" w:eastAsia="仿宋_GB2312" w:cs="Times New Roman"/>
          <w:kern w:val="0"/>
          <w:sz w:val="28"/>
          <w:szCs w:val="24"/>
        </w:rPr>
        <w:t>计师，引进创建</w:t>
      </w:r>
      <w:r>
        <w:rPr>
          <w:rFonts w:ascii="Times New Roman" w:hAnsi="Times New Roman" w:eastAsia="仿宋_GB2312" w:cs="Times New Roman"/>
          <w:kern w:val="0"/>
          <w:sz w:val="28"/>
          <w:szCs w:val="24"/>
        </w:rPr>
        <w:t>2个以上国际品牌。</w:t>
      </w:r>
      <w:r>
        <w:rPr>
          <w:rFonts w:hint="eastAsia" w:ascii="Times New Roman" w:hAnsi="Times New Roman" w:eastAsia="仿宋_GB2312" w:cs="Times New Roman"/>
          <w:b/>
          <w:kern w:val="0"/>
          <w:sz w:val="28"/>
          <w:szCs w:val="24"/>
        </w:rPr>
        <w:t>园区载体</w:t>
      </w:r>
      <w:r>
        <w:rPr>
          <w:rFonts w:hint="eastAsia" w:ascii="Times New Roman" w:hAnsi="Times New Roman" w:eastAsia="仿宋_GB2312" w:cs="Times New Roman"/>
          <w:kern w:val="0"/>
          <w:sz w:val="28"/>
          <w:szCs w:val="24"/>
        </w:rPr>
        <w:t>：皮革小镇、马桥经编园区、许村家纺产业集聚区。</w:t>
      </w:r>
    </w:p>
    <w:p>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光伏新能源：</w:t>
      </w:r>
      <w:r>
        <w:rPr>
          <w:rFonts w:hint="eastAsia" w:ascii="Times New Roman" w:hAnsi="Times New Roman" w:eastAsia="仿宋_GB2312" w:cs="Times New Roman"/>
          <w:kern w:val="0"/>
          <w:sz w:val="28"/>
          <w:szCs w:val="24"/>
        </w:rPr>
        <w:t>培育壮大以光伏为主的新能源产业集群，巩固电池片、光伏组件等领域特色优势，延伸拓展光伏发电综合利用及运维服务等新兴领域，加大光伏材料、高效电池及组件等关键技术创新，引导光伏企业向智能化、服务化发展，打造以龙头企业为核心、电池及组件领域为重点、产业链配套于一体的光伏产业发展格局。</w:t>
      </w:r>
      <w:r>
        <w:rPr>
          <w:rFonts w:hint="eastAsia" w:ascii="Times New Roman" w:hAnsi="Times New Roman" w:eastAsia="仿宋_GB2312" w:cs="Times New Roman"/>
          <w:b/>
          <w:kern w:val="0"/>
          <w:sz w:val="28"/>
          <w:szCs w:val="24"/>
        </w:rPr>
        <w:t>园区载体</w:t>
      </w:r>
      <w:r>
        <w:rPr>
          <w:rFonts w:hint="eastAsia" w:ascii="Times New Roman" w:hAnsi="Times New Roman" w:eastAsia="仿宋_GB2312" w:cs="Times New Roman"/>
          <w:kern w:val="0"/>
          <w:sz w:val="28"/>
          <w:szCs w:val="24"/>
        </w:rPr>
        <w:t>：袁花阳光小镇、尖山新区。</w:t>
      </w:r>
    </w:p>
    <w:p>
      <w:pPr>
        <w:widowControl/>
        <w:spacing w:line="580" w:lineRule="exact"/>
        <w:ind w:firstLine="562" w:firstLineChars="200"/>
        <w:rPr>
          <w:rFonts w:ascii="Times New Roman" w:hAnsi="Times New Roman" w:eastAsia="仿宋_GB2312" w:cs="Times New Roman"/>
          <w:b/>
          <w:kern w:val="0"/>
          <w:sz w:val="28"/>
          <w:szCs w:val="24"/>
        </w:rPr>
      </w:pPr>
      <w:r>
        <w:rPr>
          <w:rFonts w:hint="eastAsia" w:ascii="Times New Roman" w:hAnsi="Times New Roman" w:eastAsia="仿宋_GB2312" w:cs="Times New Roman"/>
          <w:b/>
          <w:kern w:val="0"/>
          <w:sz w:val="28"/>
          <w:szCs w:val="24"/>
        </w:rPr>
        <w:t>（2）全力打造</w:t>
      </w:r>
      <w:r>
        <w:rPr>
          <w:rFonts w:ascii="Times New Roman" w:hAnsi="Times New Roman" w:eastAsia="仿宋_GB2312" w:cs="Times New Roman"/>
          <w:b/>
          <w:kern w:val="0"/>
          <w:sz w:val="28"/>
          <w:szCs w:val="24"/>
        </w:rPr>
        <w:t>4个500亿级产业集群</w:t>
      </w:r>
    </w:p>
    <w:p>
      <w:pPr>
        <w:widowControl/>
        <w:spacing w:line="580" w:lineRule="exact"/>
        <w:ind w:firstLine="562" w:firstLineChars="200"/>
        <w:rPr>
          <w:rFonts w:ascii="Times New Roman" w:hAnsi="Times New Roman" w:eastAsia="仿宋_GB2312" w:cs="Times New Roman"/>
          <w:kern w:val="0"/>
          <w:sz w:val="28"/>
          <w:szCs w:val="24"/>
        </w:rPr>
      </w:pPr>
      <w:r>
        <w:rPr>
          <w:rFonts w:ascii="Times New Roman" w:hAnsi="Times New Roman" w:eastAsia="仿宋_GB2312" w:cs="Times New Roman"/>
          <w:b/>
          <w:kern w:val="0"/>
          <w:sz w:val="28"/>
          <w:szCs w:val="24"/>
        </w:rPr>
        <w:t>泛半导体</w:t>
      </w:r>
      <w:r>
        <w:rPr>
          <w:rFonts w:hint="eastAsia" w:ascii="Times New Roman" w:hAnsi="Times New Roman" w:eastAsia="仿宋_GB2312" w:cs="Times New Roman"/>
          <w:b/>
          <w:kern w:val="0"/>
          <w:sz w:val="28"/>
          <w:szCs w:val="24"/>
        </w:rPr>
        <w:t>：</w:t>
      </w:r>
      <w:r>
        <w:rPr>
          <w:rFonts w:hint="eastAsia" w:ascii="Times New Roman" w:hAnsi="Times New Roman" w:eastAsia="仿宋_GB2312" w:cs="Times New Roman"/>
          <w:kern w:val="0"/>
          <w:sz w:val="28"/>
          <w:szCs w:val="24"/>
        </w:rPr>
        <w:t>深化泛半导体产业培育的“八个一”机制，推进集成电路与先进制造研究院等重大创新平台建设，构建泛半导体产业园、杭州湾电子信息产业园、半导体基础材料产业园和鹃湖国际科技城“三园一城”发展格局，打造有全国影响力的泛半导体产业基地。到</w:t>
      </w:r>
      <w:r>
        <w:rPr>
          <w:rFonts w:ascii="Times New Roman" w:hAnsi="Times New Roman" w:eastAsia="仿宋_GB2312" w:cs="Times New Roman"/>
          <w:kern w:val="0"/>
          <w:sz w:val="28"/>
          <w:szCs w:val="24"/>
        </w:rPr>
        <w:t>2025年，全市泛半导体</w:t>
      </w:r>
      <w:r>
        <w:rPr>
          <w:rFonts w:hint="eastAsia" w:ascii="Times New Roman" w:hAnsi="Times New Roman" w:eastAsia="仿宋_GB2312" w:cs="Times New Roman"/>
          <w:kern w:val="0"/>
          <w:sz w:val="28"/>
          <w:szCs w:val="24"/>
        </w:rPr>
        <w:t>产业规上工业产值超</w:t>
      </w:r>
      <w:r>
        <w:rPr>
          <w:rFonts w:ascii="Times New Roman" w:hAnsi="Times New Roman" w:eastAsia="仿宋_GB2312" w:cs="Times New Roman"/>
          <w:kern w:val="0"/>
          <w:sz w:val="28"/>
          <w:szCs w:val="24"/>
        </w:rPr>
        <w:t>500亿元，在半导体基础材料、核心元</w:t>
      </w:r>
      <w:r>
        <w:rPr>
          <w:rFonts w:hint="eastAsia" w:ascii="Times New Roman" w:hAnsi="Times New Roman" w:eastAsia="仿宋_GB2312" w:cs="Times New Roman"/>
          <w:kern w:val="0"/>
          <w:sz w:val="28"/>
          <w:szCs w:val="24"/>
        </w:rPr>
        <w:t>器件、装备等领域培育一批掌握关键核心技术的企业。</w:t>
      </w:r>
      <w:r>
        <w:rPr>
          <w:rFonts w:hint="eastAsia" w:ascii="Times New Roman" w:hAnsi="Times New Roman" w:eastAsia="仿宋_GB2312" w:cs="Times New Roman"/>
          <w:b/>
          <w:kern w:val="0"/>
          <w:sz w:val="28"/>
          <w:szCs w:val="24"/>
        </w:rPr>
        <w:t>园区载体</w:t>
      </w:r>
      <w:r>
        <w:rPr>
          <w:rFonts w:hint="eastAsia" w:ascii="Times New Roman" w:hAnsi="Times New Roman" w:eastAsia="仿宋_GB2312" w:cs="Times New Roman"/>
          <w:kern w:val="0"/>
          <w:sz w:val="28"/>
          <w:szCs w:val="24"/>
        </w:rPr>
        <w:t>：“三园一城”（即经济开发区“泛半导体产业园”、高新区“杭州湾电子信息产业园”、尖山新区“半导体基础材料产业园”和鹃湖国际科技城）。</w:t>
      </w:r>
    </w:p>
    <w:p>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储能：</w:t>
      </w:r>
      <w:r>
        <w:rPr>
          <w:rFonts w:hint="eastAsia" w:ascii="Times New Roman" w:hAnsi="Times New Roman" w:eastAsia="仿宋_GB2312" w:cs="Times New Roman"/>
          <w:kern w:val="0"/>
          <w:sz w:val="28"/>
          <w:szCs w:val="24"/>
        </w:rPr>
        <w:t>以现有储能产业为基点，构筑核心产业链，扩大优势，补齐短板，努力打造具有核心竞争力的世界级新能源产业基地、全球知名的国际绿色能源之城、全国重要的新能源创新示范城市。</w:t>
      </w:r>
      <w:r>
        <w:rPr>
          <w:rFonts w:hint="eastAsia" w:ascii="Times New Roman" w:hAnsi="Times New Roman" w:eastAsia="仿宋_GB2312" w:cs="Times New Roman"/>
          <w:b/>
          <w:kern w:val="0"/>
          <w:sz w:val="28"/>
          <w:szCs w:val="24"/>
        </w:rPr>
        <w:t>园区载体：</w:t>
      </w:r>
      <w:r>
        <w:rPr>
          <w:rFonts w:hint="eastAsia" w:ascii="Times New Roman" w:hAnsi="Times New Roman" w:eastAsia="仿宋_GB2312" w:cs="Times New Roman"/>
          <w:kern w:val="0"/>
          <w:sz w:val="28"/>
          <w:szCs w:val="24"/>
        </w:rPr>
        <w:t>鹃湖国际科技城、高新开发区、经济开发区、尖山新区。</w:t>
      </w:r>
    </w:p>
    <w:p>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新材料：</w:t>
      </w:r>
      <w:r>
        <w:rPr>
          <w:rFonts w:hint="eastAsia" w:ascii="Times New Roman" w:hAnsi="Times New Roman" w:eastAsia="仿宋_GB2312" w:cs="Times New Roman"/>
          <w:kern w:val="0"/>
          <w:sz w:val="28"/>
          <w:szCs w:val="24"/>
        </w:rPr>
        <w:t>重点发展市场应用广、带动作用强的功能性高分子材料、特种纤维及高性能复合材料、包装新材料及橡塑新材料（建筑材料）等。同时，依托浙大国际学院创新资源优势，加大创新成果转化与人才团队引进，积极布局增材制造、纳米、石墨烯等前沿新材料领域。</w:t>
      </w:r>
      <w:r>
        <w:rPr>
          <w:rFonts w:hint="eastAsia" w:ascii="Times New Roman" w:hAnsi="Times New Roman" w:eastAsia="仿宋_GB2312" w:cs="Times New Roman"/>
          <w:b/>
          <w:kern w:val="0"/>
          <w:sz w:val="28"/>
          <w:szCs w:val="24"/>
        </w:rPr>
        <w:t>园区载体</w:t>
      </w:r>
      <w:r>
        <w:rPr>
          <w:rFonts w:hint="eastAsia" w:ascii="Times New Roman" w:hAnsi="Times New Roman" w:eastAsia="仿宋_GB2312" w:cs="Times New Roman"/>
          <w:kern w:val="0"/>
          <w:sz w:val="28"/>
          <w:szCs w:val="24"/>
        </w:rPr>
        <w:t>：经编园区、尖山新区新材料产业园。</w:t>
      </w:r>
    </w:p>
    <w:p>
      <w:pPr>
        <w:widowControl/>
        <w:spacing w:line="580" w:lineRule="exact"/>
        <w:ind w:firstLine="562" w:firstLineChars="200"/>
        <w:rPr>
          <w:rFonts w:ascii="Times New Roman" w:hAnsi="Times New Roman" w:eastAsia="仿宋_GB2312" w:cs="Times New Roman"/>
          <w:kern w:val="0"/>
          <w:sz w:val="28"/>
          <w:szCs w:val="24"/>
        </w:rPr>
      </w:pPr>
      <w:r>
        <w:rPr>
          <w:rFonts w:ascii="Times New Roman" w:hAnsi="Times New Roman" w:eastAsia="仿宋_GB2312" w:cs="Times New Roman"/>
          <w:b/>
          <w:kern w:val="0"/>
          <w:sz w:val="28"/>
          <w:szCs w:val="24"/>
        </w:rPr>
        <w:t>高端装备制造</w:t>
      </w:r>
      <w:r>
        <w:rPr>
          <w:rFonts w:hint="eastAsia" w:ascii="Times New Roman" w:hAnsi="Times New Roman" w:eastAsia="仿宋_GB2312" w:cs="Times New Roman"/>
          <w:b/>
          <w:kern w:val="0"/>
          <w:sz w:val="28"/>
          <w:szCs w:val="24"/>
        </w:rPr>
        <w:t>：</w:t>
      </w:r>
      <w:r>
        <w:rPr>
          <w:rFonts w:hint="eastAsia" w:ascii="Times New Roman" w:hAnsi="Times New Roman" w:eastAsia="仿宋_GB2312" w:cs="Times New Roman"/>
          <w:kern w:val="0"/>
          <w:sz w:val="28"/>
          <w:szCs w:val="24"/>
        </w:rPr>
        <w:t>聚焦高端厨电、电梯整机及关键零部件等重点领域，突破一批关键核心技术和首台（套）产品，树立一批行业品牌</w:t>
      </w:r>
      <w:r>
        <w:rPr>
          <w:rFonts w:ascii="Times New Roman" w:hAnsi="Times New Roman" w:eastAsia="仿宋_GB2312" w:cs="Times New Roman"/>
          <w:kern w:val="0"/>
          <w:sz w:val="28"/>
          <w:szCs w:val="24"/>
        </w:rPr>
        <w:t>，</w:t>
      </w:r>
      <w:r>
        <w:rPr>
          <w:rFonts w:hint="eastAsia" w:ascii="Times New Roman" w:hAnsi="Times New Roman" w:eastAsia="仿宋_GB2312" w:cs="Times New Roman"/>
          <w:kern w:val="0"/>
          <w:sz w:val="28"/>
          <w:szCs w:val="24"/>
        </w:rPr>
        <w:t>实现省级装备制造业重点领域首台（套）产品的新突破。</w:t>
      </w:r>
      <w:r>
        <w:rPr>
          <w:rFonts w:hint="eastAsia" w:ascii="Times New Roman" w:hAnsi="Times New Roman" w:eastAsia="仿宋_GB2312" w:cs="Times New Roman"/>
          <w:b/>
          <w:kern w:val="0"/>
          <w:sz w:val="28"/>
          <w:szCs w:val="24"/>
        </w:rPr>
        <w:t>园区载体</w:t>
      </w:r>
      <w:r>
        <w:rPr>
          <w:rFonts w:hint="eastAsia" w:ascii="Times New Roman" w:hAnsi="Times New Roman" w:eastAsia="仿宋_GB2312" w:cs="Times New Roman"/>
          <w:kern w:val="0"/>
          <w:sz w:val="28"/>
          <w:szCs w:val="24"/>
        </w:rPr>
        <w:t>：尖山智能厨电产业园、高新区长三角高端装备智造园、经济开发区海宁科技园区。</w:t>
      </w:r>
    </w:p>
    <w:p>
      <w:pPr>
        <w:widowControl/>
        <w:spacing w:line="580" w:lineRule="exact"/>
        <w:ind w:firstLine="562" w:firstLineChars="200"/>
        <w:rPr>
          <w:rFonts w:ascii="Times New Roman" w:hAnsi="Times New Roman" w:eastAsia="仿宋_GB2312" w:cs="Times New Roman"/>
          <w:b/>
          <w:kern w:val="0"/>
          <w:sz w:val="28"/>
          <w:szCs w:val="24"/>
        </w:rPr>
      </w:pPr>
      <w:r>
        <w:rPr>
          <w:rFonts w:hint="eastAsia" w:ascii="Times New Roman" w:hAnsi="Times New Roman" w:eastAsia="仿宋_GB2312" w:cs="Times New Roman"/>
          <w:b/>
          <w:kern w:val="0"/>
          <w:sz w:val="28"/>
          <w:szCs w:val="24"/>
        </w:rPr>
        <w:t>（3）着力构建</w:t>
      </w:r>
      <w:r>
        <w:rPr>
          <w:rFonts w:ascii="Times New Roman" w:hAnsi="Times New Roman" w:eastAsia="仿宋_GB2312" w:cs="Times New Roman"/>
          <w:b/>
          <w:kern w:val="0"/>
          <w:sz w:val="28"/>
          <w:szCs w:val="24"/>
        </w:rPr>
        <w:t>1个100亿级产业集群</w:t>
      </w:r>
    </w:p>
    <w:p>
      <w:pPr>
        <w:widowControl/>
        <w:spacing w:line="580" w:lineRule="exact"/>
        <w:ind w:firstLine="562"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b/>
          <w:kern w:val="0"/>
          <w:sz w:val="28"/>
          <w:szCs w:val="24"/>
        </w:rPr>
        <w:t>生命健康：</w:t>
      </w:r>
      <w:r>
        <w:rPr>
          <w:rFonts w:hint="eastAsia" w:ascii="Times New Roman" w:hAnsi="Times New Roman" w:eastAsia="仿宋_GB2312" w:cs="Times New Roman"/>
          <w:kern w:val="0"/>
          <w:sz w:val="28"/>
          <w:szCs w:val="24"/>
        </w:rPr>
        <w:t>以生物材料、医疗器械、生物医药、生物技术及健康服务等领域为重点，发挥浙江大学爱丁堡大学联合学院等创新资源优势，深化产学研合作与成果转化，打造多元化产业孵化平台，集聚一批头部企业、研发中心、重点实验室等，构建“环浙大国际校区生命健康产业带”。</w:t>
      </w:r>
      <w:r>
        <w:rPr>
          <w:rFonts w:hint="eastAsia" w:ascii="Times New Roman" w:hAnsi="Times New Roman" w:eastAsia="仿宋_GB2312" w:cs="Times New Roman"/>
          <w:b/>
          <w:kern w:val="0"/>
          <w:sz w:val="28"/>
          <w:szCs w:val="24"/>
        </w:rPr>
        <w:t>园区载体</w:t>
      </w:r>
      <w:r>
        <w:rPr>
          <w:rFonts w:hint="eastAsia" w:ascii="Times New Roman" w:hAnsi="Times New Roman" w:eastAsia="仿宋_GB2312" w:cs="Times New Roman"/>
          <w:kern w:val="0"/>
          <w:sz w:val="28"/>
          <w:szCs w:val="24"/>
        </w:rPr>
        <w:t>：“一核一园”的产业布局。“一核”即鹃湖国际科技城，承接浙大国际联合学院等成果转化，布局医疗器械、生物技术、生物材料、生物制药等研发；“一园”即杭州湾智慧医疗产业园，主要布局医疗设备方向，兼顾生物技术、健康服务等。</w:t>
      </w:r>
    </w:p>
    <w:p>
      <w:pPr>
        <w:pStyle w:val="4"/>
        <w:rPr>
          <w:rFonts w:eastAsia="宋体"/>
          <w:b w:val="0"/>
          <w:kern w:val="28"/>
          <w:szCs w:val="28"/>
        </w:rPr>
      </w:pPr>
      <w:bookmarkStart w:id="166" w:name="_Toc144300988"/>
      <w:bookmarkStart w:id="167" w:name="_Toc188636889"/>
      <w:bookmarkStart w:id="168" w:name="_Toc144301207"/>
      <w:bookmarkStart w:id="169" w:name="_Toc183631762"/>
      <w:bookmarkStart w:id="170" w:name="_Toc171197829"/>
      <w:bookmarkStart w:id="171" w:name="_Toc181983745"/>
      <w:r>
        <w:t xml:space="preserve">2.3.3 </w:t>
      </w:r>
      <w:r>
        <w:rPr>
          <w:rFonts w:hint="eastAsia"/>
        </w:rPr>
        <w:t>能源发展规划</w:t>
      </w:r>
      <w:bookmarkEnd w:id="166"/>
      <w:bookmarkEnd w:id="167"/>
      <w:bookmarkEnd w:id="168"/>
      <w:bookmarkEnd w:id="169"/>
      <w:bookmarkEnd w:id="170"/>
      <w:bookmarkEnd w:id="171"/>
    </w:p>
    <w:p>
      <w:pPr>
        <w:widowControl/>
        <w:spacing w:line="580" w:lineRule="exact"/>
        <w:ind w:firstLine="560"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kern w:val="0"/>
          <w:sz w:val="28"/>
          <w:szCs w:val="24"/>
        </w:rPr>
        <w:t>集中供热是能源发展的重要组成部分。根据《海宁市能源发展“十四五”规划》，海宁市能源发展将以供给侧结构性改革为主线，以改革创新为动力，推进能源生产和消费革命，加强能源消费总量弹性控制，引领城市</w:t>
      </w:r>
      <w:r>
        <w:rPr>
          <w:rFonts w:hint="eastAsia" w:ascii="Times New Roman" w:hAnsi="Times New Roman" w:eastAsia="仿宋_GB2312" w:cs="Times New Roman"/>
          <w:kern w:val="0"/>
          <w:sz w:val="28"/>
          <w:szCs w:val="24"/>
          <w:lang w:val="en-US" w:eastAsia="zh-CN"/>
        </w:rPr>
        <w:t>绿色</w:t>
      </w:r>
      <w:r>
        <w:rPr>
          <w:rFonts w:hint="eastAsia" w:ascii="Times New Roman" w:hAnsi="Times New Roman" w:eastAsia="仿宋_GB2312" w:cs="Times New Roman"/>
          <w:kern w:val="0"/>
          <w:sz w:val="28"/>
          <w:szCs w:val="24"/>
        </w:rPr>
        <w:t>低碳发展，拓展能源供应渠道，争取能源资源多元化稳定供应，完善能源基础设施，提升能源保障水平和持续发展能力，优化能源消费结构，加大清洁能源和非化石能源利用规模，促进能源环境友好，严控排放标准及环境影响，优化能源体制机制，激励行业科学发展和优质服务，努力构建安全可靠、经济高效、清洁低碳的城市能源供应消费体系，全力实施绿色低碳发展行动“一五十百千万”项目，为海宁市奋力打造“重要窗口”最精彩板块的示范表率，争创社会主义现代化先行市，率先基本实现高水平社会主义现代化提供坚强的能源保障。</w:t>
      </w:r>
      <w:bookmarkEnd w:id="113"/>
      <w:bookmarkStart w:id="640" w:name="_GoBack"/>
      <w:bookmarkEnd w:id="640"/>
    </w:p>
    <w:p>
      <w:pPr>
        <w:widowControl/>
        <w:spacing w:after="156" w:afterLines="50" w:line="580" w:lineRule="exact"/>
        <w:ind w:firstLine="560" w:firstLineChars="200"/>
        <w:rPr>
          <w:rFonts w:ascii="Times New Roman" w:hAnsi="Times New Roman" w:eastAsia="仿宋_GB2312" w:cs="Times New Roman"/>
          <w:kern w:val="0"/>
          <w:sz w:val="28"/>
          <w:szCs w:val="24"/>
        </w:rPr>
      </w:pPr>
    </w:p>
    <w:bookmarkEnd w:id="114"/>
    <w:p>
      <w:pPr>
        <w:spacing w:line="580" w:lineRule="exact"/>
        <w:sectPr>
          <w:footerReference r:id="rId6" w:type="default"/>
          <w:pgSz w:w="11906" w:h="16838"/>
          <w:pgMar w:top="1474" w:right="1588" w:bottom="1701" w:left="1588" w:header="851" w:footer="992" w:gutter="0"/>
          <w:pgNumType w:start="1"/>
          <w:cols w:space="425" w:num="1"/>
          <w:docGrid w:type="lines" w:linePitch="312" w:charSpace="0"/>
        </w:sectPr>
      </w:pPr>
    </w:p>
    <w:p>
      <w:pPr>
        <w:pStyle w:val="2"/>
      </w:pPr>
      <w:bookmarkStart w:id="172" w:name="_Toc188636890"/>
      <w:r>
        <w:rPr>
          <w:rFonts w:hint="eastAsia"/>
        </w:rPr>
        <w:t>三、供热现状</w:t>
      </w:r>
      <w:bookmarkEnd w:id="172"/>
    </w:p>
    <w:p>
      <w:pPr>
        <w:pStyle w:val="3"/>
      </w:pPr>
      <w:bookmarkStart w:id="173" w:name="_Toc188636891"/>
      <w:r>
        <w:t>3.1</w:t>
      </w:r>
      <w:r>
        <w:rPr>
          <w:rFonts w:hint="eastAsia"/>
        </w:rPr>
        <w:t>已有供热规划内容及实施情况</w:t>
      </w:r>
      <w:bookmarkEnd w:id="173"/>
    </w:p>
    <w:p>
      <w:pPr>
        <w:spacing w:line="580" w:lineRule="exact"/>
        <w:ind w:firstLine="556"/>
        <w:rPr>
          <w:rFonts w:ascii="Times New Roman" w:hAnsi="Times New Roman" w:eastAsia="仿宋_GB2312" w:cs="宋体"/>
          <w:color w:val="000000" w:themeColor="text1"/>
          <w:sz w:val="28"/>
          <w14:textFill>
            <w14:solidFill>
              <w14:schemeClr w14:val="tx1"/>
            </w14:solidFill>
          </w14:textFill>
        </w:rPr>
      </w:pPr>
      <w:r>
        <w:rPr>
          <w:rFonts w:hint="eastAsia" w:ascii="Times New Roman" w:hAnsi="Times New Roman" w:eastAsia="仿宋_GB2312" w:cs="宋体"/>
          <w:color w:val="000000" w:themeColor="text1"/>
          <w:sz w:val="28"/>
          <w14:textFill>
            <w14:solidFill>
              <w14:schemeClr w14:val="tx1"/>
            </w14:solidFill>
          </w14:textFill>
        </w:rPr>
        <w:t>《海宁市集中供热规划（</w:t>
      </w:r>
      <w:r>
        <w:rPr>
          <w:rFonts w:ascii="Times New Roman" w:hAnsi="Times New Roman" w:eastAsia="仿宋_GB2312" w:cs="宋体"/>
          <w:color w:val="000000" w:themeColor="text1"/>
          <w:sz w:val="28"/>
          <w14:textFill>
            <w14:solidFill>
              <w14:schemeClr w14:val="tx1"/>
            </w14:solidFill>
          </w14:textFill>
        </w:rPr>
        <w:t>2015~2025</w:t>
      </w:r>
      <w:r>
        <w:rPr>
          <w:rFonts w:hint="eastAsia" w:ascii="Times New Roman" w:hAnsi="Times New Roman" w:eastAsia="仿宋_GB2312" w:cs="宋体"/>
          <w:color w:val="000000" w:themeColor="text1"/>
          <w:sz w:val="28"/>
          <w14:textFill>
            <w14:solidFill>
              <w14:schemeClr w14:val="tx1"/>
            </w14:solidFill>
          </w14:textFill>
        </w:rPr>
        <w:t>）》（以下简称“原《规划》”）于</w:t>
      </w:r>
      <w:r>
        <w:rPr>
          <w:rFonts w:ascii="Times New Roman" w:hAnsi="Times New Roman" w:eastAsia="仿宋_GB2312" w:cs="宋体"/>
          <w:color w:val="000000" w:themeColor="text1"/>
          <w:sz w:val="28"/>
          <w14:textFill>
            <w14:solidFill>
              <w14:schemeClr w14:val="tx1"/>
            </w14:solidFill>
          </w14:textFill>
        </w:rPr>
        <w:t>20</w:t>
      </w:r>
      <w:r>
        <w:rPr>
          <w:rFonts w:ascii="Times New Roman" w:hAnsi="Times New Roman" w:eastAsia="仿宋_GB2312" w:cs="宋体"/>
          <w:sz w:val="28"/>
        </w:rPr>
        <w:t>16年4月18</w:t>
      </w:r>
      <w:r>
        <w:rPr>
          <w:rFonts w:hint="eastAsia" w:ascii="Times New Roman" w:hAnsi="Times New Roman" w:eastAsia="仿宋_GB2312" w:cs="宋体"/>
          <w:sz w:val="28"/>
        </w:rPr>
        <w:t>日由浙江省经济和信息化委员会批复，具体批复文件见附件1。原《规划》规划范围为海宁市辖区内的陆域范围，包括</w:t>
      </w:r>
      <w:r>
        <w:rPr>
          <w:rFonts w:ascii="Times New Roman" w:hAnsi="Times New Roman" w:eastAsia="仿宋_GB2312" w:cs="宋体"/>
          <w:sz w:val="28"/>
        </w:rPr>
        <w:t>4个街道、8个建制</w:t>
      </w:r>
      <w:r>
        <w:rPr>
          <w:rFonts w:hint="eastAsia" w:ascii="Times New Roman" w:hAnsi="Times New Roman" w:eastAsia="仿宋_GB2312" w:cs="宋体"/>
          <w:sz w:val="28"/>
        </w:rPr>
        <w:t>镇，分别为硖石街道、海洲街道、海昌街道、马桥街道、许村镇、长安镇（高新技术开发区）、周</w:t>
      </w:r>
      <w:r>
        <w:rPr>
          <w:rFonts w:hint="eastAsia" w:ascii="Times New Roman" w:hAnsi="Times New Roman" w:eastAsia="仿宋_GB2312" w:cs="宋体"/>
          <w:color w:val="000000" w:themeColor="text1"/>
          <w:sz w:val="28"/>
          <w14:textFill>
            <w14:solidFill>
              <w14:schemeClr w14:val="tx1"/>
            </w14:solidFill>
          </w14:textFill>
        </w:rPr>
        <w:t>王庙镇、盐官镇、</w:t>
      </w:r>
      <w:r>
        <w:rPr>
          <w:rFonts w:ascii="Times New Roman" w:hAnsi="Times New Roman" w:eastAsia="仿宋_GB2312" w:cs="宋体"/>
          <w:color w:val="000000" w:themeColor="text1"/>
          <w:sz w:val="28"/>
          <w14:textFill>
            <w14:solidFill>
              <w14:schemeClr w14:val="tx1"/>
            </w14:solidFill>
          </w14:textFill>
        </w:rPr>
        <w:t>斜桥镇、丁桥镇、袁</w:t>
      </w:r>
      <w:r>
        <w:rPr>
          <w:rFonts w:hint="eastAsia" w:ascii="Times New Roman" w:hAnsi="Times New Roman" w:eastAsia="仿宋_GB2312" w:cs="宋体"/>
          <w:color w:val="000000" w:themeColor="text1"/>
          <w:sz w:val="28"/>
          <w14:textFill>
            <w14:solidFill>
              <w14:schemeClr w14:val="tx1"/>
            </w14:solidFill>
          </w14:textFill>
        </w:rPr>
        <w:t>花镇、黄湾镇（尖山新区），总面积</w:t>
      </w:r>
      <w:r>
        <w:rPr>
          <w:rFonts w:ascii="Times New Roman" w:hAnsi="Times New Roman" w:eastAsia="仿宋_GB2312" w:cs="宋体"/>
          <w:color w:val="000000" w:themeColor="text1"/>
          <w:sz w:val="28"/>
          <w14:textFill>
            <w14:solidFill>
              <w14:schemeClr w14:val="tx1"/>
            </w14:solidFill>
          </w14:textFill>
        </w:rPr>
        <w:t>700.5平方公里</w:t>
      </w:r>
      <w:r>
        <w:rPr>
          <w:rFonts w:hint="eastAsia" w:ascii="Times New Roman" w:hAnsi="Times New Roman" w:eastAsia="仿宋_GB2312" w:cs="宋体"/>
          <w:color w:val="000000" w:themeColor="text1"/>
          <w:sz w:val="28"/>
          <w14:textFill>
            <w14:solidFill>
              <w14:schemeClr w14:val="tx1"/>
            </w14:solidFill>
          </w14:textFill>
        </w:rPr>
        <w:t>，规划期限为2</w:t>
      </w:r>
      <w:r>
        <w:rPr>
          <w:rFonts w:ascii="Times New Roman" w:hAnsi="Times New Roman" w:eastAsia="仿宋_GB2312" w:cs="宋体"/>
          <w:color w:val="000000" w:themeColor="text1"/>
          <w:sz w:val="28"/>
          <w14:textFill>
            <w14:solidFill>
              <w14:schemeClr w14:val="tx1"/>
            </w14:solidFill>
          </w14:textFill>
        </w:rPr>
        <w:t>015~2025</w:t>
      </w:r>
      <w:r>
        <w:rPr>
          <w:rFonts w:hint="eastAsia" w:ascii="Times New Roman" w:hAnsi="Times New Roman" w:eastAsia="仿宋_GB2312" w:cs="宋体"/>
          <w:color w:val="000000" w:themeColor="text1"/>
          <w:sz w:val="28"/>
          <w14:textFill>
            <w14:solidFill>
              <w14:schemeClr w14:val="tx1"/>
            </w14:solidFill>
          </w14:textFill>
        </w:rPr>
        <w:t>年。根据原《规划》，截至</w:t>
      </w:r>
      <w:r>
        <w:rPr>
          <w:rFonts w:ascii="Times New Roman" w:hAnsi="Times New Roman" w:eastAsia="仿宋_GB2312" w:cs="宋体"/>
          <w:color w:val="000000" w:themeColor="text1"/>
          <w:sz w:val="28"/>
          <w14:textFill>
            <w14:solidFill>
              <w14:schemeClr w14:val="tx1"/>
            </w14:solidFill>
          </w14:textFill>
        </w:rPr>
        <w:t>2014年底，海宁市共有热电企业6家，其中公用热电厂4</w:t>
      </w:r>
      <w:r>
        <w:rPr>
          <w:rFonts w:hint="eastAsia" w:ascii="Times New Roman" w:hAnsi="Times New Roman" w:eastAsia="仿宋_GB2312" w:cs="宋体"/>
          <w:color w:val="000000" w:themeColor="text1"/>
          <w:sz w:val="28"/>
          <w14:textFill>
            <w14:solidFill>
              <w14:schemeClr w14:val="tx1"/>
            </w14:solidFill>
          </w14:textFill>
        </w:rPr>
        <w:t>家（海宁东山热电有限公司、浙江宝峰热电有限公司、海宁马桥大都市热电有限公司、海宁红宝热电有限公司），自备热电厂</w:t>
      </w:r>
      <w:r>
        <w:rPr>
          <w:rFonts w:ascii="Times New Roman" w:hAnsi="Times New Roman" w:eastAsia="仿宋_GB2312" w:cs="宋体"/>
          <w:color w:val="000000" w:themeColor="text1"/>
          <w:sz w:val="28"/>
          <w14:textFill>
            <w14:solidFill>
              <w14:schemeClr w14:val="tx1"/>
            </w14:solidFill>
          </w14:textFill>
        </w:rPr>
        <w:t>2家（海宁</w:t>
      </w:r>
      <w:r>
        <w:rPr>
          <w:rFonts w:hint="eastAsia" w:ascii="Times New Roman" w:hAnsi="Times New Roman" w:eastAsia="仿宋_GB2312" w:cs="宋体"/>
          <w:color w:val="000000" w:themeColor="text1"/>
          <w:sz w:val="28"/>
          <w14:textFill>
            <w14:solidFill>
              <w14:schemeClr w14:val="tx1"/>
            </w14:solidFill>
          </w14:textFill>
        </w:rPr>
        <w:t>钱江生化自备热电厂、浙江华德利纺织印染有限公司）。热电企业总装机容量</w:t>
      </w:r>
      <w:r>
        <w:rPr>
          <w:rFonts w:ascii="Times New Roman" w:hAnsi="Times New Roman" w:eastAsia="仿宋_GB2312" w:cs="宋体"/>
          <w:color w:val="000000" w:themeColor="text1"/>
          <w:sz w:val="28"/>
          <w14:textFill>
            <w14:solidFill>
              <w14:schemeClr w14:val="tx1"/>
            </w14:solidFill>
          </w14:textFill>
        </w:rPr>
        <w:t>111.5</w:t>
      </w:r>
      <w:r>
        <w:rPr>
          <w:rFonts w:hint="eastAsia" w:ascii="Times New Roman" w:hAnsi="Times New Roman" w:eastAsia="仿宋_GB2312" w:cs="宋体"/>
          <w:color w:val="000000" w:themeColor="text1"/>
          <w:sz w:val="28"/>
          <w14:textFill>
            <w14:solidFill>
              <w14:schemeClr w14:val="tx1"/>
            </w14:solidFill>
          </w14:textFill>
        </w:rPr>
        <w:t>M</w:t>
      </w:r>
      <w:r>
        <w:rPr>
          <w:rFonts w:ascii="Times New Roman" w:hAnsi="Times New Roman" w:eastAsia="仿宋_GB2312" w:cs="宋体"/>
          <w:color w:val="000000" w:themeColor="text1"/>
          <w:sz w:val="28"/>
          <w14:textFill>
            <w14:solidFill>
              <w14:schemeClr w14:val="tx1"/>
            </w14:solidFill>
          </w14:textFill>
        </w:rPr>
        <w:t>W，锅炉总蒸发量为1270</w:t>
      </w:r>
      <w:r>
        <w:rPr>
          <w:rFonts w:hint="eastAsia" w:ascii="Times New Roman" w:hAnsi="Times New Roman" w:eastAsia="仿宋_GB2312" w:cs="宋体"/>
          <w:color w:val="000000" w:themeColor="text1"/>
          <w:sz w:val="28"/>
          <w14:textFill>
            <w14:solidFill>
              <w14:schemeClr w14:val="tx1"/>
            </w14:solidFill>
          </w14:textFill>
        </w:rPr>
        <w:t>t/h</w:t>
      </w:r>
      <w:r>
        <w:rPr>
          <w:rFonts w:ascii="Times New Roman" w:hAnsi="Times New Roman" w:eastAsia="仿宋_GB2312" w:cs="宋体"/>
          <w:color w:val="000000" w:themeColor="text1"/>
          <w:sz w:val="28"/>
          <w14:textFill>
            <w14:solidFill>
              <w14:schemeClr w14:val="tx1"/>
            </w14:solidFill>
          </w14:textFill>
        </w:rPr>
        <w:t>，已建供热管网145</w:t>
      </w:r>
      <w:r>
        <w:rPr>
          <w:rFonts w:hint="eastAsia" w:ascii="Times New Roman" w:hAnsi="Times New Roman" w:eastAsia="仿宋_GB2312" w:cs="宋体"/>
          <w:color w:val="000000" w:themeColor="text1"/>
          <w:sz w:val="28"/>
          <w14:textFill>
            <w14:solidFill>
              <w14:schemeClr w14:val="tx1"/>
            </w14:solidFill>
          </w14:textFill>
        </w:rPr>
        <w:t>公里，共有热用户</w:t>
      </w:r>
      <w:r>
        <w:rPr>
          <w:rFonts w:ascii="Times New Roman" w:hAnsi="Times New Roman" w:eastAsia="仿宋_GB2312" w:cs="宋体"/>
          <w:color w:val="000000" w:themeColor="text1"/>
          <w:sz w:val="28"/>
          <w14:textFill>
            <w14:solidFill>
              <w14:schemeClr w14:val="tx1"/>
            </w14:solidFill>
          </w14:textFill>
        </w:rPr>
        <w:t>361家，2014年外供蒸汽总计385万吨。</w:t>
      </w:r>
    </w:p>
    <w:p>
      <w:pPr>
        <w:spacing w:line="580" w:lineRule="exact"/>
        <w:ind w:firstLine="556"/>
        <w:rPr>
          <w:rFonts w:ascii="Times New Roman" w:hAnsi="Times New Roman" w:eastAsia="仿宋_GB2312" w:cs="宋体"/>
          <w:color w:val="000000" w:themeColor="text1"/>
          <w:sz w:val="28"/>
          <w14:textFill>
            <w14:solidFill>
              <w14:schemeClr w14:val="tx1"/>
            </w14:solidFill>
          </w14:textFill>
        </w:rPr>
        <w:sectPr>
          <w:pgSz w:w="11906" w:h="16838"/>
          <w:pgMar w:top="1474" w:right="1588" w:bottom="1701" w:left="1588" w:header="851" w:footer="992" w:gutter="0"/>
          <w:cols w:space="425" w:num="1"/>
          <w:docGrid w:type="lines" w:linePitch="312" w:charSpace="0"/>
        </w:sectPr>
      </w:pPr>
      <w:r>
        <w:rPr>
          <w:rFonts w:hint="eastAsia" w:ascii="Times New Roman" w:hAnsi="Times New Roman" w:eastAsia="仿宋_GB2312" w:cs="宋体"/>
          <w:color w:val="000000" w:themeColor="text1"/>
          <w:sz w:val="28"/>
          <w14:textFill>
            <w14:solidFill>
              <w14:schemeClr w14:val="tx1"/>
            </w14:solidFill>
          </w14:textFill>
        </w:rPr>
        <w:t>原《规划》将海宁市划分为7</w:t>
      </w:r>
      <w:r>
        <w:rPr>
          <w:rFonts w:ascii="Times New Roman" w:hAnsi="Times New Roman" w:eastAsia="仿宋_GB2312" w:cs="宋体"/>
          <w:color w:val="000000" w:themeColor="text1"/>
          <w:sz w:val="28"/>
          <w14:textFill>
            <w14:solidFill>
              <w14:schemeClr w14:val="tx1"/>
            </w14:solidFill>
          </w14:textFill>
        </w:rPr>
        <w:t>个</w:t>
      </w:r>
      <w:r>
        <w:rPr>
          <w:rFonts w:hint="eastAsia" w:ascii="Times New Roman" w:hAnsi="Times New Roman" w:eastAsia="仿宋_GB2312" w:cs="宋体"/>
          <w:color w:val="000000" w:themeColor="text1"/>
          <w:sz w:val="28"/>
          <w14:textFill>
            <w14:solidFill>
              <w14:schemeClr w14:val="tx1"/>
            </w14:solidFill>
          </w14:textFill>
        </w:rPr>
        <w:t>供热分区，分别为中心城市东北片、中心城市西北片、中心城市南片、许村片、长安南片、周王庙片、黄湾片，基于7个供热分区的热负荷预测进行热源点规划。供热分区热源点发展整体符合原《规划》，有效保障了园区发展过程中的用热需求</w:t>
      </w:r>
      <w:r>
        <w:rPr>
          <w:rFonts w:ascii="Times New Roman" w:hAnsi="Times New Roman" w:eastAsia="仿宋_GB2312" w:cs="宋体"/>
          <w:color w:val="000000" w:themeColor="text1"/>
          <w:sz w:val="28"/>
          <w14:textFill>
            <w14:solidFill>
              <w14:schemeClr w14:val="tx1"/>
            </w14:solidFill>
          </w14:textFill>
        </w:rPr>
        <w:t>。</w:t>
      </w:r>
      <w:r>
        <w:rPr>
          <w:rFonts w:hint="eastAsia" w:ascii="Times New Roman" w:hAnsi="Times New Roman" w:eastAsia="仿宋_GB2312" w:cs="宋体"/>
          <w:color w:val="000000" w:themeColor="text1"/>
          <w:sz w:val="28"/>
          <w14:textFill>
            <w14:solidFill>
              <w14:schemeClr w14:val="tx1"/>
            </w14:solidFill>
          </w14:textFill>
        </w:rPr>
        <w:t>原《规划》热源点规划</w:t>
      </w:r>
      <w:r>
        <w:rPr>
          <w:rFonts w:ascii="Times New Roman" w:hAnsi="Times New Roman" w:eastAsia="仿宋_GB2312" w:cs="宋体"/>
          <w:color w:val="000000" w:themeColor="text1"/>
          <w:sz w:val="28"/>
          <w14:textFill>
            <w14:solidFill>
              <w14:schemeClr w14:val="tx1"/>
            </w14:solidFill>
          </w14:textFill>
        </w:rPr>
        <w:t>主要内容及落实情况</w:t>
      </w:r>
      <w:r>
        <w:rPr>
          <w:rFonts w:hint="eastAsia" w:ascii="Times New Roman" w:hAnsi="Times New Roman" w:eastAsia="仿宋_GB2312" w:cs="宋体"/>
          <w:color w:val="000000" w:themeColor="text1"/>
          <w:sz w:val="28"/>
          <w14:textFill>
            <w14:solidFill>
              <w14:schemeClr w14:val="tx1"/>
            </w14:solidFill>
          </w14:textFill>
        </w:rPr>
        <w:t>见表3</w:t>
      </w:r>
      <w:r>
        <w:rPr>
          <w:rFonts w:ascii="Times New Roman" w:hAnsi="Times New Roman" w:eastAsia="仿宋_GB2312" w:cs="宋体"/>
          <w:color w:val="000000" w:themeColor="text1"/>
          <w:sz w:val="28"/>
          <w14:textFill>
            <w14:solidFill>
              <w14:schemeClr w14:val="tx1"/>
            </w14:solidFill>
          </w14:textFill>
        </w:rPr>
        <w:t>.1-1</w:t>
      </w:r>
      <w:r>
        <w:rPr>
          <w:rFonts w:hint="eastAsia" w:ascii="Times New Roman" w:hAnsi="Times New Roman" w:eastAsia="仿宋_GB2312" w:cs="宋体"/>
          <w:color w:val="000000" w:themeColor="text1"/>
          <w:sz w:val="28"/>
          <w14:textFill>
            <w14:solidFill>
              <w14:schemeClr w14:val="tx1"/>
            </w14:solidFill>
          </w14:textFill>
        </w:rPr>
        <w:t>。</w:t>
      </w:r>
    </w:p>
    <w:p>
      <w:pPr>
        <w:spacing w:before="156" w:beforeLines="50"/>
        <w:jc w:val="center"/>
        <w:rPr>
          <w:rFonts w:ascii="黑体" w:hAnsi="黑体" w:eastAsia="黑体" w:cs="Times New Roman"/>
          <w:sz w:val="28"/>
          <w:szCs w:val="24"/>
        </w:rPr>
      </w:pPr>
      <w:r>
        <w:rPr>
          <w:rFonts w:ascii="黑体" w:hAnsi="黑体" w:eastAsia="黑体" w:cs="Times New Roman"/>
          <w:sz w:val="28"/>
          <w:szCs w:val="24"/>
        </w:rPr>
        <w:t>表3.1-1</w:t>
      </w:r>
      <w:r>
        <w:rPr>
          <w:rFonts w:hint="eastAsia" w:ascii="黑体" w:hAnsi="黑体" w:eastAsia="黑体" w:cs="宋体"/>
          <w:color w:val="000000" w:themeColor="text1"/>
          <w:sz w:val="28"/>
          <w14:textFill>
            <w14:solidFill>
              <w14:schemeClr w14:val="tx1"/>
            </w14:solidFill>
          </w14:textFill>
        </w:rPr>
        <w:t>《海宁市集中供热规划（</w:t>
      </w:r>
      <w:r>
        <w:rPr>
          <w:rFonts w:ascii="黑体" w:hAnsi="黑体" w:eastAsia="黑体" w:cs="宋体"/>
          <w:color w:val="000000" w:themeColor="text1"/>
          <w:sz w:val="28"/>
          <w14:textFill>
            <w14:solidFill>
              <w14:schemeClr w14:val="tx1"/>
            </w14:solidFill>
          </w14:textFill>
        </w:rPr>
        <w:t>2015~2025</w:t>
      </w:r>
      <w:r>
        <w:rPr>
          <w:rFonts w:hint="eastAsia" w:ascii="黑体" w:hAnsi="黑体" w:eastAsia="黑体" w:cs="宋体"/>
          <w:color w:val="000000" w:themeColor="text1"/>
          <w:sz w:val="28"/>
          <w14:textFill>
            <w14:solidFill>
              <w14:schemeClr w14:val="tx1"/>
            </w14:solidFill>
          </w14:textFill>
        </w:rPr>
        <w:t>）》热源点规划</w:t>
      </w:r>
      <w:r>
        <w:rPr>
          <w:rFonts w:hint="eastAsia" w:ascii="黑体" w:hAnsi="黑体" w:eastAsia="黑体" w:cs="Times New Roman"/>
          <w:sz w:val="28"/>
          <w:szCs w:val="24"/>
        </w:rPr>
        <w:t>主要内容及落实</w:t>
      </w:r>
      <w:r>
        <w:rPr>
          <w:rFonts w:ascii="黑体" w:hAnsi="黑体" w:eastAsia="黑体" w:cs="Times New Roman"/>
          <w:sz w:val="28"/>
          <w:szCs w:val="24"/>
        </w:rPr>
        <w:t>情况</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294"/>
        <w:gridCol w:w="2479"/>
        <w:gridCol w:w="3120"/>
        <w:gridCol w:w="3214"/>
        <w:gridCol w:w="3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201" w:type="pct"/>
            <w:vAlign w:val="center"/>
          </w:tcPr>
          <w:p>
            <w:pP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序号</w:t>
            </w:r>
          </w:p>
        </w:tc>
        <w:tc>
          <w:tcPr>
            <w:tcW w:w="466" w:type="pct"/>
            <w:vAlign w:val="center"/>
          </w:tcPr>
          <w:p>
            <w:pP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热源点</w:t>
            </w:r>
          </w:p>
        </w:tc>
        <w:tc>
          <w:tcPr>
            <w:tcW w:w="893" w:type="pct"/>
            <w:vAlign w:val="center"/>
          </w:tcPr>
          <w:p>
            <w:pPr>
              <w:rPr>
                <w:rFonts w:ascii="Times New Roman" w:hAnsi="Times New Roman" w:eastAsia="仿宋_GB2312" w:cs="Times New Roman"/>
                <w:b/>
                <w:sz w:val="24"/>
                <w:szCs w:val="24"/>
              </w:rPr>
            </w:pPr>
            <w:r>
              <w:rPr>
                <w:rFonts w:ascii="Times New Roman" w:hAnsi="Times New Roman" w:eastAsia="仿宋_GB2312" w:cs="Times New Roman"/>
                <w:b/>
                <w:sz w:val="24"/>
                <w:szCs w:val="24"/>
              </w:rPr>
              <w:t>2014</w:t>
            </w:r>
            <w:r>
              <w:rPr>
                <w:rFonts w:hint="eastAsia" w:ascii="Times New Roman" w:hAnsi="Times New Roman" w:eastAsia="仿宋_GB2312" w:cs="Times New Roman"/>
                <w:b/>
                <w:sz w:val="24"/>
                <w:szCs w:val="24"/>
              </w:rPr>
              <w:t>年公共热源点装机规模</w:t>
            </w:r>
          </w:p>
        </w:tc>
        <w:tc>
          <w:tcPr>
            <w:tcW w:w="1124" w:type="pct"/>
            <w:vAlign w:val="center"/>
          </w:tcPr>
          <w:p>
            <w:pP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原《规划》公共热源点规划装机规模</w:t>
            </w:r>
          </w:p>
        </w:tc>
        <w:tc>
          <w:tcPr>
            <w:tcW w:w="1158" w:type="pct"/>
            <w:vAlign w:val="center"/>
          </w:tcPr>
          <w:p>
            <w:pPr>
              <w:rPr>
                <w:rFonts w:ascii="Times New Roman" w:hAnsi="Times New Roman" w:eastAsia="仿宋_GB2312" w:cs="Times New Roman"/>
                <w:b/>
                <w:sz w:val="24"/>
                <w:szCs w:val="24"/>
              </w:rPr>
            </w:pPr>
            <w:r>
              <w:rPr>
                <w:rFonts w:ascii="Times New Roman" w:hAnsi="Times New Roman" w:eastAsia="仿宋_GB2312" w:cs="Times New Roman"/>
                <w:b/>
                <w:sz w:val="24"/>
                <w:szCs w:val="24"/>
              </w:rPr>
              <w:t>2024</w:t>
            </w:r>
            <w:r>
              <w:rPr>
                <w:rFonts w:hint="eastAsia" w:ascii="Times New Roman" w:hAnsi="Times New Roman" w:eastAsia="仿宋_GB2312" w:cs="Times New Roman"/>
                <w:b/>
                <w:sz w:val="24"/>
                <w:szCs w:val="24"/>
              </w:rPr>
              <w:t>年公共热源点装机规模</w:t>
            </w:r>
          </w:p>
        </w:tc>
        <w:tc>
          <w:tcPr>
            <w:tcW w:w="1158" w:type="pct"/>
            <w:vAlign w:val="center"/>
          </w:tcPr>
          <w:p>
            <w:pP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现状与原《规划》差异的情况说明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pP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466"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海宁东山热电有限公司</w:t>
            </w:r>
          </w:p>
        </w:tc>
        <w:tc>
          <w:tcPr>
            <w:tcW w:w="893" w:type="pct"/>
            <w:vAlign w:val="center"/>
          </w:tcPr>
          <w:p>
            <w:pPr>
              <w:rPr>
                <w:rFonts w:ascii="Times New Roman" w:hAnsi="Times New Roman" w:eastAsia="仿宋_GB2312" w:cs="Times New Roman"/>
                <w:sz w:val="24"/>
                <w:szCs w:val="24"/>
              </w:rPr>
            </w:pPr>
            <w:r>
              <w:rPr>
                <w:rFonts w:ascii="Times New Roman" w:hAnsi="Times New Roman" w:eastAsia="仿宋_GB2312" w:cs="Times New Roman"/>
                <w:sz w:val="24"/>
                <w:szCs w:val="24"/>
              </w:rPr>
              <w:t>1台</w:t>
            </w:r>
            <w:r>
              <w:rPr>
                <w:rFonts w:hint="eastAsia" w:ascii="Times New Roman" w:hAnsi="Times New Roman" w:eastAsia="仿宋_GB2312" w:cs="Times New Roman"/>
                <w:sz w:val="24"/>
                <w:szCs w:val="24"/>
              </w:rPr>
              <w:t>3</w:t>
            </w:r>
            <w:r>
              <w:rPr>
                <w:rFonts w:ascii="Times New Roman" w:hAnsi="Times New Roman" w:eastAsia="仿宋_GB2312" w:cs="Times New Roman"/>
                <w:sz w:val="24"/>
                <w:szCs w:val="24"/>
              </w:rPr>
              <w:t>5吨/时</w:t>
            </w:r>
            <w:r>
              <w:rPr>
                <w:rFonts w:hint="eastAsia" w:ascii="Times New Roman" w:hAnsi="Times New Roman" w:eastAsia="仿宋_GB2312" w:cs="Times New Roman"/>
                <w:sz w:val="24"/>
                <w:szCs w:val="24"/>
              </w:rPr>
              <w:t>、1台2</w:t>
            </w:r>
            <w:r>
              <w:rPr>
                <w:rFonts w:ascii="Times New Roman" w:hAnsi="Times New Roman" w:eastAsia="仿宋_GB2312" w:cs="Times New Roman"/>
                <w:sz w:val="24"/>
                <w:szCs w:val="24"/>
              </w:rPr>
              <w:t>0吨/时的次高</w:t>
            </w:r>
            <w:r>
              <w:rPr>
                <w:rFonts w:hint="eastAsia" w:ascii="Times New Roman" w:hAnsi="Times New Roman" w:eastAsia="仿宋_GB2312" w:cs="Times New Roman"/>
                <w:sz w:val="24"/>
                <w:szCs w:val="24"/>
              </w:rPr>
              <w:t>温次高压燃煤循环流化床锅炉和</w:t>
            </w:r>
            <w:r>
              <w:rPr>
                <w:rFonts w:ascii="Times New Roman" w:hAnsi="Times New Roman" w:eastAsia="仿宋_GB2312" w:cs="Times New Roman"/>
                <w:sz w:val="24"/>
                <w:szCs w:val="24"/>
              </w:rPr>
              <w:t>1台</w:t>
            </w:r>
            <w:r>
              <w:rPr>
                <w:rFonts w:hint="eastAsia" w:ascii="Times New Roman" w:hAnsi="Times New Roman" w:eastAsia="仿宋_GB2312" w:cs="Times New Roman"/>
                <w:sz w:val="24"/>
                <w:szCs w:val="24"/>
              </w:rPr>
              <w:t>2</w:t>
            </w:r>
            <w:r>
              <w:rPr>
                <w:rFonts w:ascii="Times New Roman" w:hAnsi="Times New Roman" w:eastAsia="仿宋_GB2312" w:cs="Times New Roman"/>
                <w:sz w:val="24"/>
                <w:szCs w:val="24"/>
              </w:rPr>
              <w:t>0吨/时</w:t>
            </w:r>
            <w:r>
              <w:rPr>
                <w:rFonts w:hint="eastAsia" w:ascii="Times New Roman" w:hAnsi="Times New Roman" w:eastAsia="仿宋_GB2312" w:cs="Times New Roman"/>
                <w:sz w:val="24"/>
                <w:szCs w:val="24"/>
              </w:rPr>
              <w:t>的</w:t>
            </w:r>
            <w:r>
              <w:rPr>
                <w:rFonts w:ascii="Times New Roman" w:hAnsi="Times New Roman" w:eastAsia="仿宋_GB2312" w:cs="Times New Roman"/>
                <w:sz w:val="24"/>
                <w:szCs w:val="24"/>
              </w:rPr>
              <w:t>中温中压链条炉，配2台3兆</w:t>
            </w:r>
            <w:r>
              <w:rPr>
                <w:rFonts w:hint="eastAsia" w:ascii="Times New Roman" w:hAnsi="Times New Roman" w:eastAsia="仿宋_GB2312" w:cs="Times New Roman"/>
                <w:sz w:val="24"/>
                <w:szCs w:val="24"/>
              </w:rPr>
              <w:t>瓦背压式汽轮发电机组</w:t>
            </w:r>
          </w:p>
        </w:tc>
        <w:tc>
          <w:tcPr>
            <w:tcW w:w="1124"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建设</w:t>
            </w:r>
            <w:r>
              <w:rPr>
                <w:rFonts w:ascii="Times New Roman" w:hAnsi="Times New Roman" w:eastAsia="仿宋_GB2312" w:cs="Times New Roman"/>
                <w:sz w:val="24"/>
                <w:szCs w:val="24"/>
              </w:rPr>
              <w:t>1台9兆瓦高温高压背压机组和1台7兆瓦高温高压抽背机组，配3台75吨/时高温高压循环流化床</w:t>
            </w:r>
            <w:r>
              <w:rPr>
                <w:rFonts w:hint="eastAsia" w:ascii="Times New Roman" w:hAnsi="Times New Roman" w:eastAsia="仿宋_GB2312" w:cs="Times New Roman"/>
                <w:sz w:val="24"/>
                <w:szCs w:val="24"/>
              </w:rPr>
              <w:t>锅炉（</w:t>
            </w:r>
            <w:r>
              <w:rPr>
                <w:rFonts w:ascii="Times New Roman" w:hAnsi="Times New Roman" w:eastAsia="仿宋_GB2312" w:cs="Times New Roman"/>
                <w:sz w:val="24"/>
                <w:szCs w:val="24"/>
              </w:rPr>
              <w:t>2用1备），并淘汰现有中温中压及以下参数机组</w:t>
            </w:r>
          </w:p>
        </w:tc>
        <w:tc>
          <w:tcPr>
            <w:tcW w:w="1158"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现为海宁光耀热电有限公司</w:t>
            </w:r>
            <w:r>
              <w:rPr>
                <w:rFonts w:ascii="Times New Roman" w:hAnsi="Times New Roman" w:eastAsia="仿宋_GB2312" w:cs="Times New Roman"/>
                <w:sz w:val="24"/>
                <w:szCs w:val="24"/>
              </w:rPr>
              <w:t>1号能源站</w:t>
            </w:r>
            <w:r>
              <w:rPr>
                <w:rFonts w:hint="eastAsia" w:ascii="Times New Roman" w:hAnsi="Times New Roman" w:eastAsia="仿宋_GB2312" w:cs="Times New Roman"/>
                <w:sz w:val="24"/>
                <w:szCs w:val="24"/>
              </w:rPr>
              <w:t>，淘汰原海宁东山热电有限公司的燃煤机组，现有规模为</w:t>
            </w:r>
            <w:r>
              <w:rPr>
                <w:rFonts w:ascii="Times New Roman" w:hAnsi="Times New Roman" w:eastAsia="仿宋_GB2312" w:cs="Times New Roman"/>
                <w:sz w:val="24"/>
                <w:szCs w:val="24"/>
              </w:rPr>
              <w:t>3台25t/h天然气燃气锅炉，2用1备</w:t>
            </w:r>
            <w:r>
              <w:rPr>
                <w:rFonts w:hint="eastAsia" w:ascii="Times New Roman" w:hAnsi="Times New Roman" w:eastAsia="仿宋_GB2312" w:cs="Times New Roman"/>
                <w:sz w:val="24"/>
                <w:szCs w:val="24"/>
              </w:rPr>
              <w:t>。</w:t>
            </w:r>
          </w:p>
        </w:tc>
        <w:tc>
          <w:tcPr>
            <w:tcW w:w="1158"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海宁市积极推进能源结构绿色低碳转型，统筹煤炭指标，结合该区域热负荷实际需求，对该热源点燃料类型和装机规模进行了调整。由于天然气价格影响，海宁光耀热电有限公司</w:t>
            </w:r>
            <w:r>
              <w:rPr>
                <w:rFonts w:ascii="Times New Roman" w:hAnsi="Times New Roman" w:eastAsia="仿宋_GB2312" w:cs="Times New Roman"/>
                <w:sz w:val="24"/>
                <w:szCs w:val="24"/>
              </w:rPr>
              <w:t>1号能源站</w:t>
            </w:r>
            <w:r>
              <w:rPr>
                <w:rFonts w:hint="eastAsia" w:ascii="Times New Roman" w:hAnsi="Times New Roman" w:eastAsia="仿宋_GB2312" w:cs="Times New Roman"/>
                <w:sz w:val="24"/>
                <w:szCs w:val="24"/>
              </w:rPr>
              <w:t>暂未建设燃气轮机组和余热锅炉。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pP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466"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浙江宝峰热电有限公司</w:t>
            </w:r>
          </w:p>
        </w:tc>
        <w:tc>
          <w:tcPr>
            <w:tcW w:w="893" w:type="pct"/>
            <w:vAlign w:val="center"/>
          </w:tcPr>
          <w:p>
            <w:pPr>
              <w:rPr>
                <w:rFonts w:ascii="Times New Roman" w:hAnsi="Times New Roman" w:eastAsia="仿宋_GB2312" w:cs="Times New Roman"/>
                <w:sz w:val="24"/>
                <w:szCs w:val="24"/>
              </w:rPr>
            </w:pPr>
            <w:r>
              <w:rPr>
                <w:rFonts w:ascii="Times New Roman" w:hAnsi="Times New Roman" w:eastAsia="仿宋_GB2312" w:cs="Times New Roman"/>
                <w:sz w:val="24"/>
                <w:szCs w:val="24"/>
              </w:rPr>
              <w:t>4台75吨/时的循环流化床锅炉、配1台12兆瓦抽凝式</w:t>
            </w:r>
            <w:r>
              <w:rPr>
                <w:rFonts w:hint="eastAsia" w:ascii="Times New Roman" w:hAnsi="Times New Roman" w:eastAsia="仿宋_GB2312" w:cs="Times New Roman"/>
                <w:sz w:val="24"/>
                <w:szCs w:val="24"/>
              </w:rPr>
              <w:t>汽轮发电机组、</w:t>
            </w:r>
            <w:r>
              <w:rPr>
                <w:rFonts w:ascii="Times New Roman" w:hAnsi="Times New Roman" w:eastAsia="仿宋_GB2312" w:cs="Times New Roman"/>
                <w:sz w:val="24"/>
                <w:szCs w:val="24"/>
              </w:rPr>
              <w:t>1台6兆瓦背压式汽轮发电机组</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1台7兆瓦背压式汽</w:t>
            </w:r>
            <w:r>
              <w:rPr>
                <w:rFonts w:hint="eastAsia" w:ascii="Times New Roman" w:hAnsi="Times New Roman" w:eastAsia="仿宋_GB2312" w:cs="Times New Roman"/>
                <w:sz w:val="24"/>
                <w:szCs w:val="24"/>
              </w:rPr>
              <w:t>轮发电机组</w:t>
            </w:r>
          </w:p>
        </w:tc>
        <w:tc>
          <w:tcPr>
            <w:tcW w:w="1124"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扩建</w:t>
            </w:r>
            <w:r>
              <w:rPr>
                <w:rFonts w:ascii="Times New Roman" w:hAnsi="Times New Roman" w:eastAsia="仿宋_GB2312" w:cs="Times New Roman"/>
                <w:sz w:val="24"/>
                <w:szCs w:val="24"/>
              </w:rPr>
              <w:t>1台15兆瓦高温高压背压机组</w:t>
            </w:r>
            <w:r>
              <w:rPr>
                <w:rFonts w:hint="eastAsia" w:ascii="Times New Roman" w:hAnsi="Times New Roman" w:eastAsia="仿宋_GB2312" w:cs="Times New Roman"/>
                <w:sz w:val="24"/>
                <w:szCs w:val="24"/>
              </w:rPr>
              <w:t>和</w:t>
            </w:r>
            <w:r>
              <w:rPr>
                <w:rFonts w:ascii="Times New Roman" w:hAnsi="Times New Roman" w:eastAsia="仿宋_GB2312" w:cs="Times New Roman"/>
                <w:sz w:val="24"/>
                <w:szCs w:val="24"/>
              </w:rPr>
              <w:t>1台12兆瓦高温高压抽背机组，配2台130吨/时高温高压循环流</w:t>
            </w:r>
            <w:r>
              <w:rPr>
                <w:rFonts w:hint="eastAsia" w:ascii="Times New Roman" w:hAnsi="Times New Roman" w:eastAsia="仿宋_GB2312" w:cs="Times New Roman"/>
                <w:sz w:val="24"/>
                <w:szCs w:val="24"/>
              </w:rPr>
              <w:t>化床锅炉</w:t>
            </w:r>
          </w:p>
        </w:tc>
        <w:tc>
          <w:tcPr>
            <w:tcW w:w="1158" w:type="pct"/>
            <w:vAlign w:val="center"/>
          </w:tcPr>
          <w:p>
            <w:pPr>
              <w:rPr>
                <w:rFonts w:ascii="Times New Roman" w:hAnsi="Times New Roman" w:eastAsia="仿宋_GB2312" w:cs="Times New Roman"/>
                <w:sz w:val="24"/>
                <w:szCs w:val="24"/>
              </w:rPr>
            </w:pPr>
            <w:r>
              <w:rPr>
                <w:rFonts w:ascii="Times New Roman" w:hAnsi="Times New Roman" w:eastAsia="仿宋_GB2312" w:cs="Times New Roman"/>
                <w:sz w:val="24"/>
                <w:szCs w:val="24"/>
              </w:rPr>
              <w:t>4台75t/h次高温次高压循环流化床锅炉，1台130t/h高温高压循环流化床锅炉，锅炉3用2备，1台12MW次高温次高压抽凝式汽轮发电机组、1台6MW次高温次高压背压式汽轮发电机组、1台7MW次高温次高压背压式汽轮发电机组、1台15MW高温高压抽气背压式汽轮发电机组，汽机3用1备</w:t>
            </w:r>
          </w:p>
        </w:tc>
        <w:tc>
          <w:tcPr>
            <w:tcW w:w="1158"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海宁市统筹煤炭指标，结合该区域热负荷实际需求，对该热源点扩建装机规模进行了调整。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pP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c>
          <w:tcPr>
            <w:tcW w:w="466"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海宁马桥大都市热电有限公司</w:t>
            </w:r>
          </w:p>
        </w:tc>
        <w:tc>
          <w:tcPr>
            <w:tcW w:w="893" w:type="pct"/>
            <w:vAlign w:val="center"/>
          </w:tcPr>
          <w:p>
            <w:pPr>
              <w:rPr>
                <w:rFonts w:ascii="Times New Roman" w:hAnsi="Times New Roman" w:eastAsia="仿宋_GB2312" w:cs="Times New Roman"/>
                <w:sz w:val="24"/>
                <w:szCs w:val="24"/>
              </w:rPr>
            </w:pPr>
            <w:r>
              <w:rPr>
                <w:rFonts w:ascii="Times New Roman" w:hAnsi="Times New Roman" w:eastAsia="仿宋_GB2312" w:cs="Times New Roman"/>
                <w:sz w:val="24"/>
                <w:szCs w:val="24"/>
              </w:rPr>
              <w:t>4台75吨/时的次高温次高压燃煤循环流化床锅炉，12兆瓦</w:t>
            </w:r>
            <w:r>
              <w:rPr>
                <w:rFonts w:hint="eastAsia" w:ascii="Times New Roman" w:hAnsi="Times New Roman" w:eastAsia="仿宋_GB2312" w:cs="Times New Roman"/>
                <w:sz w:val="24"/>
                <w:szCs w:val="24"/>
              </w:rPr>
              <w:t>抽凝式和</w:t>
            </w:r>
            <w:r>
              <w:rPr>
                <w:rFonts w:ascii="Times New Roman" w:hAnsi="Times New Roman" w:eastAsia="仿宋_GB2312" w:cs="Times New Roman"/>
                <w:sz w:val="24"/>
                <w:szCs w:val="24"/>
              </w:rPr>
              <w:t>6兆瓦、7兆瓦背压式供热机组各1台</w:t>
            </w:r>
          </w:p>
        </w:tc>
        <w:tc>
          <w:tcPr>
            <w:tcW w:w="1124"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扩建</w:t>
            </w:r>
            <w:r>
              <w:rPr>
                <w:rFonts w:ascii="Times New Roman" w:hAnsi="Times New Roman" w:eastAsia="仿宋_GB2312" w:cs="Times New Roman"/>
                <w:sz w:val="24"/>
                <w:szCs w:val="24"/>
              </w:rPr>
              <w:t>1台18兆瓦高温高压背</w:t>
            </w:r>
            <w:r>
              <w:rPr>
                <w:rFonts w:hint="eastAsia" w:ascii="Times New Roman" w:hAnsi="Times New Roman" w:eastAsia="仿宋_GB2312" w:cs="Times New Roman"/>
                <w:sz w:val="24"/>
                <w:szCs w:val="24"/>
              </w:rPr>
              <w:t>压机组和</w:t>
            </w:r>
            <w:r>
              <w:rPr>
                <w:rFonts w:ascii="Times New Roman" w:hAnsi="Times New Roman" w:eastAsia="仿宋_GB2312" w:cs="Times New Roman"/>
                <w:sz w:val="24"/>
                <w:szCs w:val="24"/>
              </w:rPr>
              <w:t>1台15兆瓦高温高压抽背机组，配2台150吨/时高温高压</w:t>
            </w:r>
            <w:r>
              <w:rPr>
                <w:rFonts w:hint="eastAsia" w:ascii="Times New Roman" w:hAnsi="Times New Roman" w:eastAsia="仿宋_GB2312" w:cs="Times New Roman"/>
                <w:sz w:val="24"/>
                <w:szCs w:val="24"/>
              </w:rPr>
              <w:t>循环流化床锅炉</w:t>
            </w:r>
          </w:p>
        </w:tc>
        <w:tc>
          <w:tcPr>
            <w:tcW w:w="1158" w:type="pct"/>
            <w:vAlign w:val="center"/>
          </w:tcPr>
          <w:p>
            <w:pPr>
              <w:rPr>
                <w:rFonts w:ascii="Times New Roman" w:hAnsi="Times New Roman" w:eastAsia="仿宋_GB2312" w:cs="Times New Roman"/>
                <w:sz w:val="24"/>
                <w:szCs w:val="24"/>
              </w:rPr>
            </w:pPr>
            <w:r>
              <w:rPr>
                <w:rFonts w:ascii="Times New Roman" w:hAnsi="Times New Roman" w:eastAsia="仿宋_GB2312" w:cs="Times New Roman"/>
                <w:sz w:val="24"/>
                <w:szCs w:val="24"/>
              </w:rPr>
              <w:t>4台75t/h次高温</w:t>
            </w:r>
            <w:r>
              <w:rPr>
                <w:rFonts w:hint="eastAsia" w:ascii="Times New Roman" w:hAnsi="Times New Roman" w:eastAsia="仿宋_GB2312" w:cs="Times New Roman"/>
                <w:sz w:val="24"/>
                <w:szCs w:val="24"/>
              </w:rPr>
              <w:t>次</w:t>
            </w:r>
            <w:r>
              <w:rPr>
                <w:rFonts w:ascii="Times New Roman" w:hAnsi="Times New Roman" w:eastAsia="仿宋_GB2312" w:cs="Times New Roman"/>
                <w:sz w:val="24"/>
                <w:szCs w:val="24"/>
              </w:rPr>
              <w:t>高压循环流化床锅炉和1台150t/h高温高压循环流化床锅炉，锅炉4用1备，1套12MW次高温次高压抽凝式汽轮发电机组、1套6MW次高温次高压背压式汽轮发电机组、1套7MW次高温次高压背压式汽轮发电机组及1套20MW高温高压背压式汽轮发电机组，汽机3用1备</w:t>
            </w:r>
          </w:p>
        </w:tc>
        <w:tc>
          <w:tcPr>
            <w:tcW w:w="1158"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海宁市统筹煤炭指标，结合该区域热负荷实际需求，对该热源点扩建装机规模进行了调整。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4</w:t>
            </w:r>
          </w:p>
        </w:tc>
        <w:tc>
          <w:tcPr>
            <w:tcW w:w="466"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海宁红宝热电有限公司</w:t>
            </w:r>
          </w:p>
        </w:tc>
        <w:tc>
          <w:tcPr>
            <w:tcW w:w="893" w:type="pct"/>
            <w:vAlign w:val="center"/>
          </w:tcPr>
          <w:p>
            <w:pPr>
              <w:rPr>
                <w:rFonts w:ascii="Times New Roman" w:hAnsi="Times New Roman" w:eastAsia="仿宋_GB2312" w:cs="Times New Roman"/>
                <w:sz w:val="24"/>
                <w:szCs w:val="24"/>
              </w:rPr>
            </w:pPr>
            <w:r>
              <w:rPr>
                <w:rFonts w:ascii="Times New Roman" w:hAnsi="Times New Roman" w:eastAsia="仿宋_GB2312" w:cs="Times New Roman"/>
                <w:sz w:val="24"/>
                <w:szCs w:val="24"/>
              </w:rPr>
              <w:t>3台130吨/时次高温次高压燃煤循环流化床锅炉，25兆</w:t>
            </w:r>
            <w:r>
              <w:rPr>
                <w:rFonts w:hint="eastAsia" w:ascii="Times New Roman" w:hAnsi="Times New Roman" w:eastAsia="仿宋_GB2312" w:cs="Times New Roman"/>
                <w:sz w:val="24"/>
                <w:szCs w:val="24"/>
              </w:rPr>
              <w:t>瓦抽凝式和</w:t>
            </w:r>
            <w:r>
              <w:rPr>
                <w:rFonts w:ascii="Times New Roman" w:hAnsi="Times New Roman" w:eastAsia="仿宋_GB2312" w:cs="Times New Roman"/>
                <w:sz w:val="24"/>
                <w:szCs w:val="24"/>
              </w:rPr>
              <w:t>12兆瓦、6兆瓦背压式供热机组各1台</w:t>
            </w:r>
          </w:p>
        </w:tc>
        <w:tc>
          <w:tcPr>
            <w:tcW w:w="1124"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扩建</w:t>
            </w:r>
            <w:r>
              <w:rPr>
                <w:rFonts w:ascii="Times New Roman" w:hAnsi="Times New Roman" w:eastAsia="仿宋_GB2312" w:cs="Times New Roman"/>
                <w:sz w:val="24"/>
                <w:szCs w:val="24"/>
              </w:rPr>
              <w:t>1台15兆瓦高温高压背压机</w:t>
            </w:r>
            <w:r>
              <w:rPr>
                <w:rFonts w:hint="eastAsia" w:ascii="Times New Roman" w:hAnsi="Times New Roman" w:eastAsia="仿宋_GB2312" w:cs="Times New Roman"/>
                <w:sz w:val="24"/>
                <w:szCs w:val="24"/>
              </w:rPr>
              <w:t>组，配</w:t>
            </w:r>
            <w:r>
              <w:rPr>
                <w:rFonts w:ascii="Times New Roman" w:hAnsi="Times New Roman" w:eastAsia="仿宋_GB2312" w:cs="Times New Roman"/>
                <w:sz w:val="24"/>
                <w:szCs w:val="24"/>
              </w:rPr>
              <w:t>2台130吨/时高温高压循环流化床锅炉（1用1备）</w:t>
            </w:r>
          </w:p>
        </w:tc>
        <w:tc>
          <w:tcPr>
            <w:tcW w:w="1158" w:type="pct"/>
            <w:vAlign w:val="center"/>
          </w:tcPr>
          <w:p>
            <w:pPr>
              <w:rPr>
                <w:rFonts w:ascii="Times New Roman" w:hAnsi="Times New Roman" w:eastAsia="仿宋_GB2312" w:cs="Times New Roman"/>
                <w:sz w:val="24"/>
                <w:szCs w:val="24"/>
              </w:rPr>
            </w:pPr>
            <w:r>
              <w:rPr>
                <w:rFonts w:ascii="Times New Roman" w:hAnsi="Times New Roman" w:eastAsia="仿宋_GB2312" w:cs="Times New Roman"/>
                <w:sz w:val="24"/>
                <w:szCs w:val="24"/>
              </w:rPr>
              <w:t>3台130t/h次高温次高压循环流化床锅炉，1套12MW抽背式汽轮发电机组、1套6MW背压式汽轮发电机组、1套24.5MW抽凝式汽轮发电机组</w:t>
            </w:r>
          </w:p>
        </w:tc>
        <w:tc>
          <w:tcPr>
            <w:tcW w:w="1158"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海宁市统筹煤炭指标，结合该区域热负荷实际需求，对该热源点扩建装机规模进行了调整。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w:t>
            </w:r>
          </w:p>
        </w:tc>
        <w:tc>
          <w:tcPr>
            <w:tcW w:w="466"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钱江生化自备电厂</w:t>
            </w:r>
          </w:p>
        </w:tc>
        <w:tc>
          <w:tcPr>
            <w:tcW w:w="893" w:type="pct"/>
            <w:vAlign w:val="center"/>
          </w:tcPr>
          <w:p>
            <w:pPr>
              <w:rPr>
                <w:rFonts w:ascii="Times New Roman" w:hAnsi="Times New Roman" w:eastAsia="仿宋_GB2312" w:cs="Times New Roman"/>
                <w:sz w:val="24"/>
                <w:szCs w:val="24"/>
              </w:rPr>
            </w:pPr>
            <w:r>
              <w:rPr>
                <w:rFonts w:ascii="Times New Roman" w:hAnsi="Times New Roman" w:eastAsia="仿宋_GB2312" w:cs="Times New Roman"/>
                <w:sz w:val="24"/>
                <w:szCs w:val="24"/>
              </w:rPr>
              <w:t>3台20吨/时中温中压链条炉和2台35吨/时中温中压循环流化床锅炉、配1</w:t>
            </w:r>
            <w:r>
              <w:rPr>
                <w:rFonts w:hint="eastAsia" w:ascii="Times New Roman" w:hAnsi="Times New Roman" w:eastAsia="仿宋_GB2312" w:cs="Times New Roman"/>
                <w:sz w:val="24"/>
                <w:szCs w:val="24"/>
              </w:rPr>
              <w:t>台</w:t>
            </w:r>
            <w:r>
              <w:rPr>
                <w:rFonts w:ascii="Times New Roman" w:hAnsi="Times New Roman" w:eastAsia="仿宋_GB2312" w:cs="Times New Roman"/>
                <w:sz w:val="24"/>
                <w:szCs w:val="24"/>
              </w:rPr>
              <w:t>3兆瓦抽凝式和2台3兆瓦背压式汽轮发电机组。</w:t>
            </w:r>
          </w:p>
        </w:tc>
        <w:tc>
          <w:tcPr>
            <w:tcW w:w="1124"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转为公共热电厂，规划建设</w:t>
            </w:r>
            <w:r>
              <w:rPr>
                <w:rFonts w:ascii="Times New Roman" w:hAnsi="Times New Roman" w:eastAsia="仿宋_GB2312" w:cs="Times New Roman"/>
                <w:sz w:val="24"/>
                <w:szCs w:val="24"/>
              </w:rPr>
              <w:t>3台9兆瓦高温高压背压机组和1台7</w:t>
            </w:r>
            <w:r>
              <w:rPr>
                <w:rFonts w:hint="eastAsia" w:ascii="Times New Roman" w:hAnsi="Times New Roman" w:eastAsia="仿宋_GB2312" w:cs="Times New Roman"/>
                <w:sz w:val="24"/>
                <w:szCs w:val="24"/>
              </w:rPr>
              <w:t>兆瓦高温高压抽背机组，配</w:t>
            </w:r>
            <w:r>
              <w:rPr>
                <w:rFonts w:ascii="Times New Roman" w:hAnsi="Times New Roman" w:eastAsia="仿宋_GB2312" w:cs="Times New Roman"/>
                <w:sz w:val="24"/>
                <w:szCs w:val="24"/>
              </w:rPr>
              <w:t>5台75吨/时高温高压循环流化床锅炉（4</w:t>
            </w:r>
            <w:r>
              <w:rPr>
                <w:rFonts w:hint="eastAsia" w:ascii="Times New Roman" w:hAnsi="Times New Roman" w:eastAsia="仿宋_GB2312" w:cs="Times New Roman"/>
                <w:sz w:val="24"/>
                <w:szCs w:val="24"/>
              </w:rPr>
              <w:t>用</w:t>
            </w:r>
            <w:r>
              <w:rPr>
                <w:rFonts w:ascii="Times New Roman" w:hAnsi="Times New Roman" w:eastAsia="仿宋_GB2312" w:cs="Times New Roman"/>
                <w:sz w:val="24"/>
                <w:szCs w:val="24"/>
              </w:rPr>
              <w:t>1备）</w:t>
            </w:r>
          </w:p>
        </w:tc>
        <w:tc>
          <w:tcPr>
            <w:tcW w:w="1158"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现为海宁光耀热电有限公司</w:t>
            </w:r>
            <w:r>
              <w:rPr>
                <w:rFonts w:ascii="Times New Roman" w:hAnsi="Times New Roman" w:eastAsia="仿宋_GB2312" w:cs="Times New Roman"/>
                <w:sz w:val="24"/>
                <w:szCs w:val="24"/>
              </w:rPr>
              <w:t>2号能源站</w:t>
            </w:r>
            <w:r>
              <w:rPr>
                <w:rFonts w:hint="eastAsia" w:ascii="Times New Roman" w:hAnsi="Times New Roman" w:eastAsia="仿宋_GB2312" w:cs="Times New Roman"/>
                <w:sz w:val="24"/>
                <w:szCs w:val="24"/>
              </w:rPr>
              <w:t>，现有规模为</w:t>
            </w:r>
            <w:r>
              <w:rPr>
                <w:rFonts w:ascii="Times New Roman" w:hAnsi="Times New Roman" w:eastAsia="仿宋_GB2312" w:cs="Times New Roman"/>
                <w:sz w:val="24"/>
                <w:szCs w:val="24"/>
              </w:rPr>
              <w:t>3台25t/h天然气燃气锅炉</w:t>
            </w:r>
          </w:p>
        </w:tc>
        <w:tc>
          <w:tcPr>
            <w:tcW w:w="1158"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海宁市积极推进能源结构绿色低碳转型，统筹煤炭指标，结合该区域热负荷实际需求，对该热源点燃料类型和装机规模进行了调整。由于天然气价格影响，海宁光耀热电有限公司</w:t>
            </w:r>
            <w:r>
              <w:rPr>
                <w:rFonts w:ascii="Times New Roman" w:hAnsi="Times New Roman" w:eastAsia="仿宋_GB2312" w:cs="Times New Roman"/>
                <w:sz w:val="24"/>
                <w:szCs w:val="24"/>
              </w:rPr>
              <w:t>2号能源站</w:t>
            </w:r>
            <w:r>
              <w:rPr>
                <w:rFonts w:hint="eastAsia" w:ascii="Times New Roman" w:hAnsi="Times New Roman" w:eastAsia="仿宋_GB2312" w:cs="Times New Roman"/>
                <w:sz w:val="24"/>
                <w:szCs w:val="24"/>
              </w:rPr>
              <w:t>暂未建设燃气轮机组和余热锅炉。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pPr>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466"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周王庙镇新热源点</w:t>
            </w:r>
          </w:p>
        </w:tc>
        <w:tc>
          <w:tcPr>
            <w:tcW w:w="893"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无</w:t>
            </w:r>
          </w:p>
        </w:tc>
        <w:tc>
          <w:tcPr>
            <w:tcW w:w="1124"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新建</w:t>
            </w:r>
            <w:r>
              <w:rPr>
                <w:rFonts w:ascii="Times New Roman" w:hAnsi="Times New Roman" w:eastAsia="仿宋_GB2312" w:cs="Times New Roman"/>
                <w:sz w:val="24"/>
                <w:szCs w:val="24"/>
              </w:rPr>
              <w:t>2台9兆瓦高温高压背压机组，配3台75吨/时高温高压循环流化床锅炉（2用1备）</w:t>
            </w:r>
          </w:p>
        </w:tc>
        <w:tc>
          <w:tcPr>
            <w:tcW w:w="1158"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现为浙江泰亿能源有限公司，现有规模为</w:t>
            </w:r>
            <w:r>
              <w:rPr>
                <w:rFonts w:ascii="Times New Roman" w:hAnsi="Times New Roman" w:eastAsia="仿宋_GB2312" w:cs="Times New Roman"/>
                <w:sz w:val="24"/>
                <w:szCs w:val="24"/>
              </w:rPr>
              <w:t>2台90t/h高温高压循环流化床锅炉，锅炉1用1备，1套9MW高温高压抽背式汽轮发电机组</w:t>
            </w:r>
          </w:p>
        </w:tc>
        <w:tc>
          <w:tcPr>
            <w:tcW w:w="1158"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海宁市统筹煤炭指标，结合该区域热负荷实际需求，对该热源点扩建装机规模进行了调整。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7</w:t>
            </w:r>
          </w:p>
        </w:tc>
        <w:tc>
          <w:tcPr>
            <w:tcW w:w="466"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黄湾镇新热源点</w:t>
            </w:r>
          </w:p>
        </w:tc>
        <w:tc>
          <w:tcPr>
            <w:tcW w:w="893"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无</w:t>
            </w:r>
          </w:p>
        </w:tc>
        <w:tc>
          <w:tcPr>
            <w:tcW w:w="1124"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新建</w:t>
            </w:r>
            <w:r>
              <w:rPr>
                <w:rFonts w:ascii="Times New Roman" w:hAnsi="Times New Roman" w:eastAsia="仿宋_GB2312" w:cs="Times New Roman"/>
                <w:sz w:val="24"/>
                <w:szCs w:val="24"/>
              </w:rPr>
              <w:t>2台9兆瓦高温高压背压机组，配3台75吨/时高温高压循环流化床锅炉（2用1备）</w:t>
            </w:r>
          </w:p>
        </w:tc>
        <w:tc>
          <w:tcPr>
            <w:tcW w:w="1158"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现为海宁恒逸热电公司，现有规模为</w:t>
            </w:r>
            <w:r>
              <w:rPr>
                <w:rFonts w:ascii="Times New Roman" w:hAnsi="Times New Roman" w:eastAsia="仿宋_GB2312" w:cs="Times New Roman"/>
                <w:sz w:val="24"/>
                <w:szCs w:val="24"/>
              </w:rPr>
              <w:t>3台160t/h高温超高压循环流化床锅炉，锅炉2用1备，2套15MW高温超高压背压式汽轮发电机组，汽机1用1备</w:t>
            </w:r>
          </w:p>
        </w:tc>
        <w:tc>
          <w:tcPr>
            <w:tcW w:w="1158"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根据该区域主要热用户</w:t>
            </w:r>
            <w:r>
              <w:rPr>
                <w:rFonts w:ascii="Times New Roman" w:hAnsi="Times New Roman" w:eastAsia="仿宋_GB2312" w:cs="Times New Roman"/>
                <w:color w:val="000000"/>
                <w:kern w:val="0"/>
                <w:sz w:val="24"/>
                <w:szCs w:val="24"/>
              </w:rPr>
              <w:t>恒逸新材料</w:t>
            </w:r>
            <w:r>
              <w:rPr>
                <w:rFonts w:hint="eastAsia" w:ascii="Times New Roman" w:hAnsi="Times New Roman" w:eastAsia="仿宋_GB2312" w:cs="Times New Roman"/>
                <w:color w:val="000000"/>
                <w:kern w:val="0"/>
                <w:sz w:val="24"/>
                <w:szCs w:val="24"/>
              </w:rPr>
              <w:t>的热负荷需求，</w:t>
            </w:r>
            <w:r>
              <w:rPr>
                <w:rFonts w:hint="eastAsia" w:ascii="Times New Roman" w:hAnsi="Times New Roman" w:eastAsia="仿宋_GB2312" w:cs="Times New Roman"/>
                <w:sz w:val="24"/>
                <w:szCs w:val="24"/>
              </w:rPr>
              <w:t>统筹海宁市煤炭指标，对该热源点扩建装机规模进行了调整。</w:t>
            </w:r>
          </w:p>
        </w:tc>
      </w:tr>
    </w:tbl>
    <w:p>
      <w:pPr>
        <w:spacing w:before="156" w:beforeLines="50" w:line="580" w:lineRule="exact"/>
        <w:ind w:firstLine="556"/>
        <w:rPr>
          <w:rFonts w:ascii="Times New Roman" w:hAnsi="Times New Roman" w:eastAsia="仿宋_GB2312" w:cs="宋体"/>
          <w:sz w:val="28"/>
        </w:rPr>
        <w:sectPr>
          <w:pgSz w:w="16838" w:h="11906" w:orient="landscape"/>
          <w:pgMar w:top="1588" w:right="1474" w:bottom="1588" w:left="1701" w:header="851" w:footer="992" w:gutter="0"/>
          <w:cols w:space="425" w:num="1"/>
          <w:docGrid w:type="lines" w:linePitch="312" w:charSpace="0"/>
        </w:sectPr>
      </w:pPr>
    </w:p>
    <w:p>
      <w:pPr>
        <w:spacing w:before="156" w:beforeLines="50" w:line="580" w:lineRule="exact"/>
        <w:ind w:firstLine="556"/>
        <w:rPr>
          <w:rFonts w:ascii="Times New Roman" w:hAnsi="Times New Roman" w:eastAsia="仿宋_GB2312" w:cs="宋体"/>
          <w:sz w:val="28"/>
        </w:rPr>
      </w:pPr>
      <w:r>
        <w:rPr>
          <w:rFonts w:hint="eastAsia" w:ascii="Times New Roman" w:hAnsi="Times New Roman" w:eastAsia="仿宋_GB2312" w:cs="宋体"/>
          <w:sz w:val="28"/>
        </w:rPr>
        <w:t>然而，海宁市集中供热仍存在以下问题：</w:t>
      </w:r>
    </w:p>
    <w:p>
      <w:pPr>
        <w:spacing w:line="360" w:lineRule="auto"/>
        <w:ind w:firstLine="555"/>
        <w:rPr>
          <w:rFonts w:eastAsia="仿宋_GB2312" w:cs="宋体"/>
          <w:b/>
          <w:bCs/>
          <w:sz w:val="28"/>
        </w:rPr>
      </w:pPr>
      <w:r>
        <w:rPr>
          <w:rFonts w:hint="eastAsia" w:ascii="Times New Roman" w:hAnsi="Times New Roman" w:eastAsia="仿宋_GB2312" w:cs="宋体"/>
          <w:b/>
          <w:bCs/>
          <w:sz w:val="28"/>
        </w:rPr>
        <w:t>（</w:t>
      </w:r>
      <w:r>
        <w:rPr>
          <w:rFonts w:ascii="Times New Roman" w:hAnsi="Times New Roman" w:eastAsia="仿宋_GB2312" w:cs="宋体"/>
          <w:b/>
          <w:bCs/>
          <w:sz w:val="28"/>
        </w:rPr>
        <w:t>1</w:t>
      </w:r>
      <w:r>
        <w:rPr>
          <w:rFonts w:hint="eastAsia" w:ascii="Times New Roman" w:hAnsi="Times New Roman" w:eastAsia="仿宋_GB2312" w:cs="宋体"/>
          <w:b/>
          <w:bCs/>
          <w:sz w:val="28"/>
        </w:rPr>
        <w:t>）热电联产系统能源利用效率有待提升</w:t>
      </w:r>
    </w:p>
    <w:p>
      <w:pPr>
        <w:spacing w:line="580" w:lineRule="exact"/>
        <w:ind w:firstLine="556"/>
        <w:rPr>
          <w:rFonts w:ascii="Times New Roman" w:hAnsi="Times New Roman" w:eastAsia="仿宋_GB2312" w:cs="宋体"/>
          <w:sz w:val="28"/>
        </w:rPr>
      </w:pPr>
      <w:r>
        <w:rPr>
          <w:rFonts w:hint="eastAsia" w:ascii="Times New Roman" w:hAnsi="Times New Roman" w:eastAsia="仿宋_GB2312" w:cs="宋体"/>
          <w:sz w:val="28"/>
        </w:rPr>
        <w:t>海宁市部分热源点机组参数为次高温次高压等级，比如浙江宝峰热电公司、海宁马桥大都市热电公司、海宁市红宝热电有限公司等，能源利用效率相对较低。根据浙江省关于燃煤机组参数升级改造的要求，需要适时启动对次高温次高压参数的锅炉进行提效升级改造，以满足后续能耗指标及供热增长需求。此外，部分热源点供热能力裕量较大，缺乏稳定工业热负荷，比如浙江泰亿能源有限公司，由于其负责的供热范围周王庙镇产业发展方向发生较大变化，导致实际热负荷需求与设计能力存在较大差距、昼夜热负荷波动大，影响热力管网安全、经济运行。</w:t>
      </w:r>
    </w:p>
    <w:p>
      <w:pPr>
        <w:spacing w:line="360" w:lineRule="auto"/>
        <w:ind w:firstLine="555"/>
        <w:rPr>
          <w:rFonts w:ascii="Times New Roman" w:hAnsi="Times New Roman" w:eastAsia="仿宋_GB2312" w:cs="宋体"/>
          <w:b/>
          <w:bCs/>
          <w:sz w:val="28"/>
        </w:rPr>
      </w:pPr>
      <w:r>
        <w:rPr>
          <w:rFonts w:hint="eastAsia" w:ascii="Times New Roman" w:hAnsi="Times New Roman" w:eastAsia="仿宋_GB2312" w:cs="宋体"/>
          <w:b/>
          <w:bCs/>
          <w:sz w:val="28"/>
        </w:rPr>
        <w:t>（</w:t>
      </w:r>
      <w:r>
        <w:rPr>
          <w:rFonts w:ascii="Times New Roman" w:hAnsi="Times New Roman" w:eastAsia="仿宋_GB2312" w:cs="宋体"/>
          <w:b/>
          <w:bCs/>
          <w:sz w:val="28"/>
        </w:rPr>
        <w:t>2</w:t>
      </w:r>
      <w:r>
        <w:rPr>
          <w:rFonts w:hint="eastAsia" w:ascii="Times New Roman" w:hAnsi="Times New Roman" w:eastAsia="仿宋_GB2312" w:cs="宋体"/>
          <w:b/>
          <w:bCs/>
          <w:sz w:val="28"/>
        </w:rPr>
        <w:t>）天然气热电联产运营压力大</w:t>
      </w:r>
    </w:p>
    <w:p>
      <w:pPr>
        <w:spacing w:line="580" w:lineRule="exact"/>
        <w:ind w:firstLine="556"/>
        <w:rPr>
          <w:rFonts w:ascii="Times New Roman" w:hAnsi="Times New Roman" w:eastAsia="仿宋_GB2312" w:cs="宋体"/>
          <w:sz w:val="28"/>
        </w:rPr>
      </w:pPr>
      <w:r>
        <w:rPr>
          <w:rFonts w:hint="eastAsia" w:ascii="Times New Roman" w:hAnsi="Times New Roman" w:eastAsia="仿宋_GB2312" w:cs="宋体"/>
          <w:sz w:val="28"/>
        </w:rPr>
        <w:t>海宁市拥有</w:t>
      </w:r>
      <w:r>
        <w:rPr>
          <w:rFonts w:ascii="Times New Roman" w:hAnsi="Times New Roman" w:eastAsia="仿宋_GB2312" w:cs="宋体"/>
          <w:sz w:val="28"/>
        </w:rPr>
        <w:t>1</w:t>
      </w:r>
      <w:r>
        <w:rPr>
          <w:rFonts w:hint="eastAsia" w:ascii="Times New Roman" w:hAnsi="Times New Roman" w:eastAsia="仿宋_GB2312" w:cs="宋体"/>
          <w:sz w:val="28"/>
        </w:rPr>
        <w:t>家燃料类型为天然气的公共热源点，即海宁光耀热电有限公司，其两个能源站均使用天然气为燃料。相比于燃料类型为燃煤的公共热源点，海宁光耀热电有限公司因天然气价格高昂，导致公司的蒸汽价格较燃煤热电厂高5</w:t>
      </w:r>
      <w:r>
        <w:rPr>
          <w:rFonts w:ascii="Times New Roman" w:hAnsi="Times New Roman" w:eastAsia="仿宋_GB2312" w:cs="宋体"/>
          <w:sz w:val="28"/>
        </w:rPr>
        <w:t>0</w:t>
      </w:r>
      <w:r>
        <w:rPr>
          <w:rFonts w:hint="eastAsia" w:ascii="Times New Roman" w:hAnsi="Times New Roman" w:eastAsia="仿宋_GB2312" w:cs="宋体"/>
          <w:sz w:val="28"/>
        </w:rPr>
        <w:t>元/吨，在供热市场竞争力不足。浙江省天然气热电企业普遍存在一定的经营压力。</w:t>
      </w:r>
    </w:p>
    <w:p>
      <w:pPr>
        <w:spacing w:line="360" w:lineRule="auto"/>
        <w:ind w:firstLine="555"/>
        <w:rPr>
          <w:rFonts w:ascii="Times New Roman" w:hAnsi="Times New Roman" w:eastAsia="仿宋_GB2312" w:cs="宋体"/>
          <w:b/>
          <w:bCs/>
          <w:sz w:val="28"/>
        </w:rPr>
      </w:pPr>
      <w:r>
        <w:rPr>
          <w:rFonts w:hint="eastAsia" w:ascii="Times New Roman" w:hAnsi="Times New Roman" w:eastAsia="仿宋_GB2312" w:cs="宋体"/>
          <w:b/>
          <w:bCs/>
          <w:sz w:val="28"/>
        </w:rPr>
        <w:t>（</w:t>
      </w:r>
      <w:r>
        <w:rPr>
          <w:rFonts w:ascii="Times New Roman" w:hAnsi="Times New Roman" w:eastAsia="仿宋_GB2312" w:cs="宋体"/>
          <w:b/>
          <w:bCs/>
          <w:sz w:val="28"/>
        </w:rPr>
        <w:t>3</w:t>
      </w:r>
      <w:r>
        <w:rPr>
          <w:rFonts w:hint="eastAsia" w:ascii="Times New Roman" w:hAnsi="Times New Roman" w:eastAsia="仿宋_GB2312" w:cs="宋体"/>
          <w:b/>
          <w:bCs/>
          <w:sz w:val="28"/>
        </w:rPr>
        <w:t>）集中供热能力与产业布局不协调</w:t>
      </w:r>
    </w:p>
    <w:p>
      <w:pPr>
        <w:spacing w:line="580" w:lineRule="exact"/>
        <w:ind w:firstLine="560" w:firstLineChars="200"/>
        <w:rPr>
          <w:rFonts w:ascii="Times New Roman" w:hAnsi="Times New Roman" w:eastAsia="仿宋_GB2312" w:cs="宋体"/>
          <w:sz w:val="28"/>
        </w:rPr>
      </w:pPr>
      <w:r>
        <w:rPr>
          <w:rFonts w:hint="eastAsia" w:ascii="Times New Roman" w:hAnsi="Times New Roman" w:eastAsia="仿宋_GB2312" w:cs="宋体"/>
          <w:sz w:val="28"/>
        </w:rPr>
        <w:t>尖山新区将迎来快速发展，根据《海宁市制造业高质量发展“十四五”规划》，“十四五”时期尖山新区将打造“半导体基础材料产业园”，万凯新材料、恒逸新材料、晶科能源、钱江生物等一批重大项目将落地黄湾镇，当地热负荷需求将大幅增长，仅靠海宁恒逸热电有限公司进行供热保障存在较大压力。黄湾镇拥有一座垃圾焚烧厂，即海宁绿动海云环保能源有限公司，目前只发电不供热，能源利用效率不高，亟需对其进行供热改造，作为公共热电厂对尖山新区进行蒸汽供应补充。</w:t>
      </w:r>
    </w:p>
    <w:p>
      <w:pPr>
        <w:pStyle w:val="3"/>
        <w:spacing w:before="156" w:beforeLines="50"/>
      </w:pPr>
      <w:bookmarkStart w:id="174" w:name="_Toc188636892"/>
      <w:bookmarkStart w:id="175" w:name="_Toc312171458"/>
      <w:r>
        <w:t>3.2</w:t>
      </w:r>
      <w:r>
        <w:rPr>
          <w:rFonts w:hint="eastAsia"/>
        </w:rPr>
        <w:t>集中供热现状</w:t>
      </w:r>
      <w:bookmarkEnd w:id="174"/>
      <w:bookmarkEnd w:id="175"/>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截至2</w:t>
      </w:r>
      <w:r>
        <w:rPr>
          <w:rFonts w:ascii="Times New Roman" w:hAnsi="Times New Roman" w:eastAsia="仿宋_GB2312" w:cs="宋体"/>
        </w:rPr>
        <w:t>024</w:t>
      </w:r>
      <w:r>
        <w:rPr>
          <w:rFonts w:hint="eastAsia" w:ascii="Times New Roman" w:hAnsi="Times New Roman" w:eastAsia="仿宋_GB2312" w:cs="宋体"/>
        </w:rPr>
        <w:t>年底，海宁市现有公共热源点6家，分别为浙江宝峰热电有限公司、海宁马桥大都市热电有限公司、海宁光耀热电有限公司、海宁恒逸热电有限公司、海宁红宝热电有限公司、浙江泰亿能源有限公司，锅炉总蒸发量</w:t>
      </w:r>
      <w:r>
        <w:rPr>
          <w:rFonts w:ascii="Times New Roman" w:hAnsi="Times New Roman" w:eastAsia="仿宋_GB2312" w:cs="宋体"/>
        </w:rPr>
        <w:t>2080t/h，总装机容量166.5MW，对外最大供热能力1602t/h。已建供热管网300公里。共发展热用户570家，年售汽量710万吨。</w:t>
      </w:r>
    </w:p>
    <w:p>
      <w:pPr>
        <w:pStyle w:val="53"/>
        <w:spacing w:line="580" w:lineRule="exact"/>
        <w:ind w:firstLine="560"/>
        <w:rPr>
          <w:rFonts w:ascii="Times New Roman" w:hAnsi="Times New Roman" w:eastAsia="仿宋_GB2312" w:cs="宋体"/>
        </w:rPr>
      </w:pPr>
      <w:r>
        <w:rPr>
          <w:rFonts w:ascii="Times New Roman" w:hAnsi="Times New Roman" w:eastAsia="仿宋_GB2312" w:cs="宋体"/>
        </w:rPr>
        <w:t>各企业基本情况如下：</w:t>
      </w:r>
    </w:p>
    <w:p>
      <w:pPr>
        <w:pStyle w:val="4"/>
      </w:pPr>
      <w:bookmarkStart w:id="176" w:name="_Toc78117381"/>
      <w:bookmarkStart w:id="177" w:name="_Toc111225936"/>
      <w:bookmarkStart w:id="178" w:name="_Toc110595612"/>
      <w:bookmarkStart w:id="179" w:name="_Toc52265877"/>
      <w:bookmarkStart w:id="180" w:name="_Toc82546896"/>
      <w:bookmarkStart w:id="181" w:name="_Toc51232948"/>
      <w:bookmarkStart w:id="182" w:name="_Toc136514709"/>
      <w:bookmarkStart w:id="183" w:name="_Toc110677074"/>
      <w:bookmarkStart w:id="184" w:name="_Toc68800902"/>
      <w:bookmarkStart w:id="185" w:name="_Toc144301211"/>
      <w:bookmarkStart w:id="186" w:name="_Toc188636893"/>
      <w:bookmarkStart w:id="187" w:name="_Toc171197833"/>
      <w:bookmarkStart w:id="188" w:name="_Toc181983749"/>
      <w:bookmarkStart w:id="189" w:name="_Toc144300992"/>
      <w:bookmarkStart w:id="190" w:name="_Toc183631766"/>
      <w:r>
        <w:t>3.2.1</w:t>
      </w:r>
      <w:bookmarkEnd w:id="176"/>
      <w:bookmarkEnd w:id="177"/>
      <w:bookmarkEnd w:id="178"/>
      <w:bookmarkEnd w:id="179"/>
      <w:bookmarkEnd w:id="180"/>
      <w:bookmarkEnd w:id="181"/>
      <w:bookmarkEnd w:id="182"/>
      <w:bookmarkEnd w:id="183"/>
      <w:bookmarkEnd w:id="184"/>
      <w:r>
        <w:rPr>
          <w:rFonts w:hint="eastAsia"/>
        </w:rPr>
        <w:t>浙江宝峰热电有限公司</w:t>
      </w:r>
      <w:bookmarkEnd w:id="185"/>
      <w:bookmarkEnd w:id="186"/>
      <w:bookmarkEnd w:id="187"/>
      <w:bookmarkEnd w:id="188"/>
      <w:bookmarkEnd w:id="189"/>
      <w:bookmarkEnd w:id="190"/>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浙江宝峰热电公司位于浙江省嘉兴市海宁市许村镇孙桥村。目前规模为</w:t>
      </w:r>
      <w:r>
        <w:rPr>
          <w:rFonts w:ascii="Times New Roman" w:hAnsi="Times New Roman" w:eastAsia="仿宋_GB2312" w:cs="宋体"/>
        </w:rPr>
        <w:t>5炉4机组，即4台75t/h次高温次高压循环流化床锅炉</w:t>
      </w:r>
      <w:r>
        <w:rPr>
          <w:rFonts w:hint="eastAsia" w:ascii="Times New Roman" w:hAnsi="Times New Roman" w:eastAsia="仿宋_GB2312" w:cs="宋体"/>
        </w:rPr>
        <w:t>，</w:t>
      </w:r>
      <w:r>
        <w:rPr>
          <w:rFonts w:ascii="Times New Roman" w:hAnsi="Times New Roman" w:eastAsia="仿宋_GB2312" w:cs="宋体"/>
        </w:rPr>
        <w:t>1台130t/h高温高压循环流化床锅炉，</w:t>
      </w:r>
      <w:r>
        <w:rPr>
          <w:rFonts w:hint="eastAsia" w:ascii="Times New Roman" w:hAnsi="Times New Roman" w:eastAsia="仿宋_GB2312" w:cs="宋体"/>
        </w:rPr>
        <w:t>锅炉3</w:t>
      </w:r>
      <w:r>
        <w:rPr>
          <w:rFonts w:ascii="Times New Roman" w:hAnsi="Times New Roman" w:eastAsia="仿宋_GB2312" w:cs="宋体"/>
        </w:rPr>
        <w:t>用</w:t>
      </w:r>
      <w:r>
        <w:rPr>
          <w:rFonts w:hint="eastAsia" w:ascii="Times New Roman" w:hAnsi="Times New Roman" w:eastAsia="仿宋_GB2312" w:cs="宋体"/>
        </w:rPr>
        <w:t>2</w:t>
      </w:r>
      <w:r>
        <w:rPr>
          <w:rFonts w:ascii="Times New Roman" w:hAnsi="Times New Roman" w:eastAsia="仿宋_GB2312" w:cs="宋体"/>
        </w:rPr>
        <w:t>备</w:t>
      </w:r>
      <w:r>
        <w:rPr>
          <w:rFonts w:hint="eastAsia" w:ascii="Times New Roman" w:hAnsi="Times New Roman" w:eastAsia="仿宋_GB2312" w:cs="宋体"/>
        </w:rPr>
        <w:t>；</w:t>
      </w:r>
      <w:r>
        <w:rPr>
          <w:rFonts w:ascii="Times New Roman" w:hAnsi="Times New Roman" w:eastAsia="仿宋_GB2312" w:cs="宋体"/>
        </w:rPr>
        <w:t>1</w:t>
      </w:r>
      <w:r>
        <w:rPr>
          <w:rFonts w:hint="eastAsia" w:ascii="Times New Roman" w:hAnsi="Times New Roman" w:eastAsia="仿宋_GB2312" w:cs="宋体"/>
        </w:rPr>
        <w:t>台</w:t>
      </w:r>
      <w:r>
        <w:rPr>
          <w:rFonts w:ascii="Times New Roman" w:hAnsi="Times New Roman" w:eastAsia="仿宋_GB2312" w:cs="宋体"/>
        </w:rPr>
        <w:t>12MW次高温次高压抽凝式汽轮发电机组、1</w:t>
      </w:r>
      <w:r>
        <w:rPr>
          <w:rFonts w:hint="eastAsia" w:ascii="Times New Roman" w:hAnsi="Times New Roman" w:eastAsia="仿宋_GB2312" w:cs="宋体"/>
        </w:rPr>
        <w:t>台</w:t>
      </w:r>
      <w:r>
        <w:rPr>
          <w:rFonts w:ascii="Times New Roman" w:hAnsi="Times New Roman" w:eastAsia="仿宋_GB2312" w:cs="宋体"/>
        </w:rPr>
        <w:t>6MW次高温次高压背压式汽轮发电机组、1</w:t>
      </w:r>
      <w:r>
        <w:rPr>
          <w:rFonts w:hint="eastAsia" w:ascii="Times New Roman" w:hAnsi="Times New Roman" w:eastAsia="仿宋_GB2312" w:cs="宋体"/>
        </w:rPr>
        <w:t>台</w:t>
      </w:r>
      <w:r>
        <w:rPr>
          <w:rFonts w:ascii="Times New Roman" w:hAnsi="Times New Roman" w:eastAsia="仿宋_GB2312" w:cs="宋体"/>
        </w:rPr>
        <w:t>7MW次高温次高压背压式汽轮发电机组、1</w:t>
      </w:r>
      <w:r>
        <w:rPr>
          <w:rFonts w:hint="eastAsia" w:ascii="Times New Roman" w:hAnsi="Times New Roman" w:eastAsia="仿宋_GB2312" w:cs="宋体"/>
        </w:rPr>
        <w:t>台</w:t>
      </w:r>
      <w:r>
        <w:rPr>
          <w:rFonts w:ascii="Times New Roman" w:hAnsi="Times New Roman" w:eastAsia="仿宋_GB2312" w:cs="宋体"/>
        </w:rPr>
        <w:t>15MW高温高压抽气背压式汽轮发电机组，汽机</w:t>
      </w:r>
      <w:r>
        <w:rPr>
          <w:rFonts w:hint="eastAsia" w:ascii="Times New Roman" w:hAnsi="Times New Roman" w:eastAsia="仿宋_GB2312" w:cs="宋体"/>
        </w:rPr>
        <w:t>3</w:t>
      </w:r>
      <w:r>
        <w:rPr>
          <w:rFonts w:ascii="Times New Roman" w:hAnsi="Times New Roman" w:eastAsia="仿宋_GB2312" w:cs="宋体"/>
        </w:rPr>
        <w:t>用</w:t>
      </w:r>
      <w:r>
        <w:rPr>
          <w:rFonts w:hint="eastAsia" w:ascii="Times New Roman" w:hAnsi="Times New Roman" w:eastAsia="仿宋_GB2312" w:cs="宋体"/>
        </w:rPr>
        <w:t>1</w:t>
      </w:r>
      <w:r>
        <w:rPr>
          <w:rFonts w:ascii="Times New Roman" w:hAnsi="Times New Roman" w:eastAsia="仿宋_GB2312" w:cs="宋体"/>
        </w:rPr>
        <w:t>备</w:t>
      </w:r>
      <w:r>
        <w:rPr>
          <w:rFonts w:hint="eastAsia" w:ascii="Times New Roman" w:hAnsi="Times New Roman" w:eastAsia="仿宋_GB2312" w:cs="宋体"/>
        </w:rPr>
        <w:t>。</w:t>
      </w:r>
      <w:r>
        <w:rPr>
          <w:rFonts w:ascii="Times New Roman" w:hAnsi="Times New Roman" w:eastAsia="仿宋_GB2312" w:cs="宋体"/>
        </w:rPr>
        <w:t>锅炉总容量430t/h</w:t>
      </w:r>
      <w:r>
        <w:rPr>
          <w:rFonts w:hint="eastAsia" w:ascii="Times New Roman" w:hAnsi="Times New Roman" w:eastAsia="仿宋_GB2312" w:cs="宋体"/>
        </w:rPr>
        <w:t>，</w:t>
      </w:r>
      <w:r>
        <w:rPr>
          <w:rFonts w:ascii="Times New Roman" w:hAnsi="Times New Roman" w:eastAsia="仿宋_GB2312" w:cs="宋体"/>
        </w:rPr>
        <w:t>装机总容量40MW。公司日常供热能力220t/h</w:t>
      </w:r>
      <w:r>
        <w:rPr>
          <w:rFonts w:hint="eastAsia" w:ascii="Times New Roman" w:hAnsi="Times New Roman" w:eastAsia="仿宋_GB2312" w:cs="宋体"/>
        </w:rPr>
        <w:t>，最大供热能力</w:t>
      </w:r>
      <w:r>
        <w:rPr>
          <w:rFonts w:ascii="Times New Roman" w:hAnsi="Times New Roman" w:eastAsia="仿宋_GB2312" w:cs="宋体"/>
        </w:rPr>
        <w:t>360t/h。</w:t>
      </w:r>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浙江宝峰热电有限公司供热范围为许村镇，目前供热边界东至沈士工业区、西至前进工业区，南到宏达高科、许巷工业区，翁许路、景许路工业区，北至荡湾印染、陈氏印染等区域，</w:t>
      </w:r>
      <w:r>
        <w:rPr>
          <w:rFonts w:ascii="Times New Roman" w:hAnsi="Times New Roman" w:eastAsia="仿宋_GB2312" w:cs="宋体"/>
        </w:rPr>
        <w:t>已建成热网管线约60公里。</w:t>
      </w:r>
      <w:r>
        <w:rPr>
          <w:rFonts w:hint="eastAsia" w:ascii="Times New Roman" w:hAnsi="Times New Roman" w:eastAsia="仿宋_GB2312" w:cs="宋体"/>
        </w:rPr>
        <w:t>公司主要提供低压、中压蒸汽，其中低压蒸汽温度为</w:t>
      </w:r>
      <w:r>
        <w:rPr>
          <w:rFonts w:ascii="Times New Roman" w:hAnsi="Times New Roman" w:eastAsia="仿宋_GB2312" w:cs="宋体"/>
        </w:rPr>
        <w:t>300℃，压力0.8MPa；中压蒸汽温度为380℃，压力3.5MPa。2024年公司拥有125</w:t>
      </w:r>
      <w:r>
        <w:rPr>
          <w:rFonts w:hint="eastAsia" w:ascii="Times New Roman" w:hAnsi="Times New Roman" w:eastAsia="仿宋_GB2312" w:cs="宋体"/>
        </w:rPr>
        <w:t>家</w:t>
      </w:r>
      <w:r>
        <w:rPr>
          <w:rFonts w:ascii="Times New Roman" w:hAnsi="Times New Roman" w:eastAsia="仿宋_GB2312" w:cs="宋体"/>
        </w:rPr>
        <w:t>热用户，主要为纺织</w:t>
      </w:r>
      <w:r>
        <w:rPr>
          <w:rFonts w:hint="eastAsia" w:ascii="Times New Roman" w:hAnsi="Times New Roman" w:eastAsia="仿宋_GB2312" w:cs="宋体"/>
        </w:rPr>
        <w:t>、</w:t>
      </w:r>
      <w:r>
        <w:rPr>
          <w:rFonts w:ascii="Times New Roman" w:hAnsi="Times New Roman" w:eastAsia="仿宋_GB2312" w:cs="宋体"/>
        </w:rPr>
        <w:t>印染</w:t>
      </w:r>
      <w:r>
        <w:rPr>
          <w:rFonts w:hint="eastAsia" w:ascii="Times New Roman" w:hAnsi="Times New Roman" w:eastAsia="仿宋_GB2312" w:cs="宋体"/>
        </w:rPr>
        <w:t>、</w:t>
      </w:r>
      <w:r>
        <w:rPr>
          <w:rFonts w:ascii="Times New Roman" w:hAnsi="Times New Roman" w:eastAsia="仿宋_GB2312" w:cs="宋体"/>
        </w:rPr>
        <w:t>服装</w:t>
      </w:r>
      <w:r>
        <w:rPr>
          <w:rFonts w:hint="eastAsia" w:ascii="Times New Roman" w:hAnsi="Times New Roman" w:eastAsia="仿宋_GB2312" w:cs="宋体"/>
        </w:rPr>
        <w:t>等</w:t>
      </w:r>
      <w:r>
        <w:rPr>
          <w:rFonts w:ascii="Times New Roman" w:hAnsi="Times New Roman" w:eastAsia="仿宋_GB2312" w:cs="宋体"/>
        </w:rPr>
        <w:t>行业的企业</w:t>
      </w:r>
      <w:r>
        <w:rPr>
          <w:rFonts w:hint="eastAsia" w:ascii="Times New Roman" w:hAnsi="Times New Roman" w:eastAsia="仿宋_GB2312" w:cs="宋体"/>
        </w:rPr>
        <w:t>，低压蒸汽平均热负荷合计</w:t>
      </w:r>
      <w:r>
        <w:rPr>
          <w:rFonts w:ascii="Times New Roman" w:hAnsi="Times New Roman" w:eastAsia="仿宋_GB2312" w:cs="宋体"/>
        </w:rPr>
        <w:t>163</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301.5</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；中压蒸汽平均热负荷</w:t>
      </w:r>
      <w:r>
        <w:rPr>
          <w:rFonts w:ascii="Times New Roman" w:hAnsi="Times New Roman" w:eastAsia="仿宋_GB2312" w:cs="宋体"/>
        </w:rPr>
        <w:t>13.5</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29</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w:t>
      </w:r>
      <w:r>
        <w:rPr>
          <w:rFonts w:ascii="Times New Roman" w:hAnsi="Times New Roman" w:eastAsia="仿宋_GB2312" w:cs="宋体"/>
        </w:rPr>
        <w:t>全年售汽量131.67万吨</w:t>
      </w:r>
      <w:r>
        <w:rPr>
          <w:rFonts w:hint="eastAsia" w:ascii="Times New Roman" w:hAnsi="Times New Roman" w:eastAsia="仿宋_GB2312" w:cs="宋体"/>
        </w:rPr>
        <w:t>，其中低压蒸汽</w:t>
      </w:r>
      <w:r>
        <w:rPr>
          <w:rFonts w:ascii="Times New Roman" w:hAnsi="Times New Roman" w:eastAsia="仿宋_GB2312" w:cs="宋体"/>
        </w:rPr>
        <w:t>124.63万吨，中压蒸汽7.04万吨。</w:t>
      </w:r>
      <w:r>
        <w:rPr>
          <w:rFonts w:hint="eastAsia" w:ascii="Times New Roman" w:hAnsi="Times New Roman" w:eastAsia="仿宋_GB2312" w:cs="宋体"/>
        </w:rPr>
        <w:t>2</w:t>
      </w:r>
      <w:r>
        <w:rPr>
          <w:rFonts w:ascii="Times New Roman" w:hAnsi="Times New Roman" w:eastAsia="仿宋_GB2312" w:cs="宋体"/>
        </w:rPr>
        <w:t>024</w:t>
      </w:r>
      <w:r>
        <w:rPr>
          <w:rFonts w:hint="eastAsia" w:ascii="Times New Roman" w:hAnsi="Times New Roman" w:eastAsia="仿宋_GB2312" w:cs="宋体"/>
        </w:rPr>
        <w:t>年公司年耗标煤量</w:t>
      </w:r>
      <w:r>
        <w:rPr>
          <w:rFonts w:ascii="Times New Roman" w:hAnsi="Times New Roman" w:eastAsia="仿宋_GB2312" w:cs="宋体"/>
        </w:rPr>
        <w:t>18.29</w:t>
      </w:r>
      <w:r>
        <w:rPr>
          <w:rFonts w:hint="eastAsia" w:ascii="Times New Roman" w:hAnsi="Times New Roman" w:eastAsia="仿宋_GB2312" w:cs="宋体"/>
        </w:rPr>
        <w:t>万吨标煤，二氧化硫排放量</w:t>
      </w:r>
      <w:r>
        <w:rPr>
          <w:rFonts w:ascii="Times New Roman" w:hAnsi="Times New Roman" w:eastAsia="仿宋_GB2312" w:cs="宋体"/>
        </w:rPr>
        <w:t>17.27</w:t>
      </w:r>
      <w:r>
        <w:rPr>
          <w:rFonts w:hint="eastAsia" w:ascii="Times New Roman" w:hAnsi="Times New Roman" w:eastAsia="仿宋_GB2312" w:cs="宋体"/>
        </w:rPr>
        <w:t>吨，氮氧化物排放量</w:t>
      </w:r>
      <w:r>
        <w:rPr>
          <w:rFonts w:ascii="Times New Roman" w:hAnsi="Times New Roman" w:eastAsia="仿宋_GB2312" w:cs="宋体"/>
        </w:rPr>
        <w:t>40.18</w:t>
      </w:r>
      <w:r>
        <w:rPr>
          <w:rFonts w:hint="eastAsia" w:ascii="Times New Roman" w:hAnsi="Times New Roman" w:eastAsia="仿宋_GB2312" w:cs="宋体"/>
        </w:rPr>
        <w:t>吨，粉尘排放量</w:t>
      </w:r>
      <w:r>
        <w:rPr>
          <w:rFonts w:ascii="Times New Roman" w:hAnsi="Times New Roman" w:eastAsia="仿宋_GB2312" w:cs="宋体"/>
        </w:rPr>
        <w:t>1.94</w:t>
      </w:r>
      <w:r>
        <w:rPr>
          <w:rFonts w:hint="eastAsia" w:ascii="Times New Roman" w:hAnsi="Times New Roman" w:eastAsia="仿宋_GB2312" w:cs="宋体"/>
        </w:rPr>
        <w:t>吨。</w:t>
      </w:r>
    </w:p>
    <w:p>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表3.2.1-1 </w:t>
      </w:r>
      <w:r>
        <w:rPr>
          <w:rFonts w:hint="eastAsia" w:ascii="黑体" w:hAnsi="黑体" w:eastAsia="黑体" w:cs="Times New Roman"/>
          <w:sz w:val="28"/>
          <w:szCs w:val="24"/>
        </w:rPr>
        <w:t>浙江宝峰热电有限公司</w:t>
      </w:r>
      <w:r>
        <w:rPr>
          <w:rFonts w:ascii="黑体" w:hAnsi="黑体" w:eastAsia="黑体" w:cs="Times New Roman"/>
          <w:sz w:val="28"/>
          <w:szCs w:val="24"/>
        </w:rPr>
        <w:t>机组规模情况</w:t>
      </w:r>
    </w:p>
    <w:tbl>
      <w:tblPr>
        <w:tblStyle w:val="24"/>
        <w:tblW w:w="5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082"/>
        <w:gridCol w:w="1191"/>
        <w:gridCol w:w="620"/>
        <w:gridCol w:w="2070"/>
        <w:gridCol w:w="1278"/>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tc>
        <w:tc>
          <w:tcPr>
            <w:tcW w:w="1138"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51"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容量（t/h）</w:t>
            </w:r>
          </w:p>
        </w:tc>
        <w:tc>
          <w:tcPr>
            <w:tcW w:w="33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tc>
        <w:tc>
          <w:tcPr>
            <w:tcW w:w="1132"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9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p>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容量（MW）</w:t>
            </w:r>
          </w:p>
        </w:tc>
        <w:tc>
          <w:tcPr>
            <w:tcW w:w="67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排汽</w:t>
            </w:r>
          </w:p>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参数</w:t>
            </w:r>
          </w:p>
          <w:p>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UG-75/5.3-M19</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C12-4.90/0.981</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12</w:t>
            </w:r>
          </w:p>
        </w:tc>
        <w:tc>
          <w:tcPr>
            <w:tcW w:w="679" w:type="pct"/>
            <w:shd w:val="clear" w:color="auto" w:fill="auto"/>
            <w:noWrap/>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0.98/270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UG-75/5.3-M19</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B6-4.90/0.981</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6</w:t>
            </w:r>
          </w:p>
        </w:tc>
        <w:tc>
          <w:tcPr>
            <w:tcW w:w="679" w:type="pct"/>
            <w:shd w:val="clear" w:color="auto" w:fill="auto"/>
            <w:noWrap/>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0.981/270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B7-4.90/0.98</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w:t>
            </w:r>
          </w:p>
        </w:tc>
        <w:tc>
          <w:tcPr>
            <w:tcW w:w="679" w:type="pct"/>
            <w:shd w:val="clear" w:color="auto" w:fill="auto"/>
            <w:noWrap/>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0.98/270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CB15-8.83/4.0/0.981</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15</w:t>
            </w:r>
          </w:p>
        </w:tc>
        <w:tc>
          <w:tcPr>
            <w:tcW w:w="679" w:type="pct"/>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sz w:val="24"/>
                <w:szCs w:val="24"/>
              </w:rPr>
              <w:t>0.981/274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UG-130/9.8-M</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130</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pPr>
              <w:rPr>
                <w:rFonts w:ascii="Times New Roman" w:hAnsi="Times New Roman" w:eastAsia="仿宋_GB2312" w:cs="Times New Roman"/>
                <w:kern w:val="0"/>
                <w:sz w:val="24"/>
                <w:szCs w:val="24"/>
              </w:rPr>
            </w:pPr>
          </w:p>
        </w:tc>
      </w:tr>
    </w:tbl>
    <w:p>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表3.2.1-2 </w:t>
      </w:r>
      <w:r>
        <w:rPr>
          <w:rFonts w:hint="eastAsia" w:ascii="黑体" w:hAnsi="黑体" w:eastAsia="黑体" w:cs="Times New Roman"/>
          <w:sz w:val="28"/>
          <w:szCs w:val="24"/>
        </w:rPr>
        <w:t>浙江宝峰热电有限公司</w:t>
      </w:r>
      <w:r>
        <w:rPr>
          <w:rFonts w:ascii="黑体" w:hAnsi="黑体" w:eastAsia="黑体" w:cs="Times New Roman"/>
          <w:sz w:val="28"/>
          <w:szCs w:val="24"/>
        </w:rPr>
        <w:t>现有主要热用户情况</w:t>
      </w:r>
    </w:p>
    <w:tbl>
      <w:tblPr>
        <w:tblStyle w:val="24"/>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0" w:hRule="atLeast"/>
          <w:tblHeader/>
          <w:jc w:val="center"/>
        </w:trPr>
        <w:tc>
          <w:tcPr>
            <w:tcW w:w="6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52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600" w:type="dxa"/>
            <w:gridSpan w:val="7"/>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陈氏印染</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荡湾印染</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宏达高科</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伟龙印染</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孙桥印染</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团结印染</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金能达</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恒生印染</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振海印染</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利得宝印染</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华德利印染</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利明印染</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月兔食品</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杭海智创园</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其他用户</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p>
        </w:tc>
        <w:tc>
          <w:tcPr>
            <w:tcW w:w="152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低压蒸汽合计</w:t>
            </w:r>
          </w:p>
        </w:tc>
        <w:tc>
          <w:tcPr>
            <w:tcW w:w="12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163</w:t>
            </w:r>
          </w:p>
        </w:tc>
        <w:tc>
          <w:tcPr>
            <w:tcW w:w="12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301.5</w:t>
            </w:r>
          </w:p>
        </w:tc>
        <w:tc>
          <w:tcPr>
            <w:tcW w:w="12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97</w:t>
            </w:r>
          </w:p>
        </w:tc>
        <w:tc>
          <w:tcPr>
            <w:tcW w:w="12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00" w:type="dxa"/>
            <w:gridSpan w:val="7"/>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中压蒸汽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6</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海龙建材</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7</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陈氏印染</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8</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宏达高科</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9</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金鼎</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0</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弘浪纺织</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210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1</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嘉利和</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210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2</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金永久</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6</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210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3</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金达</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210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4</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孙桥印染</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210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p>
        </w:tc>
        <w:tc>
          <w:tcPr>
            <w:tcW w:w="152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中压蒸汽合计</w:t>
            </w:r>
          </w:p>
        </w:tc>
        <w:tc>
          <w:tcPr>
            <w:tcW w:w="12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13.5</w:t>
            </w:r>
          </w:p>
        </w:tc>
        <w:tc>
          <w:tcPr>
            <w:tcW w:w="12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29</w:t>
            </w:r>
          </w:p>
        </w:tc>
        <w:tc>
          <w:tcPr>
            <w:tcW w:w="12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7.7</w:t>
            </w:r>
          </w:p>
        </w:tc>
        <w:tc>
          <w:tcPr>
            <w:tcW w:w="12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p>
        </w:tc>
        <w:tc>
          <w:tcPr>
            <w:tcW w:w="152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合计（低压+中压）</w:t>
            </w:r>
          </w:p>
        </w:tc>
        <w:tc>
          <w:tcPr>
            <w:tcW w:w="12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176.5</w:t>
            </w:r>
          </w:p>
        </w:tc>
        <w:tc>
          <w:tcPr>
            <w:tcW w:w="12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330.5</w:t>
            </w:r>
          </w:p>
        </w:tc>
        <w:tc>
          <w:tcPr>
            <w:tcW w:w="12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104.7</w:t>
            </w:r>
          </w:p>
        </w:tc>
        <w:tc>
          <w:tcPr>
            <w:tcW w:w="12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p>
        </w:tc>
      </w:tr>
    </w:tbl>
    <w:p>
      <w:pPr>
        <w:pStyle w:val="4"/>
        <w:spacing w:before="156" w:beforeLines="50"/>
      </w:pPr>
      <w:bookmarkStart w:id="191" w:name="_Toc144300993"/>
      <w:bookmarkStart w:id="192" w:name="_Toc183631767"/>
      <w:bookmarkStart w:id="193" w:name="_Toc181983750"/>
      <w:bookmarkStart w:id="194" w:name="_Toc144301212"/>
      <w:bookmarkStart w:id="195" w:name="_Toc171197834"/>
      <w:bookmarkStart w:id="196" w:name="_Toc188636894"/>
      <w:r>
        <w:t>3.2.2</w:t>
      </w:r>
      <w:r>
        <w:rPr>
          <w:rFonts w:hint="eastAsia"/>
        </w:rPr>
        <w:t>海宁马桥大都市热电有限公司</w:t>
      </w:r>
      <w:bookmarkEnd w:id="191"/>
      <w:bookmarkEnd w:id="192"/>
      <w:bookmarkEnd w:id="193"/>
      <w:bookmarkEnd w:id="194"/>
      <w:bookmarkEnd w:id="195"/>
      <w:bookmarkEnd w:id="196"/>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海宁马桥大都市热电有限公司位于浙江省嘉兴市海宁市马桥街道经都七路</w:t>
      </w:r>
      <w:r>
        <w:rPr>
          <w:rFonts w:ascii="Times New Roman" w:hAnsi="Times New Roman" w:eastAsia="仿宋_GB2312" w:cs="宋体"/>
        </w:rPr>
        <w:t>22号。目前规模5炉4机组，即4台75t/h次高温</w:t>
      </w:r>
      <w:r>
        <w:rPr>
          <w:rFonts w:hint="eastAsia" w:ascii="Times New Roman" w:hAnsi="Times New Roman" w:eastAsia="仿宋_GB2312" w:cs="宋体"/>
        </w:rPr>
        <w:t>次</w:t>
      </w:r>
      <w:r>
        <w:rPr>
          <w:rFonts w:ascii="Times New Roman" w:hAnsi="Times New Roman" w:eastAsia="仿宋_GB2312" w:cs="宋体"/>
        </w:rPr>
        <w:t>高压循环流化床锅炉和1台150t/h高温高压循环流化床锅炉</w:t>
      </w:r>
      <w:r>
        <w:rPr>
          <w:rFonts w:hint="eastAsia" w:ascii="Times New Roman" w:hAnsi="Times New Roman" w:eastAsia="仿宋_GB2312" w:cs="宋体"/>
        </w:rPr>
        <w:t>，</w:t>
      </w:r>
      <w:r>
        <w:rPr>
          <w:rFonts w:ascii="Times New Roman" w:hAnsi="Times New Roman" w:eastAsia="仿宋_GB2312" w:cs="宋体"/>
        </w:rPr>
        <w:t>锅炉4用1备，其中备用锅炉75t/h</w:t>
      </w:r>
      <w:r>
        <w:rPr>
          <w:rFonts w:hint="eastAsia" w:ascii="Times New Roman" w:hAnsi="Times New Roman" w:eastAsia="仿宋_GB2312" w:cs="宋体"/>
        </w:rPr>
        <w:t>；1</w:t>
      </w:r>
      <w:r>
        <w:rPr>
          <w:rFonts w:ascii="Times New Roman" w:hAnsi="Times New Roman" w:eastAsia="仿宋_GB2312" w:cs="宋体"/>
        </w:rPr>
        <w:t>套12MW次高温次高压抽凝式汽轮发电机组、</w:t>
      </w:r>
      <w:r>
        <w:rPr>
          <w:rFonts w:hint="eastAsia" w:ascii="Times New Roman" w:hAnsi="Times New Roman" w:eastAsia="仿宋_GB2312" w:cs="宋体"/>
        </w:rPr>
        <w:t>1</w:t>
      </w:r>
      <w:r>
        <w:rPr>
          <w:rFonts w:ascii="Times New Roman" w:hAnsi="Times New Roman" w:eastAsia="仿宋_GB2312" w:cs="宋体"/>
        </w:rPr>
        <w:t>套6MW次高温次高压背压式汽轮发电机组、</w:t>
      </w:r>
      <w:r>
        <w:rPr>
          <w:rFonts w:hint="eastAsia" w:ascii="Times New Roman" w:hAnsi="Times New Roman" w:eastAsia="仿宋_GB2312" w:cs="宋体"/>
        </w:rPr>
        <w:t>1</w:t>
      </w:r>
      <w:r>
        <w:rPr>
          <w:rFonts w:ascii="Times New Roman" w:hAnsi="Times New Roman" w:eastAsia="仿宋_GB2312" w:cs="宋体"/>
        </w:rPr>
        <w:t>套7MW次高温次高压背压式汽轮发电机组及</w:t>
      </w:r>
      <w:r>
        <w:rPr>
          <w:rFonts w:hint="eastAsia" w:ascii="Times New Roman" w:hAnsi="Times New Roman" w:eastAsia="仿宋_GB2312" w:cs="宋体"/>
        </w:rPr>
        <w:t>1</w:t>
      </w:r>
      <w:r>
        <w:rPr>
          <w:rFonts w:ascii="Times New Roman" w:hAnsi="Times New Roman" w:eastAsia="仿宋_GB2312" w:cs="宋体"/>
        </w:rPr>
        <w:t>套20MW高温高压背压式汽轮发电机组，汽机3用1备，其中备用汽机容量12MW</w:t>
      </w:r>
      <w:r>
        <w:rPr>
          <w:rFonts w:hint="eastAsia" w:ascii="Times New Roman" w:hAnsi="Times New Roman" w:eastAsia="仿宋_GB2312" w:cs="宋体"/>
        </w:rPr>
        <w:t>。</w:t>
      </w:r>
      <w:r>
        <w:rPr>
          <w:rFonts w:ascii="Times New Roman" w:hAnsi="Times New Roman" w:eastAsia="仿宋_GB2312" w:cs="宋体"/>
        </w:rPr>
        <w:t>锅炉总容量450t/h，总装机容量45MW。公司日常</w:t>
      </w:r>
      <w:r>
        <w:rPr>
          <w:rFonts w:hint="eastAsia" w:ascii="Times New Roman" w:hAnsi="Times New Roman" w:eastAsia="仿宋_GB2312" w:cs="宋体"/>
        </w:rPr>
        <w:t>供热能力为</w:t>
      </w:r>
      <w:r>
        <w:rPr>
          <w:rFonts w:ascii="Times New Roman" w:hAnsi="Times New Roman" w:eastAsia="仿宋_GB2312" w:cs="宋体"/>
        </w:rPr>
        <w:t>280t/h，最大供热</w:t>
      </w:r>
      <w:r>
        <w:rPr>
          <w:rFonts w:hint="eastAsia" w:ascii="Times New Roman" w:hAnsi="Times New Roman" w:eastAsia="仿宋_GB2312" w:cs="宋体"/>
        </w:rPr>
        <w:t>能力达</w:t>
      </w:r>
      <w:r>
        <w:rPr>
          <w:rFonts w:ascii="Times New Roman" w:hAnsi="Times New Roman" w:eastAsia="仿宋_GB2312" w:cs="宋体"/>
        </w:rPr>
        <w:t>360t/h。</w:t>
      </w:r>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海宁马桥大都市热电有限公司供热范围为马桥街道、丁桥镇、斜桥镇铁路以南区域、海洲街道铁路以南区域，目前供热边界东至海昌路、西至桐九公路西侧、南至和平路、北至老硖斜公路。</w:t>
      </w:r>
      <w:r>
        <w:rPr>
          <w:rFonts w:ascii="Times New Roman" w:hAnsi="Times New Roman" w:eastAsia="仿宋_GB2312" w:cs="宋体"/>
        </w:rPr>
        <w:t>2024年公司拥有130家热用户，主要为印染行业的企业。2024年已建成热网</w:t>
      </w:r>
      <w:r>
        <w:rPr>
          <w:rFonts w:hint="eastAsia" w:ascii="Times New Roman" w:hAnsi="Times New Roman" w:eastAsia="仿宋_GB2312" w:cs="宋体"/>
        </w:rPr>
        <w:t>约</w:t>
      </w:r>
      <w:r>
        <w:rPr>
          <w:rFonts w:ascii="Times New Roman" w:hAnsi="Times New Roman" w:eastAsia="仿宋_GB2312" w:cs="宋体"/>
        </w:rPr>
        <w:t>100公里管线。</w:t>
      </w:r>
      <w:r>
        <w:rPr>
          <w:rFonts w:hint="eastAsia" w:ascii="Times New Roman" w:hAnsi="Times New Roman" w:eastAsia="仿宋_GB2312" w:cs="宋体"/>
        </w:rPr>
        <w:t>公司主要提供低压、中压蒸汽，其中低压蒸汽温度为</w:t>
      </w:r>
      <w:r>
        <w:rPr>
          <w:rFonts w:ascii="Times New Roman" w:hAnsi="Times New Roman" w:eastAsia="仿宋_GB2312" w:cs="宋体"/>
        </w:rPr>
        <w:t>280℃，压力0.85MPa；中压蒸汽温度为330℃，压力3.0MPa。2024年公司拥有130</w:t>
      </w:r>
      <w:r>
        <w:rPr>
          <w:rFonts w:hint="eastAsia" w:ascii="Times New Roman" w:hAnsi="Times New Roman" w:eastAsia="仿宋_GB2312" w:cs="宋体"/>
        </w:rPr>
        <w:t>家</w:t>
      </w:r>
      <w:r>
        <w:rPr>
          <w:rFonts w:ascii="Times New Roman" w:hAnsi="Times New Roman" w:eastAsia="仿宋_GB2312" w:cs="宋体"/>
        </w:rPr>
        <w:t>热用户，</w:t>
      </w:r>
      <w:r>
        <w:rPr>
          <w:rFonts w:hint="eastAsia" w:ascii="Times New Roman" w:hAnsi="Times New Roman" w:eastAsia="仿宋_GB2312" w:cs="宋体"/>
        </w:rPr>
        <w:t>低压蒸汽平均热负荷合计</w:t>
      </w:r>
      <w:r>
        <w:rPr>
          <w:rFonts w:ascii="Times New Roman" w:hAnsi="Times New Roman" w:eastAsia="仿宋_GB2312" w:cs="宋体"/>
        </w:rPr>
        <w:t>250.6</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465.2</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；中压蒸汽平均热负荷</w:t>
      </w:r>
      <w:r>
        <w:rPr>
          <w:rFonts w:ascii="Times New Roman" w:hAnsi="Times New Roman" w:eastAsia="仿宋_GB2312" w:cs="宋体"/>
        </w:rPr>
        <w:t>56.7</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77.9</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。公司</w:t>
      </w:r>
      <w:r>
        <w:rPr>
          <w:rFonts w:ascii="Times New Roman" w:hAnsi="Times New Roman" w:eastAsia="仿宋_GB2312" w:cs="宋体"/>
        </w:rPr>
        <w:t>全年售汽量138.27万吨</w:t>
      </w:r>
      <w:r>
        <w:rPr>
          <w:rFonts w:hint="eastAsia" w:ascii="Times New Roman" w:hAnsi="Times New Roman" w:eastAsia="仿宋_GB2312" w:cs="宋体"/>
        </w:rPr>
        <w:t>，其中低压蒸汽</w:t>
      </w:r>
      <w:r>
        <w:rPr>
          <w:rFonts w:ascii="Times New Roman" w:hAnsi="Times New Roman" w:eastAsia="仿宋_GB2312" w:cs="宋体"/>
        </w:rPr>
        <w:t>117.76万吨，中压蒸汽20.51万吨。</w:t>
      </w:r>
      <w:r>
        <w:rPr>
          <w:rFonts w:hint="eastAsia" w:ascii="Times New Roman" w:hAnsi="Times New Roman" w:eastAsia="仿宋_GB2312" w:cs="宋体"/>
        </w:rPr>
        <w:t>2</w:t>
      </w:r>
      <w:r>
        <w:rPr>
          <w:rFonts w:ascii="Times New Roman" w:hAnsi="Times New Roman" w:eastAsia="仿宋_GB2312" w:cs="宋体"/>
        </w:rPr>
        <w:t>024</w:t>
      </w:r>
      <w:r>
        <w:rPr>
          <w:rFonts w:hint="eastAsia" w:ascii="Times New Roman" w:hAnsi="Times New Roman" w:eastAsia="仿宋_GB2312" w:cs="宋体"/>
        </w:rPr>
        <w:t>年公司年耗标煤量</w:t>
      </w:r>
      <w:r>
        <w:rPr>
          <w:rFonts w:ascii="Times New Roman" w:hAnsi="Times New Roman" w:eastAsia="仿宋_GB2312" w:cs="宋体"/>
        </w:rPr>
        <w:t>18</w:t>
      </w:r>
      <w:r>
        <w:rPr>
          <w:rFonts w:hint="eastAsia" w:ascii="Times New Roman" w:hAnsi="Times New Roman" w:eastAsia="仿宋_GB2312" w:cs="宋体"/>
        </w:rPr>
        <w:t>万吨标煤，二氧化硫排放量</w:t>
      </w:r>
      <w:r>
        <w:rPr>
          <w:rFonts w:ascii="Times New Roman" w:hAnsi="Times New Roman" w:eastAsia="仿宋_GB2312" w:cs="宋体"/>
        </w:rPr>
        <w:t>2.49</w:t>
      </w:r>
      <w:r>
        <w:rPr>
          <w:rFonts w:hint="eastAsia" w:ascii="Times New Roman" w:hAnsi="Times New Roman" w:eastAsia="仿宋_GB2312" w:cs="宋体"/>
        </w:rPr>
        <w:t>吨，氮氧化物排放量</w:t>
      </w:r>
      <w:r>
        <w:rPr>
          <w:rFonts w:ascii="Times New Roman" w:hAnsi="Times New Roman" w:eastAsia="仿宋_GB2312" w:cs="宋体"/>
        </w:rPr>
        <w:t>52.6</w:t>
      </w:r>
      <w:r>
        <w:rPr>
          <w:rFonts w:hint="eastAsia" w:ascii="Times New Roman" w:hAnsi="Times New Roman" w:eastAsia="仿宋_GB2312" w:cs="宋体"/>
        </w:rPr>
        <w:t>吨，粉尘排放量</w:t>
      </w:r>
      <w:r>
        <w:rPr>
          <w:rFonts w:ascii="Times New Roman" w:hAnsi="Times New Roman" w:eastAsia="仿宋_GB2312" w:cs="宋体"/>
        </w:rPr>
        <w:t>2.1</w:t>
      </w:r>
      <w:r>
        <w:rPr>
          <w:rFonts w:hint="eastAsia" w:ascii="Times New Roman" w:hAnsi="Times New Roman" w:eastAsia="仿宋_GB2312" w:cs="宋体"/>
        </w:rPr>
        <w:t>吨。</w:t>
      </w:r>
    </w:p>
    <w:p>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表3.2.2-1 </w:t>
      </w:r>
      <w:r>
        <w:rPr>
          <w:rFonts w:hint="eastAsia" w:ascii="黑体" w:hAnsi="黑体" w:eastAsia="黑体" w:cs="Times New Roman"/>
          <w:sz w:val="28"/>
          <w:szCs w:val="24"/>
        </w:rPr>
        <w:t>海宁马桥大都市热电有限公司</w:t>
      </w:r>
      <w:r>
        <w:rPr>
          <w:rFonts w:ascii="黑体" w:hAnsi="黑体" w:eastAsia="黑体" w:cs="Times New Roman"/>
          <w:sz w:val="28"/>
          <w:szCs w:val="24"/>
        </w:rPr>
        <w:t>机组规模情况</w:t>
      </w:r>
    </w:p>
    <w:tbl>
      <w:tblPr>
        <w:tblStyle w:val="24"/>
        <w:tblW w:w="5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082"/>
        <w:gridCol w:w="1191"/>
        <w:gridCol w:w="620"/>
        <w:gridCol w:w="2070"/>
        <w:gridCol w:w="1278"/>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tc>
        <w:tc>
          <w:tcPr>
            <w:tcW w:w="1138"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51"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容量（t/h）</w:t>
            </w:r>
          </w:p>
        </w:tc>
        <w:tc>
          <w:tcPr>
            <w:tcW w:w="33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tc>
        <w:tc>
          <w:tcPr>
            <w:tcW w:w="1132"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9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p>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容量（MW）</w:t>
            </w:r>
          </w:p>
        </w:tc>
        <w:tc>
          <w:tcPr>
            <w:tcW w:w="67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排汽</w:t>
            </w:r>
          </w:p>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参数</w:t>
            </w:r>
          </w:p>
          <w:p>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UG-75/5.3-M19</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C12-4.90/0.981</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12MW</w:t>
            </w:r>
          </w:p>
        </w:tc>
        <w:tc>
          <w:tcPr>
            <w:tcW w:w="679" w:type="pct"/>
            <w:shd w:val="clear" w:color="auto" w:fill="auto"/>
            <w:noWrap/>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0.98/300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UG-75/5.3-M19</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B6-4.90/0.981</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6MW</w:t>
            </w:r>
          </w:p>
        </w:tc>
        <w:tc>
          <w:tcPr>
            <w:tcW w:w="679" w:type="pct"/>
            <w:shd w:val="clear" w:color="auto" w:fill="auto"/>
            <w:noWrap/>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0.98/300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UG-75/5.3-M19</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B7-4.90/0.981</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7MW</w:t>
            </w:r>
          </w:p>
        </w:tc>
        <w:tc>
          <w:tcPr>
            <w:tcW w:w="679" w:type="pct"/>
            <w:shd w:val="clear" w:color="auto" w:fill="auto"/>
            <w:noWrap/>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0.98/300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UG-75/5.3-M19</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75</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B20-9.2/0.981</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20MW</w:t>
            </w:r>
          </w:p>
        </w:tc>
        <w:tc>
          <w:tcPr>
            <w:tcW w:w="679" w:type="pct"/>
            <w:shd w:val="clear" w:color="auto" w:fill="auto"/>
            <w:noWrap/>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0.98/248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UG-150/9.8-M</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150</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pPr>
              <w:rPr>
                <w:rFonts w:ascii="Times New Roman" w:hAnsi="Times New Roman" w:eastAsia="仿宋_GB2312" w:cs="Times New Roman"/>
                <w:kern w:val="0"/>
                <w:sz w:val="24"/>
                <w:szCs w:val="24"/>
              </w:rPr>
            </w:pPr>
          </w:p>
        </w:tc>
      </w:tr>
    </w:tbl>
    <w:p>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表3.2.2-2 </w:t>
      </w:r>
      <w:r>
        <w:rPr>
          <w:rFonts w:hint="eastAsia" w:ascii="黑体" w:hAnsi="黑体" w:eastAsia="黑体" w:cs="Times New Roman"/>
          <w:sz w:val="28"/>
          <w:szCs w:val="24"/>
        </w:rPr>
        <w:t>海宁马桥大都市热电有限公司</w:t>
      </w:r>
      <w:r>
        <w:rPr>
          <w:rFonts w:ascii="黑体" w:hAnsi="黑体" w:eastAsia="黑体" w:cs="Times New Roman"/>
          <w:sz w:val="28"/>
          <w:szCs w:val="24"/>
        </w:rPr>
        <w:t>现有主要热用户情况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276"/>
        <w:gridCol w:w="1336"/>
        <w:gridCol w:w="1382"/>
        <w:gridCol w:w="1311"/>
        <w:gridCol w:w="1276"/>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blHeader/>
          <w:jc w:val="center"/>
        </w:trPr>
        <w:tc>
          <w:tcPr>
            <w:tcW w:w="644"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276"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336"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382"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31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76"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42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646" w:type="dxa"/>
            <w:gridSpan w:val="7"/>
            <w:shd w:val="clear" w:color="auto" w:fill="auto"/>
            <w:vAlign w:val="center"/>
          </w:tcPr>
          <w:p>
            <w:pPr>
              <w:widowControl/>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低压蒸汽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浙江华昌新材料股份有限公司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18.6</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244</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海宁百丽丝染整有限公司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22.5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250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浙江万方纺织科技有限公司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12.7</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19.6</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3.4</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263</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浙江伟伦新材料股份有限公司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18.0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0.23</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浙江彩燕新材料有限公司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21.2</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0.25</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256</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海宁中龙印染有限公司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8</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14.9</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0.17</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246</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海宁众恒经编染整有限公司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8.0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242</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海宁市欧师达染整有限公司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18.5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244</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海宁市诚信染整有限公司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3.1</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262</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海宁市绅士袜业有限公司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256</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海宁凯益袜业有限公司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189</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浙江罗纳服饰有限公司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1.3</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220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海宁市金盛服装水洗厂</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0.15</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206</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浙江联嘉新材料有限公司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186</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海宁市创兴经编有限公司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0.087</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176</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海宁源远生物科技有限公司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海宁市成健袜业有限公司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1.7</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194</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海宁森耀纺织有限公司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海宁中龙印染有限公司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7.7</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0.44</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246</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浙江海利得新材料股份有限公司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1.7</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194</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海宁瑞盛纺织有限公司</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海宁顺鑫纺织厂</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231</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海宁中龙印染有限公司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8.8</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0.22</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浙江伟伦新材料股份有限公司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0.91</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0.26</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海宁中龙印染有限公司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2.9</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0.17</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246</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海宁大宇辊业有限公司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远大能源利用管理有限公司</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经编大楼</w:t>
            </w:r>
            <w:r>
              <w:rPr>
                <w:rFonts w:ascii="Times New Roman" w:hAnsi="Times New Roman" w:eastAsia="仿宋_GB2312" w:cs="Times New Roman"/>
                <w:sz w:val="24"/>
                <w:szCs w:val="24"/>
              </w:rPr>
              <w:t>)</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211</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27</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浙江成如旦新能源科技股份有限公司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198</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浙江莎特勒新材料股份有限公司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0.92</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0.065</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海宁佳豪针织有限公司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海宁力佳隆门窗密封条有限公司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1.6</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230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31</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浙江海利得新材料股份有限公司</w:t>
            </w:r>
            <w:r>
              <w:rPr>
                <w:rFonts w:ascii="Times New Roman" w:hAnsi="Times New Roman" w:eastAsia="仿宋_GB2312" w:cs="Times New Roman"/>
                <w:sz w:val="24"/>
                <w:szCs w:val="24"/>
              </w:rPr>
              <w:t>(2)</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191</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海宁大红马新材料有限公司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2.8</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33</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浙江舜邦智能家居科技有限公司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34</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海宁市马桥街道锦轩布料刷条加工厂（原金宏布料）</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海宁市腾达经编有限公司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4.3</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280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36</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浙江森奴服饰有限公司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240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37</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海宁协亚纺织有限公司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1.3</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208</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38</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浙江博尔特数码科技有限公司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3.2</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5.9</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260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39</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海宁市德昌纺织有限责任公司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海宁市辰丰袜厂</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海宁市飞顺袜厂</w:t>
            </w:r>
            <w:r>
              <w:rPr>
                <w:rFonts w:ascii="Times New Roman" w:hAnsi="Times New Roman" w:eastAsia="仿宋_GB2312" w:cs="Times New Roman"/>
                <w:sz w:val="24"/>
                <w:szCs w:val="24"/>
              </w:rPr>
              <w:t>)</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1.6</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230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41</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浙江鸿燕新材料有限公司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191</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海宁市春天新材料有限公司（</w:t>
            </w: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rPr>
              <w:t>）</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2.8</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43</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浙江力佳隆毛刷有限公司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44</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海宁明翔纺织有限公司</w:t>
            </w:r>
            <w:r>
              <w:rPr>
                <w:rFonts w:ascii="Times New Roman" w:hAnsi="Times New Roman" w:eastAsia="仿宋_GB2312" w:cs="Times New Roman"/>
                <w:sz w:val="24"/>
                <w:szCs w:val="24"/>
              </w:rPr>
              <w:t xml:space="preserve"> </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45</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浙江富邦汽车内饰科技有限公司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2.9</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7.7</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46</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海宁市粤海包装新材料有限公司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2.2</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4.0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181</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47</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海宁瑞盛纺织有限公司</w:t>
            </w:r>
            <w:r>
              <w:rPr>
                <w:rFonts w:ascii="Times New Roman" w:hAnsi="Times New Roman" w:eastAsia="仿宋_GB2312" w:cs="Times New Roman"/>
                <w:sz w:val="24"/>
                <w:szCs w:val="24"/>
              </w:rPr>
              <w:t>(2)</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1.3</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48</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海宁市金茂经编有限公司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12.4</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0.88</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214</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海宁弘时达针织科技股份有限公司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2.4</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浙江金世达实业有限公司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3.3</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51</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海宁欧德纺织材料有限公司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0.06</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52</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海宁市富士达纺织有限公司</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蓝源新材料）</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53</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海宁市新万年染整有限公司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9.6</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13.0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214</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54</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浙江超纶新材料有限公司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3.9</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224</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55</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嘉兴立华禽畜有限公司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3.9</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4.0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179</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56</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浙江佳力织染制衣有限公司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20.0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5.6</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217</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57</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海宁市荣锋塑业有限公司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7.1</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58</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海宁市正大纺织有限公司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1.6</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179</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59</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浙江宏高新材料科技股份有限公司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196</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海宁市万事达袜业有限公司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1.8</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172</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61</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浙江万邦宏能源科技有限公司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62</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浙江金汇特材料有限公司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1.7</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63</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海宁市超盛布业有限公司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2.2</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189</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64</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浙江马力毛刷有限公司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0.07</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65</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浙江佰恩氏食品股份有限公司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1.6</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176</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66</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浙江玖隆纺织科技有限公司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67</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海宁旭晟服装有限公司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173</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68</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海宁杰晟新材料有限公司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174</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海宁华讯纺织股份有限公司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184</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70</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海宁宏祥海绵有限公司</w:t>
            </w:r>
            <w:r>
              <w:rPr>
                <w:rFonts w:ascii="Times New Roman" w:hAnsi="Times New Roman" w:eastAsia="仿宋_GB2312" w:cs="Times New Roman"/>
                <w:sz w:val="24"/>
                <w:szCs w:val="24"/>
              </w:rPr>
              <w:t xml:space="preserve"> </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71</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海宁市宏丰皮草股份有限公司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72</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浙江丰谷新材料股份有限公司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73</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海宁市欧兰纺织有限公司（</w:t>
            </w: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rPr>
              <w:t>）</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193</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74</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浙江波罗蜜新材料有限公司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3.6</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0.83</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174</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75</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海宁市鑫瑞胶粘制品有限公司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76</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浙江亚芯微电子股份有限公司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77</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冠球生物科技（浙江）有限公司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1.1</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1.8</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0.12</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78</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浙江长宇新材料股份有限公司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2.2</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173</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79</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浙江神泰包装股份有限公司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80</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浙江维亨食品股份有限公司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81</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浙江唯足织造有限公司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82</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浙江德立普新型材料科技有限公司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83</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海宁海宏新材料有限公司</w:t>
            </w:r>
            <w:r>
              <w:rPr>
                <w:rFonts w:ascii="Times New Roman" w:hAnsi="Times New Roman" w:eastAsia="仿宋_GB2312" w:cs="Times New Roman"/>
                <w:sz w:val="24"/>
                <w:szCs w:val="24"/>
              </w:rPr>
              <w:t xml:space="preserve"> </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174</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84</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海宁康尔福保健饮料食品有限责任公司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1.1</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1.6</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198</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5"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85</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海宁博万鑫纳米新材料有限公司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0.56</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172</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86</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海宁市新凯帝皮革有限公司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166</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87</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浙江科祥电力器材有限公司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173</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88</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海宁迪赛针织股份有限公司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1.4</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173</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89</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浙江天润包装印刷有限公司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2.8</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174</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90</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海宁市钱丰针织有限公司</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海宁钥鑫袜业有限公司）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91</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浙江昊吉力针织有限公司（原阿帕奇）</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2.9</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207</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5"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92</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海宁家值家私有限公司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1.6</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173</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93</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浙江斜桥榨菜食品有限公司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182</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94</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海宁市金石毛绒股份有限公司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95</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浙江长海包装集团有限公司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6.6</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2.4</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200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96</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浙江新创纳电子科技有限公司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10.0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5.6</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214</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97</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海宁博润新型装饰材料有限公司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0.6</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168</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浙江华清包装材料有限公司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173</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99</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海宁市博明袜业有限公司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1.2</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171</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100</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海宁市久鑫创园有限公司（乔泰皮革）</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0.4</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171</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101</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海宁市荣顺新材料股份有限公司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6</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0.54</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279</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102</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海宁市博创皮革有限公司</w:t>
            </w:r>
            <w:r>
              <w:rPr>
                <w:rFonts w:ascii="Times New Roman" w:hAnsi="Times New Roman" w:eastAsia="仿宋_GB2312" w:cs="Times New Roman"/>
                <w:sz w:val="24"/>
                <w:szCs w:val="24"/>
              </w:rPr>
              <w:t xml:space="preserve"> </w:t>
            </w:r>
            <w:r>
              <w:rPr>
                <w:rFonts w:hint="eastAsia" w:ascii="Times New Roman" w:hAnsi="Times New Roman" w:eastAsia="仿宋_GB2312" w:cs="Times New Roman"/>
                <w:sz w:val="24"/>
                <w:szCs w:val="24"/>
              </w:rPr>
              <w:t>（秋艺）</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103</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海宁市金新乐农业科技有限公司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1.6</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2.4</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171</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104</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海宁市芬尼司皮革科技有限公司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171</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105</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浙江诚仕服饰有限公司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0.2</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0.02</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173</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106</w:t>
            </w:r>
          </w:p>
        </w:tc>
        <w:tc>
          <w:tcPr>
            <w:tcW w:w="1276"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sz w:val="24"/>
                <w:szCs w:val="24"/>
              </w:rPr>
              <w:t>浙江超仕达特纺有限公司</w:t>
            </w:r>
          </w:p>
        </w:tc>
        <w:tc>
          <w:tcPr>
            <w:tcW w:w="1336"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382"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311"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172</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107</w:t>
            </w:r>
          </w:p>
        </w:tc>
        <w:tc>
          <w:tcPr>
            <w:tcW w:w="1276"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sz w:val="24"/>
                <w:szCs w:val="24"/>
              </w:rPr>
              <w:t>海宁光圣晶体材料有限公司</w:t>
            </w:r>
          </w:p>
        </w:tc>
        <w:tc>
          <w:tcPr>
            <w:tcW w:w="1336"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382"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1.0</w:t>
            </w:r>
          </w:p>
        </w:tc>
        <w:tc>
          <w:tcPr>
            <w:tcW w:w="1311"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108</w:t>
            </w:r>
          </w:p>
        </w:tc>
        <w:tc>
          <w:tcPr>
            <w:tcW w:w="1276"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sz w:val="24"/>
                <w:szCs w:val="24"/>
              </w:rPr>
              <w:t>浙江科创服饰股份有限公司</w:t>
            </w:r>
          </w:p>
        </w:tc>
        <w:tc>
          <w:tcPr>
            <w:tcW w:w="1336"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382"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311"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187</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109</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浙江伟领服装股份有限公司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0.5</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110</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远大能源利用管理有限公司</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牛仔城</w:t>
            </w:r>
            <w:r>
              <w:rPr>
                <w:rFonts w:ascii="Times New Roman" w:hAnsi="Times New Roman" w:eastAsia="仿宋_GB2312" w:cs="Times New Roman"/>
                <w:sz w:val="24"/>
                <w:szCs w:val="24"/>
              </w:rPr>
              <w:t>)</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7.9</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9.3</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0.9</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111</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海宁皮都锦江大酒店有限公司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189</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112</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海宁海州大饭店有限公司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2.1</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113</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远大能源利用管理有限公司</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商务楼</w:t>
            </w:r>
            <w:r>
              <w:rPr>
                <w:rFonts w:ascii="Times New Roman" w:hAnsi="Times New Roman" w:eastAsia="仿宋_GB2312" w:cs="Times New Roman"/>
                <w:sz w:val="24"/>
                <w:szCs w:val="24"/>
              </w:rPr>
              <w:t>)</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2.5</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4.0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177</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114</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海宁康华医院有限公司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1.9</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3.1</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1.5</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115</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海宁市五环投资开发有限公司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183</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116</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海宁市人民政府机关事务管理局</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2.8</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7.0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179</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117</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远大能源利用管理有限公司</w:t>
            </w:r>
            <w:r>
              <w:rPr>
                <w:rFonts w:ascii="Times New Roman" w:hAnsi="Times New Roman" w:eastAsia="仿宋_GB2312" w:cs="Times New Roman"/>
                <w:sz w:val="24"/>
                <w:szCs w:val="24"/>
              </w:rPr>
              <w:t>(A</w:t>
            </w:r>
            <w:r>
              <w:rPr>
                <w:rFonts w:hint="eastAsia" w:ascii="Times New Roman" w:hAnsi="Times New Roman" w:eastAsia="仿宋_GB2312" w:cs="Times New Roman"/>
                <w:sz w:val="24"/>
                <w:szCs w:val="24"/>
              </w:rPr>
              <w:t>座</w:t>
            </w:r>
            <w:r>
              <w:rPr>
                <w:rFonts w:ascii="Times New Roman" w:hAnsi="Times New Roman" w:eastAsia="仿宋_GB2312" w:cs="Times New Roman"/>
                <w:sz w:val="24"/>
                <w:szCs w:val="24"/>
              </w:rPr>
              <w:t>)</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4</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5.0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0.7</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198</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118</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海宁中国皮革城经营管理有限公司</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2.2</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3.4</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2.4</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119</w:t>
            </w:r>
          </w:p>
        </w:tc>
        <w:tc>
          <w:tcPr>
            <w:tcW w:w="1276" w:type="dxa"/>
            <w:shd w:val="clear" w:color="000000" w:fill="FFFFFF"/>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远大能源利用管理有限公司</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国际馆</w:t>
            </w:r>
            <w:r>
              <w:rPr>
                <w:rFonts w:ascii="Times New Roman" w:hAnsi="Times New Roman" w:eastAsia="仿宋_GB2312" w:cs="Times New Roman"/>
                <w:sz w:val="24"/>
                <w:szCs w:val="24"/>
              </w:rPr>
              <w:t>)</w:t>
            </w:r>
          </w:p>
        </w:tc>
        <w:tc>
          <w:tcPr>
            <w:tcW w:w="1336"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1.3</w:t>
            </w:r>
          </w:p>
        </w:tc>
        <w:tc>
          <w:tcPr>
            <w:tcW w:w="1382"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3.0</w:t>
            </w:r>
          </w:p>
        </w:tc>
        <w:tc>
          <w:tcPr>
            <w:tcW w:w="1311" w:type="dxa"/>
            <w:shd w:val="clear" w:color="000000" w:fill="FFFFFF"/>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11.6</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167</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120</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海宁天池温泉养生有限公司</w:t>
            </w:r>
          </w:p>
        </w:tc>
        <w:tc>
          <w:tcPr>
            <w:tcW w:w="133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0.8</w:t>
            </w:r>
          </w:p>
        </w:tc>
        <w:tc>
          <w:tcPr>
            <w:tcW w:w="1382"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2.0</w:t>
            </w:r>
          </w:p>
        </w:tc>
        <w:tc>
          <w:tcPr>
            <w:tcW w:w="131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等线" w:cs="Times New Roman"/>
                <w:color w:val="000000"/>
                <w:sz w:val="24"/>
                <w:szCs w:val="24"/>
              </w:rPr>
              <w:t>0.1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178</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海宁开元名都大酒店有限公司</w:t>
            </w:r>
          </w:p>
        </w:tc>
        <w:tc>
          <w:tcPr>
            <w:tcW w:w="1336"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2.4</w:t>
            </w:r>
          </w:p>
        </w:tc>
        <w:tc>
          <w:tcPr>
            <w:tcW w:w="1382"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3.1</w:t>
            </w:r>
          </w:p>
        </w:tc>
        <w:tc>
          <w:tcPr>
            <w:tcW w:w="1311"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1.3</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176</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122</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浙江海利得新材料股份有限公司（海利得大酒店）</w:t>
            </w:r>
          </w:p>
        </w:tc>
        <w:tc>
          <w:tcPr>
            <w:tcW w:w="1336"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3.5</w:t>
            </w:r>
          </w:p>
        </w:tc>
        <w:tc>
          <w:tcPr>
            <w:tcW w:w="1382"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4.1</w:t>
            </w:r>
          </w:p>
        </w:tc>
        <w:tc>
          <w:tcPr>
            <w:tcW w:w="1311"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0.2</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175</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p>
        </w:tc>
        <w:tc>
          <w:tcPr>
            <w:tcW w:w="1276" w:type="dxa"/>
            <w:shd w:val="clear" w:color="auto" w:fill="auto"/>
            <w:vAlign w:val="center"/>
          </w:tcPr>
          <w:p>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sz w:val="24"/>
                <w:szCs w:val="24"/>
              </w:rPr>
              <w:t>低压蒸汽合计</w:t>
            </w:r>
          </w:p>
        </w:tc>
        <w:tc>
          <w:tcPr>
            <w:tcW w:w="1336" w:type="dxa"/>
            <w:shd w:val="clear" w:color="auto" w:fill="auto"/>
            <w:vAlign w:val="center"/>
          </w:tcPr>
          <w:p>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250</w:t>
            </w:r>
            <w:r>
              <w:rPr>
                <w:rFonts w:hint="eastAsia" w:ascii="Times New Roman" w:hAnsi="Times New Roman" w:eastAsia="仿宋_GB2312" w:cs="Times New Roman"/>
                <w:b/>
                <w:sz w:val="24"/>
                <w:szCs w:val="24"/>
              </w:rPr>
              <w:t>.6</w:t>
            </w:r>
          </w:p>
        </w:tc>
        <w:tc>
          <w:tcPr>
            <w:tcW w:w="1382" w:type="dxa"/>
            <w:shd w:val="clear" w:color="auto" w:fill="auto"/>
            <w:vAlign w:val="center"/>
          </w:tcPr>
          <w:p>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465.2</w:t>
            </w:r>
          </w:p>
        </w:tc>
        <w:tc>
          <w:tcPr>
            <w:tcW w:w="1311" w:type="dxa"/>
            <w:shd w:val="clear" w:color="auto" w:fill="auto"/>
            <w:vAlign w:val="center"/>
          </w:tcPr>
          <w:p>
            <w:pPr>
              <w:widowControl/>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66.3</w:t>
            </w:r>
          </w:p>
        </w:tc>
        <w:tc>
          <w:tcPr>
            <w:tcW w:w="1276" w:type="dxa"/>
            <w:shd w:val="clear" w:color="auto" w:fill="auto"/>
            <w:vAlign w:val="center"/>
          </w:tcPr>
          <w:p>
            <w:pPr>
              <w:widowControl/>
              <w:jc w:val="center"/>
              <w:rPr>
                <w:rFonts w:ascii="Times New Roman" w:hAnsi="Times New Roman" w:eastAsia="仿宋_GB2312" w:cs="Times New Roman"/>
                <w:b/>
                <w:sz w:val="24"/>
                <w:szCs w:val="24"/>
              </w:rPr>
            </w:pP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646" w:type="dxa"/>
            <w:gridSpan w:val="7"/>
            <w:shd w:val="clear" w:color="000000" w:fill="FFFFFF"/>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b/>
                <w:bCs/>
                <w:sz w:val="24"/>
                <w:szCs w:val="24"/>
              </w:rPr>
              <w:t>中压蒸汽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123</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浙江华昌纺织有限公司</w:t>
            </w:r>
          </w:p>
        </w:tc>
        <w:tc>
          <w:tcPr>
            <w:tcW w:w="1336"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13.2</w:t>
            </w:r>
          </w:p>
        </w:tc>
        <w:tc>
          <w:tcPr>
            <w:tcW w:w="1382"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18.12</w:t>
            </w:r>
          </w:p>
        </w:tc>
        <w:tc>
          <w:tcPr>
            <w:tcW w:w="1311"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8.02</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280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124</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浙江联嘉新材料有限公司</w:t>
            </w:r>
          </w:p>
        </w:tc>
        <w:tc>
          <w:tcPr>
            <w:tcW w:w="1336"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2.2</w:t>
            </w:r>
          </w:p>
        </w:tc>
        <w:tc>
          <w:tcPr>
            <w:tcW w:w="1382"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2.6</w:t>
            </w:r>
          </w:p>
        </w:tc>
        <w:tc>
          <w:tcPr>
            <w:tcW w:w="1311"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0.81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256</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125</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浙江彩燕新材料有限公司</w:t>
            </w:r>
          </w:p>
        </w:tc>
        <w:tc>
          <w:tcPr>
            <w:tcW w:w="1336"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9.8</w:t>
            </w:r>
          </w:p>
        </w:tc>
        <w:tc>
          <w:tcPr>
            <w:tcW w:w="1382"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13.63</w:t>
            </w:r>
          </w:p>
        </w:tc>
        <w:tc>
          <w:tcPr>
            <w:tcW w:w="1311"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3.6</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272</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126</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海宁中龙印染有限公司</w:t>
            </w:r>
          </w:p>
        </w:tc>
        <w:tc>
          <w:tcPr>
            <w:tcW w:w="1336"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2.3</w:t>
            </w:r>
          </w:p>
        </w:tc>
        <w:tc>
          <w:tcPr>
            <w:tcW w:w="1382"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2.87</w:t>
            </w:r>
          </w:p>
        </w:tc>
        <w:tc>
          <w:tcPr>
            <w:tcW w:w="1311"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0.48</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260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127</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海宁市新万年染整有限公司</w:t>
            </w:r>
          </w:p>
        </w:tc>
        <w:tc>
          <w:tcPr>
            <w:tcW w:w="1336"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9</w:t>
            </w:r>
          </w:p>
        </w:tc>
        <w:tc>
          <w:tcPr>
            <w:tcW w:w="1382"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14.04</w:t>
            </w:r>
          </w:p>
        </w:tc>
        <w:tc>
          <w:tcPr>
            <w:tcW w:w="1311"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2.5</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256</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128</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海宁杰盛新材料有限公司</w:t>
            </w:r>
          </w:p>
        </w:tc>
        <w:tc>
          <w:tcPr>
            <w:tcW w:w="1336"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4.7</w:t>
            </w:r>
          </w:p>
        </w:tc>
        <w:tc>
          <w:tcPr>
            <w:tcW w:w="1382"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6.08</w:t>
            </w:r>
          </w:p>
        </w:tc>
        <w:tc>
          <w:tcPr>
            <w:tcW w:w="1311"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0.64</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250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129</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浙江佳力织染制衣有限公司</w:t>
            </w:r>
          </w:p>
        </w:tc>
        <w:tc>
          <w:tcPr>
            <w:tcW w:w="1336"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10.5</w:t>
            </w:r>
          </w:p>
        </w:tc>
        <w:tc>
          <w:tcPr>
            <w:tcW w:w="1382"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13.7</w:t>
            </w:r>
          </w:p>
        </w:tc>
        <w:tc>
          <w:tcPr>
            <w:tcW w:w="1311"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3.1</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256</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130</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sz w:val="24"/>
                <w:szCs w:val="24"/>
              </w:rPr>
              <w:t>海宁杰盛新材料有限公司</w:t>
            </w:r>
          </w:p>
        </w:tc>
        <w:tc>
          <w:tcPr>
            <w:tcW w:w="1336"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w:t>
            </w:r>
          </w:p>
        </w:tc>
        <w:tc>
          <w:tcPr>
            <w:tcW w:w="1382"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6.81</w:t>
            </w:r>
          </w:p>
        </w:tc>
        <w:tc>
          <w:tcPr>
            <w:tcW w:w="1311" w:type="dxa"/>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2.3</w:t>
            </w:r>
          </w:p>
        </w:tc>
        <w:tc>
          <w:tcPr>
            <w:tcW w:w="1276"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260</w:t>
            </w:r>
          </w:p>
        </w:tc>
        <w:tc>
          <w:tcPr>
            <w:tcW w:w="1421"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p>
        </w:tc>
        <w:tc>
          <w:tcPr>
            <w:tcW w:w="1276" w:type="dxa"/>
            <w:shd w:val="clear" w:color="auto" w:fill="auto"/>
            <w:vAlign w:val="center"/>
          </w:tcPr>
          <w:p>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sz w:val="24"/>
                <w:szCs w:val="24"/>
              </w:rPr>
              <w:t>中压蒸汽合计</w:t>
            </w:r>
          </w:p>
        </w:tc>
        <w:tc>
          <w:tcPr>
            <w:tcW w:w="1336" w:type="dxa"/>
            <w:shd w:val="clear" w:color="auto" w:fill="auto"/>
            <w:vAlign w:val="center"/>
          </w:tcPr>
          <w:p>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56.7</w:t>
            </w:r>
          </w:p>
        </w:tc>
        <w:tc>
          <w:tcPr>
            <w:tcW w:w="1382" w:type="dxa"/>
            <w:shd w:val="clear" w:color="auto" w:fill="auto"/>
            <w:vAlign w:val="center"/>
          </w:tcPr>
          <w:p>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77.9</w:t>
            </w:r>
          </w:p>
        </w:tc>
        <w:tc>
          <w:tcPr>
            <w:tcW w:w="1311" w:type="dxa"/>
            <w:shd w:val="clear" w:color="auto" w:fill="auto"/>
            <w:vAlign w:val="center"/>
          </w:tcPr>
          <w:p>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21.5</w:t>
            </w:r>
          </w:p>
        </w:tc>
        <w:tc>
          <w:tcPr>
            <w:tcW w:w="1276" w:type="dxa"/>
            <w:shd w:val="clear" w:color="auto" w:fill="auto"/>
            <w:vAlign w:val="center"/>
          </w:tcPr>
          <w:p>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sz w:val="24"/>
                <w:szCs w:val="24"/>
              </w:rPr>
              <w:t>　</w:t>
            </w:r>
          </w:p>
        </w:tc>
        <w:tc>
          <w:tcPr>
            <w:tcW w:w="1421" w:type="dxa"/>
            <w:shd w:val="clear" w:color="auto" w:fill="auto"/>
            <w:vAlign w:val="center"/>
          </w:tcPr>
          <w:p>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4" w:type="dxa"/>
            <w:shd w:val="clear" w:color="000000" w:fill="FFFFFF"/>
            <w:vAlign w:val="center"/>
          </w:tcPr>
          <w:p>
            <w:pPr>
              <w:widowControl/>
              <w:jc w:val="center"/>
              <w:rPr>
                <w:rFonts w:ascii="Times New Roman" w:hAnsi="Times New Roman" w:eastAsia="仿宋_GB2312" w:cs="Times New Roman"/>
                <w:color w:val="000000"/>
                <w:kern w:val="0"/>
                <w:sz w:val="24"/>
                <w:szCs w:val="24"/>
              </w:rPr>
            </w:pPr>
          </w:p>
        </w:tc>
        <w:tc>
          <w:tcPr>
            <w:tcW w:w="1276" w:type="dxa"/>
            <w:shd w:val="clear" w:color="auto" w:fill="auto"/>
            <w:vAlign w:val="center"/>
          </w:tcPr>
          <w:p>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sz w:val="24"/>
                <w:szCs w:val="24"/>
              </w:rPr>
              <w:t>合计（低压蒸汽</w:t>
            </w:r>
            <w:r>
              <w:rPr>
                <w:rFonts w:ascii="Times New Roman" w:hAnsi="Times New Roman" w:eastAsia="仿宋_GB2312" w:cs="Times New Roman"/>
                <w:b/>
                <w:sz w:val="24"/>
                <w:szCs w:val="24"/>
              </w:rPr>
              <w:t>+</w:t>
            </w:r>
            <w:r>
              <w:rPr>
                <w:rFonts w:hint="eastAsia" w:ascii="Times New Roman" w:hAnsi="Times New Roman" w:eastAsia="仿宋_GB2312" w:cs="Times New Roman"/>
                <w:b/>
                <w:sz w:val="24"/>
                <w:szCs w:val="24"/>
              </w:rPr>
              <w:t>中压蒸汽）</w:t>
            </w:r>
          </w:p>
        </w:tc>
        <w:tc>
          <w:tcPr>
            <w:tcW w:w="1336" w:type="dxa"/>
            <w:shd w:val="clear" w:color="auto" w:fill="auto"/>
            <w:vAlign w:val="center"/>
          </w:tcPr>
          <w:p>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307.3</w:t>
            </w:r>
          </w:p>
        </w:tc>
        <w:tc>
          <w:tcPr>
            <w:tcW w:w="1382" w:type="dxa"/>
            <w:shd w:val="clear" w:color="auto" w:fill="auto"/>
            <w:vAlign w:val="center"/>
          </w:tcPr>
          <w:p>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543.1</w:t>
            </w:r>
          </w:p>
        </w:tc>
        <w:tc>
          <w:tcPr>
            <w:tcW w:w="1311" w:type="dxa"/>
            <w:shd w:val="clear" w:color="auto" w:fill="auto"/>
            <w:vAlign w:val="center"/>
          </w:tcPr>
          <w:p>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87.8</w:t>
            </w:r>
          </w:p>
        </w:tc>
        <w:tc>
          <w:tcPr>
            <w:tcW w:w="1276" w:type="dxa"/>
            <w:shd w:val="clear" w:color="auto" w:fill="auto"/>
            <w:vAlign w:val="center"/>
          </w:tcPr>
          <w:p>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sz w:val="24"/>
                <w:szCs w:val="24"/>
              </w:rPr>
              <w:t>　</w:t>
            </w:r>
          </w:p>
        </w:tc>
        <w:tc>
          <w:tcPr>
            <w:tcW w:w="1421" w:type="dxa"/>
            <w:shd w:val="clear" w:color="auto" w:fill="auto"/>
            <w:vAlign w:val="center"/>
          </w:tcPr>
          <w:p>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sz w:val="24"/>
                <w:szCs w:val="24"/>
              </w:rPr>
              <w:t>　</w:t>
            </w:r>
          </w:p>
        </w:tc>
      </w:tr>
    </w:tbl>
    <w:p>
      <w:pPr>
        <w:pStyle w:val="4"/>
        <w:spacing w:before="156" w:beforeLines="50"/>
      </w:pPr>
      <w:bookmarkStart w:id="197" w:name="_Toc171197835"/>
      <w:bookmarkStart w:id="198" w:name="_Toc144300994"/>
      <w:bookmarkStart w:id="199" w:name="_Toc183631768"/>
      <w:bookmarkStart w:id="200" w:name="_Toc144301213"/>
      <w:bookmarkStart w:id="201" w:name="_Toc181983751"/>
      <w:bookmarkStart w:id="202" w:name="_Toc188636895"/>
      <w:r>
        <w:t>3.2.3</w:t>
      </w:r>
      <w:r>
        <w:rPr>
          <w:rFonts w:hint="eastAsia"/>
        </w:rPr>
        <w:t>海宁光耀热电有限公司</w:t>
      </w:r>
      <w:bookmarkEnd w:id="197"/>
      <w:bookmarkEnd w:id="198"/>
      <w:bookmarkEnd w:id="199"/>
      <w:bookmarkEnd w:id="200"/>
      <w:bookmarkEnd w:id="201"/>
      <w:bookmarkEnd w:id="202"/>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海宁光耀热电有限公司位于浙江省嘉兴市海宁市丹梅路</w:t>
      </w:r>
      <w:r>
        <w:rPr>
          <w:rFonts w:ascii="Times New Roman" w:hAnsi="Times New Roman" w:eastAsia="仿宋_GB2312" w:cs="宋体"/>
        </w:rPr>
        <w:t>3-1号</w:t>
      </w:r>
      <w:r>
        <w:rPr>
          <w:rFonts w:hint="eastAsia" w:ascii="Times New Roman" w:hAnsi="Times New Roman" w:eastAsia="仿宋_GB2312" w:cs="宋体"/>
        </w:rPr>
        <w:t>，下辖</w:t>
      </w:r>
      <w:r>
        <w:rPr>
          <w:rFonts w:ascii="Times New Roman" w:hAnsi="Times New Roman" w:eastAsia="仿宋_GB2312" w:cs="宋体"/>
        </w:rPr>
        <w:t>2个能源站</w:t>
      </w:r>
      <w:r>
        <w:rPr>
          <w:rFonts w:hint="eastAsia" w:ascii="Times New Roman" w:hAnsi="Times New Roman" w:eastAsia="仿宋_GB2312" w:cs="宋体"/>
        </w:rPr>
        <w:t>。</w:t>
      </w:r>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w:t>
      </w:r>
      <w:r>
        <w:rPr>
          <w:rFonts w:ascii="Times New Roman" w:hAnsi="Times New Roman" w:eastAsia="仿宋_GB2312" w:cs="宋体"/>
        </w:rPr>
        <w:t>1号能源站位于海宁市经济开发区洛隆路611号原海宁东山热电厂内，利用原海宁东山热电厂用地。2020年，海宁光耀热电有限公司收购海宁东山热电厂；2021年底，海宁东山热电厂被</w:t>
      </w:r>
      <w:r>
        <w:rPr>
          <w:rFonts w:hint="eastAsia" w:ascii="Times New Roman" w:hAnsi="Times New Roman" w:eastAsia="仿宋_GB2312" w:cs="宋体"/>
        </w:rPr>
        <w:t>海宁光耀热电有限公司</w:t>
      </w:r>
      <w:r>
        <w:rPr>
          <w:rFonts w:ascii="Times New Roman" w:hAnsi="Times New Roman" w:eastAsia="仿宋_GB2312" w:cs="宋体"/>
        </w:rPr>
        <w:t>吸收合并，同时注销海宁东山热电厂，并改名为海宁光耀热电有限公司1号能源站，同时淘汰原海宁东山热电厂2台20t/h次高温次高压循环流化床锅炉、1台35t/h次高温次高压循环流化床锅炉以及2台3MW背压式汽轮发电机组；新建3套8MW级燃气轮发电机组，配置3台15t/h余热锅炉，并配置3台25t/h天然气燃气锅炉作为供热的调峰和</w:t>
      </w:r>
      <w:r>
        <w:rPr>
          <w:rFonts w:hint="eastAsia" w:ascii="Times New Roman" w:hAnsi="Times New Roman" w:eastAsia="仿宋_GB2312" w:cs="宋体"/>
        </w:rPr>
        <w:t>备用，燃气锅炉是</w:t>
      </w:r>
      <w:r>
        <w:rPr>
          <w:rFonts w:ascii="Times New Roman" w:hAnsi="Times New Roman" w:eastAsia="仿宋_GB2312" w:cs="宋体"/>
        </w:rPr>
        <w:t>2用1备</w:t>
      </w:r>
      <w:r>
        <w:rPr>
          <w:rFonts w:hint="eastAsia" w:ascii="Times New Roman" w:hAnsi="Times New Roman" w:eastAsia="仿宋_GB2312" w:cs="宋体"/>
        </w:rPr>
        <w:t>。由于项目因建设中原材料天然气价格上涨超出生产盈亏平衡点，目前海宁光耀热电有限公司</w:t>
      </w:r>
      <w:r>
        <w:rPr>
          <w:rFonts w:ascii="Times New Roman" w:hAnsi="Times New Roman" w:eastAsia="仿宋_GB2312" w:cs="宋体"/>
        </w:rPr>
        <w:t>1号能源站仅投运3台25t/h天然气燃气锅炉，燃气轮发电机组和余热锅炉均未投运，</w:t>
      </w:r>
      <w:r>
        <w:rPr>
          <w:rFonts w:hint="eastAsia" w:ascii="Times New Roman" w:hAnsi="Times New Roman" w:eastAsia="仿宋_GB2312" w:cs="宋体"/>
        </w:rPr>
        <w:t>日常供热能力为</w:t>
      </w:r>
      <w:r>
        <w:rPr>
          <w:rFonts w:ascii="Times New Roman" w:hAnsi="Times New Roman" w:eastAsia="仿宋_GB2312" w:cs="宋体"/>
        </w:rPr>
        <w:t>40t/h，最大供热能力为60t/h；燃气轮发电机组和余热锅炉投产</w:t>
      </w:r>
      <w:r>
        <w:rPr>
          <w:rFonts w:hint="eastAsia" w:ascii="Times New Roman" w:hAnsi="Times New Roman" w:eastAsia="仿宋_GB2312" w:cs="宋体"/>
        </w:rPr>
        <w:t>后</w:t>
      </w:r>
      <w:r>
        <w:rPr>
          <w:rFonts w:ascii="Times New Roman" w:hAnsi="Times New Roman" w:eastAsia="仿宋_GB2312" w:cs="宋体"/>
        </w:rPr>
        <w:t>最大供热能力达100t/h。</w:t>
      </w:r>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w:t>
      </w:r>
      <w:r>
        <w:rPr>
          <w:rFonts w:ascii="Times New Roman" w:hAnsi="Times New Roman" w:eastAsia="仿宋_GB2312" w:cs="宋体"/>
        </w:rPr>
        <w:t>2号能源站位于海宁市经济开发区金星路和施带路交叉口，由海宁钱江生化自备热电厂改名而来，2021年9月，光耀2#站的天然气锅炉正式投用并淘汰原海宁钱江生化自备热电厂2台35t/h中温中压循环流化床锅炉、3台20t/h中温中压链条炉、2台3MW中温中压背压式汽轮发电机组以及1台3MW抽凝式汽轮发电机组；新建2套8MW级燃气轮机组，配置2台15t/h余热锅炉，并配置3台25t/h天然气燃气锅炉作为供热的调峰。</w:t>
      </w:r>
      <w:r>
        <w:rPr>
          <w:rFonts w:hint="eastAsia" w:ascii="Times New Roman" w:hAnsi="Times New Roman" w:eastAsia="仿宋_GB2312" w:cs="宋体"/>
        </w:rPr>
        <w:t>由于项目因建设中原材料天然气价格上涨超出生产盈亏平衡点，</w:t>
      </w:r>
      <w:r>
        <w:rPr>
          <w:rFonts w:ascii="Times New Roman" w:hAnsi="Times New Roman" w:eastAsia="仿宋_GB2312" w:cs="宋体"/>
        </w:rPr>
        <w:t>目前海宁光耀热电有限公司2号能源站仅投运3台25t/h天然气燃气锅炉，燃气轮发</w:t>
      </w:r>
      <w:r>
        <w:rPr>
          <w:rFonts w:hint="eastAsia" w:ascii="Times New Roman" w:hAnsi="Times New Roman" w:eastAsia="仿宋_GB2312" w:cs="宋体"/>
        </w:rPr>
        <w:t>电机组和余热锅炉均未投运，日常供热能力为</w:t>
      </w:r>
      <w:r>
        <w:rPr>
          <w:rFonts w:ascii="Times New Roman" w:hAnsi="Times New Roman" w:eastAsia="仿宋_GB2312" w:cs="宋体"/>
        </w:rPr>
        <w:t>60t/h；燃气轮发电机组和余热锅炉投产</w:t>
      </w:r>
      <w:r>
        <w:rPr>
          <w:rFonts w:hint="eastAsia" w:ascii="Times New Roman" w:hAnsi="Times New Roman" w:eastAsia="仿宋_GB2312" w:cs="宋体"/>
        </w:rPr>
        <w:t>后</w:t>
      </w:r>
      <w:r>
        <w:rPr>
          <w:rFonts w:ascii="Times New Roman" w:hAnsi="Times New Roman" w:eastAsia="仿宋_GB2312" w:cs="宋体"/>
        </w:rPr>
        <w:t>最大供热能力达90t/h。</w:t>
      </w:r>
    </w:p>
    <w:p>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表3.2.3-1 </w:t>
      </w:r>
      <w:r>
        <w:rPr>
          <w:rFonts w:hint="eastAsia" w:ascii="黑体" w:hAnsi="黑体" w:eastAsia="黑体" w:cs="Times New Roman"/>
          <w:sz w:val="28"/>
          <w:szCs w:val="24"/>
        </w:rPr>
        <w:t>海宁光耀热电有限公司</w:t>
      </w:r>
      <w:r>
        <w:rPr>
          <w:rFonts w:ascii="黑体" w:hAnsi="黑体" w:eastAsia="黑体" w:cs="Times New Roman"/>
          <w:sz w:val="28"/>
          <w:szCs w:val="24"/>
        </w:rPr>
        <w:t>机组规模情况</w:t>
      </w:r>
    </w:p>
    <w:tbl>
      <w:tblPr>
        <w:tblStyle w:val="24"/>
        <w:tblW w:w="5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514"/>
        <w:gridCol w:w="1757"/>
        <w:gridCol w:w="620"/>
        <w:gridCol w:w="2070"/>
        <w:gridCol w:w="1278"/>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tc>
        <w:tc>
          <w:tcPr>
            <w:tcW w:w="828"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961"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容量（t/h）</w:t>
            </w:r>
          </w:p>
        </w:tc>
        <w:tc>
          <w:tcPr>
            <w:tcW w:w="33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tc>
        <w:tc>
          <w:tcPr>
            <w:tcW w:w="1132"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9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kern w:val="0"/>
                <w:sz w:val="24"/>
                <w:szCs w:val="24"/>
              </w:rPr>
              <w:t>汽机</w:t>
            </w:r>
          </w:p>
          <w:p>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容量（MW）</w:t>
            </w:r>
          </w:p>
        </w:tc>
        <w:tc>
          <w:tcPr>
            <w:tcW w:w="67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排汽</w:t>
            </w:r>
          </w:p>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参数</w:t>
            </w:r>
          </w:p>
          <w:p>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blHeader/>
          <w:jc w:val="center"/>
        </w:trPr>
        <w:tc>
          <w:tcPr>
            <w:tcW w:w="5000" w:type="pct"/>
            <w:gridSpan w:val="7"/>
            <w:shd w:val="clear" w:color="auto" w:fill="auto"/>
            <w:noWrap/>
            <w:vAlign w:val="center"/>
          </w:tcPr>
          <w:p>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kern w:val="0"/>
                <w:sz w:val="24"/>
                <w:szCs w:val="24"/>
              </w:rPr>
              <w:t>1号能源站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82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SZS</w:t>
            </w:r>
          </w:p>
        </w:tc>
        <w:tc>
          <w:tcPr>
            <w:tcW w:w="961" w:type="pct"/>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5</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pPr>
              <w:jc w:val="center"/>
              <w:rPr>
                <w:rFonts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82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SZS</w:t>
            </w:r>
          </w:p>
        </w:tc>
        <w:tc>
          <w:tcPr>
            <w:tcW w:w="961" w:type="pct"/>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5</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pPr>
              <w:jc w:val="center"/>
              <w:rPr>
                <w:rFonts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82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SZS</w:t>
            </w:r>
          </w:p>
        </w:tc>
        <w:tc>
          <w:tcPr>
            <w:tcW w:w="961" w:type="pct"/>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5</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pPr>
              <w:jc w:val="center"/>
              <w:rPr>
                <w:rFonts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5000" w:type="pct"/>
            <w:gridSpan w:val="7"/>
            <w:shd w:val="clear" w:color="auto" w:fill="auto"/>
            <w:noWrap/>
            <w:vAlign w:val="center"/>
          </w:tcPr>
          <w:p>
            <w:pPr>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kern w:val="0"/>
                <w:sz w:val="24"/>
                <w:szCs w:val="24"/>
              </w:rPr>
              <w:t>2号能源站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82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SZS</w:t>
            </w:r>
          </w:p>
        </w:tc>
        <w:tc>
          <w:tcPr>
            <w:tcW w:w="961" w:type="pct"/>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5</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pPr>
              <w:jc w:val="center"/>
              <w:rPr>
                <w:rFonts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82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SZS</w:t>
            </w:r>
          </w:p>
        </w:tc>
        <w:tc>
          <w:tcPr>
            <w:tcW w:w="961" w:type="pct"/>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5</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pPr>
              <w:jc w:val="center"/>
              <w:rPr>
                <w:rFonts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82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SZS</w:t>
            </w:r>
          </w:p>
        </w:tc>
        <w:tc>
          <w:tcPr>
            <w:tcW w:w="961" w:type="pct"/>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2</w:t>
            </w:r>
            <w:r>
              <w:rPr>
                <w:rFonts w:ascii="Times New Roman" w:hAnsi="Times New Roman" w:eastAsia="仿宋_GB2312" w:cs="Times New Roman"/>
                <w:kern w:val="0"/>
                <w:sz w:val="24"/>
                <w:szCs w:val="24"/>
              </w:rPr>
              <w:t>5</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pPr>
              <w:rPr>
                <w:rFonts w:ascii="Times New Roman" w:hAnsi="Times New Roman" w:eastAsia="仿宋_GB2312" w:cs="Times New Roman"/>
                <w:kern w:val="0"/>
                <w:sz w:val="24"/>
                <w:szCs w:val="24"/>
              </w:rPr>
            </w:pPr>
          </w:p>
        </w:tc>
      </w:tr>
    </w:tbl>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供热范围为海昌街道、硖石街道、斜桥镇铁路以北区域、海洲街道铁路以北区域，其中，1号能源站目前供热范围东至隆兴港与庙桥港交界处、西至海涛路西同兴智慧园、南到沪昆铁路北侧的兴业路、北至海宁与秀洲区交界处，已建成热网管线约</w:t>
      </w:r>
      <w:r>
        <w:rPr>
          <w:rFonts w:ascii="Times New Roman" w:hAnsi="Times New Roman" w:eastAsia="仿宋_GB2312" w:cs="宋体"/>
        </w:rPr>
        <w:t>31公里</w:t>
      </w:r>
      <w:r>
        <w:rPr>
          <w:rFonts w:hint="eastAsia" w:ascii="Times New Roman" w:hAnsi="Times New Roman" w:eastAsia="仿宋_GB2312" w:cs="宋体"/>
        </w:rPr>
        <w:t>；</w:t>
      </w:r>
      <w:r>
        <w:rPr>
          <w:rFonts w:ascii="Times New Roman" w:hAnsi="Times New Roman" w:eastAsia="仿宋_GB2312" w:cs="宋体"/>
        </w:rPr>
        <w:t>2</w:t>
      </w:r>
      <w:r>
        <w:rPr>
          <w:rFonts w:hint="eastAsia" w:ascii="Times New Roman" w:hAnsi="Times New Roman" w:eastAsia="仿宋_GB2312" w:cs="宋体"/>
        </w:rPr>
        <w:t>号能源站目前供热范围东至海盐交界处、西至碧云路、南到长山河、北至东勤线区域，已建成热网管线约</w:t>
      </w:r>
      <w:r>
        <w:rPr>
          <w:rFonts w:ascii="Times New Roman" w:hAnsi="Times New Roman" w:eastAsia="仿宋_GB2312" w:cs="宋体"/>
        </w:rPr>
        <w:t>21公里</w:t>
      </w:r>
      <w:r>
        <w:rPr>
          <w:rFonts w:hint="eastAsia" w:ascii="Times New Roman" w:hAnsi="Times New Roman" w:eastAsia="仿宋_GB2312" w:cs="宋体"/>
        </w:rPr>
        <w:t>。</w:t>
      </w:r>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w:t>
      </w:r>
      <w:r>
        <w:rPr>
          <w:rFonts w:ascii="Times New Roman" w:hAnsi="Times New Roman" w:eastAsia="仿宋_GB2312" w:cs="宋体"/>
        </w:rPr>
        <w:t>1号能源站</w:t>
      </w:r>
      <w:r>
        <w:rPr>
          <w:rFonts w:hint="eastAsia" w:ascii="Times New Roman" w:hAnsi="Times New Roman" w:eastAsia="仿宋_GB2312" w:cs="宋体"/>
        </w:rPr>
        <w:t>主要提供低压蒸汽，蒸汽温度为</w:t>
      </w:r>
      <w:r>
        <w:rPr>
          <w:rFonts w:ascii="Times New Roman" w:hAnsi="Times New Roman" w:eastAsia="仿宋_GB2312" w:cs="宋体"/>
        </w:rPr>
        <w:t>200℃，供热压力</w:t>
      </w:r>
      <w:r>
        <w:rPr>
          <w:rFonts w:hint="eastAsia" w:ascii="Times New Roman" w:hAnsi="Times New Roman" w:eastAsia="仿宋_GB2312" w:cs="宋体"/>
        </w:rPr>
        <w:t>0</w:t>
      </w:r>
      <w:r>
        <w:rPr>
          <w:rFonts w:ascii="Times New Roman" w:hAnsi="Times New Roman" w:eastAsia="仿宋_GB2312" w:cs="宋体"/>
        </w:rPr>
        <w:t>.7MPa。2024年公司拥有162</w:t>
      </w:r>
      <w:r>
        <w:rPr>
          <w:rFonts w:hint="eastAsia" w:ascii="Times New Roman" w:hAnsi="Times New Roman" w:eastAsia="仿宋_GB2312" w:cs="宋体"/>
        </w:rPr>
        <w:t>家</w:t>
      </w:r>
      <w:r>
        <w:rPr>
          <w:rFonts w:ascii="Times New Roman" w:hAnsi="Times New Roman" w:eastAsia="仿宋_GB2312" w:cs="宋体"/>
        </w:rPr>
        <w:t>热用户，</w:t>
      </w:r>
      <w:r>
        <w:rPr>
          <w:rFonts w:hint="eastAsia" w:ascii="Times New Roman" w:hAnsi="Times New Roman" w:eastAsia="仿宋_GB2312" w:cs="宋体"/>
        </w:rPr>
        <w:t>主要为印染、纺织、生物制药、服装加工、袜业等行业的企业，低压蒸汽平均热负荷合计</w:t>
      </w:r>
      <w:r>
        <w:rPr>
          <w:rFonts w:ascii="Times New Roman" w:hAnsi="Times New Roman" w:eastAsia="仿宋_GB2312" w:cs="宋体"/>
        </w:rPr>
        <w:t>54.5</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154.1</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w:t>
      </w:r>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w:t>
      </w:r>
      <w:r>
        <w:rPr>
          <w:rFonts w:ascii="Times New Roman" w:hAnsi="Times New Roman" w:eastAsia="仿宋_GB2312" w:cs="宋体"/>
        </w:rPr>
        <w:t>2号能源站</w:t>
      </w:r>
      <w:r>
        <w:rPr>
          <w:rFonts w:hint="eastAsia" w:ascii="Times New Roman" w:hAnsi="Times New Roman" w:eastAsia="仿宋_GB2312" w:cs="宋体"/>
        </w:rPr>
        <w:t>主要提供低压蒸汽，蒸汽温度为</w:t>
      </w:r>
      <w:r>
        <w:rPr>
          <w:rFonts w:ascii="Times New Roman" w:hAnsi="Times New Roman" w:eastAsia="仿宋_GB2312" w:cs="宋体"/>
        </w:rPr>
        <w:t>200℃，供热压力</w:t>
      </w:r>
      <w:r>
        <w:rPr>
          <w:rFonts w:hint="eastAsia" w:ascii="Times New Roman" w:hAnsi="Times New Roman" w:eastAsia="仿宋_GB2312" w:cs="宋体"/>
        </w:rPr>
        <w:t>0</w:t>
      </w:r>
      <w:r>
        <w:rPr>
          <w:rFonts w:ascii="Times New Roman" w:hAnsi="Times New Roman" w:eastAsia="仿宋_GB2312" w:cs="宋体"/>
        </w:rPr>
        <w:t>.7MPa。2024年公司拥有64</w:t>
      </w:r>
      <w:r>
        <w:rPr>
          <w:rFonts w:hint="eastAsia" w:ascii="Times New Roman" w:hAnsi="Times New Roman" w:eastAsia="仿宋_GB2312" w:cs="宋体"/>
        </w:rPr>
        <w:t>家</w:t>
      </w:r>
      <w:r>
        <w:rPr>
          <w:rFonts w:ascii="Times New Roman" w:hAnsi="Times New Roman" w:eastAsia="仿宋_GB2312" w:cs="宋体"/>
        </w:rPr>
        <w:t>热用户，</w:t>
      </w:r>
      <w:r>
        <w:rPr>
          <w:rFonts w:hint="eastAsia" w:ascii="Times New Roman" w:hAnsi="Times New Roman" w:eastAsia="仿宋_GB2312" w:cs="宋体"/>
        </w:rPr>
        <w:t>主要为印染、纺织、生物制药、服装加工、袜业等行业的企业，低压蒸汽平均热负荷合计6</w:t>
      </w:r>
      <w:r>
        <w:rPr>
          <w:rFonts w:ascii="Times New Roman" w:hAnsi="Times New Roman" w:eastAsia="仿宋_GB2312" w:cs="宋体"/>
        </w:rPr>
        <w:t>1.1</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155.2</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w:t>
      </w:r>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w:t>
      </w:r>
      <w:r>
        <w:rPr>
          <w:rFonts w:ascii="Times New Roman" w:hAnsi="Times New Roman" w:eastAsia="仿宋_GB2312" w:cs="宋体"/>
        </w:rPr>
        <w:t>全年售汽量65.22</w:t>
      </w:r>
      <w:r>
        <w:rPr>
          <w:rFonts w:hint="eastAsia" w:ascii="Times New Roman" w:hAnsi="Times New Roman" w:eastAsia="仿宋_GB2312" w:cs="宋体"/>
        </w:rPr>
        <w:t>万吨</w:t>
      </w:r>
      <w:r>
        <w:rPr>
          <w:rFonts w:ascii="Times New Roman" w:hAnsi="Times New Roman" w:eastAsia="仿宋_GB2312" w:cs="宋体"/>
        </w:rPr>
        <w:t>。</w:t>
      </w:r>
      <w:r>
        <w:rPr>
          <w:rFonts w:hint="eastAsia" w:ascii="Times New Roman" w:hAnsi="Times New Roman" w:eastAsia="仿宋_GB2312" w:cs="宋体"/>
        </w:rPr>
        <w:t>2</w:t>
      </w:r>
      <w:r>
        <w:rPr>
          <w:rFonts w:ascii="Times New Roman" w:hAnsi="Times New Roman" w:eastAsia="仿宋_GB2312" w:cs="宋体"/>
        </w:rPr>
        <w:t>024</w:t>
      </w:r>
      <w:r>
        <w:rPr>
          <w:rFonts w:hint="eastAsia" w:ascii="Times New Roman" w:hAnsi="Times New Roman" w:eastAsia="仿宋_GB2312" w:cs="宋体"/>
        </w:rPr>
        <w:t>年公司年耗天然气</w:t>
      </w:r>
      <w:r>
        <w:rPr>
          <w:rFonts w:ascii="Times New Roman" w:hAnsi="Times New Roman" w:eastAsia="仿宋_GB2312" w:cs="宋体"/>
        </w:rPr>
        <w:t>5942</w:t>
      </w:r>
      <w:r>
        <w:rPr>
          <w:rFonts w:hint="eastAsia" w:ascii="Times New Roman" w:hAnsi="Times New Roman" w:eastAsia="仿宋_GB2312" w:cs="宋体"/>
        </w:rPr>
        <w:t>万立方，二氧化硫排放量</w:t>
      </w:r>
      <w:r>
        <w:rPr>
          <w:rFonts w:ascii="Times New Roman" w:hAnsi="Times New Roman" w:eastAsia="仿宋_GB2312" w:cs="宋体"/>
        </w:rPr>
        <w:t>1.1</w:t>
      </w:r>
      <w:r>
        <w:rPr>
          <w:rFonts w:hint="eastAsia" w:ascii="Times New Roman" w:hAnsi="Times New Roman" w:eastAsia="仿宋_GB2312" w:cs="宋体"/>
        </w:rPr>
        <w:t>吨，氮氧化物排放量</w:t>
      </w:r>
      <w:r>
        <w:rPr>
          <w:rFonts w:ascii="Times New Roman" w:hAnsi="Times New Roman" w:eastAsia="仿宋_GB2312" w:cs="宋体"/>
        </w:rPr>
        <w:t>13.74</w:t>
      </w:r>
      <w:r>
        <w:rPr>
          <w:rFonts w:hint="eastAsia" w:ascii="Times New Roman" w:hAnsi="Times New Roman" w:eastAsia="仿宋_GB2312" w:cs="宋体"/>
        </w:rPr>
        <w:t>吨，粉尘排放量</w:t>
      </w:r>
      <w:r>
        <w:rPr>
          <w:rFonts w:ascii="Times New Roman" w:hAnsi="Times New Roman" w:eastAsia="仿宋_GB2312" w:cs="宋体"/>
        </w:rPr>
        <w:t>0.64</w:t>
      </w:r>
      <w:r>
        <w:rPr>
          <w:rFonts w:hint="eastAsia" w:ascii="Times New Roman" w:hAnsi="Times New Roman" w:eastAsia="仿宋_GB2312" w:cs="宋体"/>
        </w:rPr>
        <w:t>吨。</w:t>
      </w:r>
    </w:p>
    <w:p>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表3.2.3-2 </w:t>
      </w:r>
      <w:r>
        <w:rPr>
          <w:rFonts w:hint="eastAsia" w:ascii="黑体" w:hAnsi="黑体" w:eastAsia="黑体" w:cs="Times New Roman"/>
          <w:sz w:val="28"/>
          <w:szCs w:val="24"/>
        </w:rPr>
        <w:t>海宁光耀热电有限公司</w:t>
      </w:r>
      <w:r>
        <w:rPr>
          <w:rFonts w:ascii="黑体" w:hAnsi="黑体" w:eastAsia="黑体" w:cs="Times New Roman"/>
          <w:sz w:val="28"/>
          <w:szCs w:val="24"/>
        </w:rPr>
        <w:t>现有主要热用户情况</w:t>
      </w:r>
    </w:p>
    <w:tbl>
      <w:tblPr>
        <w:tblStyle w:val="24"/>
        <w:tblW w:w="86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blHeader/>
        </w:trPr>
        <w:tc>
          <w:tcPr>
            <w:tcW w:w="6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52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00" w:type="dxa"/>
            <w:gridSpan w:val="7"/>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b/>
                <w:kern w:val="0"/>
                <w:sz w:val="24"/>
                <w:szCs w:val="24"/>
              </w:rPr>
              <w:t>1号能源站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洛巴克服饰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麦格拉服饰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飞龙袜业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荣鑫绞纱</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6.3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3.15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荣鑫筒子缸</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1.75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高利纺织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康益针织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亚润袜业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圣尼皮革</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同兴智慧园</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鑫蕾布艺</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威尔斯针织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富毅袜业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路宝经编</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5.5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2.75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露尚服饰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天谊袜业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来利针织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和野针织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欧龙服饰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八方科技</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兽王皮业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爱利得科技</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诺之皮衣</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佳璐针纺</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越立袜业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敦奴联合实业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27</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财通印刷</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开心袜子定型</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汉达袜业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海昌鑫运</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31</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朗安时装</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1.75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高祥包装</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33</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聚丰时装</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34</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瑞来克斯酒店</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富立袜业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36</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友联照明</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37</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奔</w:t>
            </w:r>
            <w:r>
              <w:rPr>
                <w:rFonts w:ascii="Times New Roman" w:hAnsi="Times New Roman" w:eastAsia="微软雅黑" w:cs="Times New Roman"/>
                <w:color w:val="000000"/>
                <w:kern w:val="0"/>
                <w:sz w:val="24"/>
                <w:szCs w:val="24"/>
                <w:lang w:bidi="ar"/>
              </w:rPr>
              <w:t>犇</w:t>
            </w:r>
            <w:r>
              <w:rPr>
                <w:rFonts w:ascii="Times New Roman" w:hAnsi="Times New Roman" w:eastAsia="仿宋_GB2312" w:cs="Times New Roman"/>
                <w:color w:val="000000"/>
                <w:kern w:val="0"/>
                <w:sz w:val="24"/>
                <w:szCs w:val="24"/>
                <w:lang w:bidi="ar"/>
              </w:rPr>
              <w:t>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38</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梦丽袜业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39</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国富服饰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欧阔服饰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41</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特新毛绒</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富瑞袜业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43</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速美印刷</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44</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卡莎妮服饰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45</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旺晶服饰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46</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雪丹奴服饰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47</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君喜皮草</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48</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圣凯利服饰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花雨伞时装</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艾露服饰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51</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朗克诗顿服饰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52</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凯撒世家服饰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53</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雪兰蒂服饰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54</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韩色服饰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55</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曲姿服饰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56</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弗奥时装</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57</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罗纳服饰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58</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正澳包装</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59</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安正时尚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丰宇时装</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61</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晓芳定型</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62</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安娜世家服饰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63</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思凯路服饰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64</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天格服饰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65</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昊天纺织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66</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博菲电气</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67</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源嘉包装</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68</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皮城康复</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华梦针织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70</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丰银纺织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71</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棱透服饰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72</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弈万皮革</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73</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百耀时装</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74</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恒睿金属</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75</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丽领时装</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76</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靓格服饰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77</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雅帕纳服饰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78</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播黛时装</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79</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同瑞智能家居</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80</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稚央服饰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81</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陈伟</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82</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帕提时尚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83</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一森服饰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84</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宇迪纺织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85</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冰诺姿</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86</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盛博新材料1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87</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盛博新材料2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88</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宏创纸业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89</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品妙服饰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90</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新锦涞</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91</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禧尔森</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92</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火辣服饰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93</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针永体育</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94</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国旭华熠</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95</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敦玛服饰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96</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禾盾服饰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97</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优俏针织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芭蒂蔻时装</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99</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伟达袜业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100</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诚英达纺织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101</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芯美生物</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102</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黛奥皮草</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103</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汉和针织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104</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纵豹服饰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105</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帝弗瑞服饰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106</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兴盛龙服饰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107</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华南新材料</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108</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天福经编</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109</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博鸿服饰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110</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古尚针织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111</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大成针织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112</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腾辉袜业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113</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亿龙袜业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114</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浪润袜业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115</w:t>
            </w: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color w:val="000000"/>
                <w:kern w:val="0"/>
                <w:sz w:val="24"/>
                <w:szCs w:val="24"/>
                <w:lang w:bidi="ar"/>
              </w:rPr>
              <w:t>蓝诺铐头</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p>
        </w:tc>
        <w:tc>
          <w:tcPr>
            <w:tcW w:w="1520" w:type="dxa"/>
            <w:shd w:val="clear" w:color="auto" w:fill="auto"/>
            <w:noWrap/>
            <w:vAlign w:val="center"/>
          </w:tcPr>
          <w:p>
            <w:pPr>
              <w:widowControl/>
              <w:jc w:val="center"/>
              <w:rPr>
                <w:rFonts w:ascii="Times New Roman" w:hAnsi="Times New Roman" w:eastAsia="仿宋_GB2312" w:cs="Times New Roman"/>
                <w:bCs/>
                <w:kern w:val="0"/>
                <w:sz w:val="24"/>
                <w:szCs w:val="24"/>
              </w:rPr>
            </w:pPr>
            <w:r>
              <w:rPr>
                <w:rFonts w:hint="eastAsia" w:ascii="Times New Roman" w:hAnsi="Times New Roman" w:eastAsia="仿宋_GB2312" w:cs="Times New Roman"/>
                <w:bCs/>
                <w:kern w:val="0"/>
                <w:sz w:val="24"/>
                <w:szCs w:val="24"/>
              </w:rPr>
              <w:t>低压蒸汽</w:t>
            </w:r>
            <w:r>
              <w:rPr>
                <w:rFonts w:ascii="Times New Roman" w:hAnsi="Times New Roman" w:eastAsia="仿宋_GB2312" w:cs="Times New Roman"/>
                <w:bCs/>
                <w:kern w:val="0"/>
                <w:sz w:val="24"/>
                <w:szCs w:val="24"/>
              </w:rPr>
              <w:t>合计</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54.5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154.1</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27.5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p>
        </w:tc>
        <w:tc>
          <w:tcPr>
            <w:tcW w:w="1280" w:type="dxa"/>
            <w:shd w:val="clear" w:color="auto" w:fill="auto"/>
            <w:noWrap/>
            <w:vAlign w:val="center"/>
          </w:tcPr>
          <w:p>
            <w:pPr>
              <w:widowControl/>
              <w:jc w:val="center"/>
              <w:rPr>
                <w:rFonts w:ascii="Times New Roman" w:hAnsi="Times New Roman" w:eastAsia="仿宋_GB2312"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00" w:type="dxa"/>
            <w:gridSpan w:val="7"/>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2号能源站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美特针织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东柔新材料</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0.31</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狮子食品</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众凌科技</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至纯企业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0.06</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浩晟纺织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美联袜业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得伟科技</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5.9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2.95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皮意纺织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4.20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恩典针织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红狮宝盛</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0.47</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海欣真空包装</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0.13</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中粮面业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民泰煤气</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0.01</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华立实业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5.5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粮食购销</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宝隆米业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姐妹餐饮</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高鸿针织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德俊新材料</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2.25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兰博生物</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欧梦服饰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硖川针织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爱特服饰</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0.24</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华隆纸制品</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0.06</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雷福针织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6.8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27</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海峰纺织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0.06</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宇力袜业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0.27</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汉保利罗</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0.45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0.23</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汉保利罗分</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2.17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1.09</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31</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千迪袜业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0.06</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恒康塑料</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33</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展毅袜业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34</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同盛定型</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0.26</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马拉克南</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36</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马拉克北</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37</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海欣袜业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38</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吉航工程</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0.19</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39</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联尚皮革</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0.09</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众成塑业</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0.68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0.34</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41</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力合定型</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0.08</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圣麦斯</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0.27</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43</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佳足定型</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0.17</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44</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吉瑞针织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0.37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0.19</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45</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有为针织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0.24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0.12</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46</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钱江生化</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4.05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47</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立昂电子</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0.50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48</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lang w:bidi="ar"/>
              </w:rPr>
              <w:t>多元纺织</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4.35</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190</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低压蒸汽</w:t>
            </w:r>
            <w:r>
              <w:rPr>
                <w:rFonts w:ascii="Times New Roman" w:hAnsi="Times New Roman" w:eastAsia="仿宋_GB2312" w:cs="Times New Roman"/>
                <w:color w:val="000000"/>
                <w:kern w:val="0"/>
                <w:sz w:val="24"/>
                <w:szCs w:val="24"/>
              </w:rPr>
              <w:t>合计</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61.1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155.2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30.6</w:t>
            </w:r>
          </w:p>
        </w:tc>
        <w:tc>
          <w:tcPr>
            <w:tcW w:w="12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p>
        </w:tc>
        <w:tc>
          <w:tcPr>
            <w:tcW w:w="1280" w:type="dxa"/>
            <w:shd w:val="clear" w:color="auto" w:fill="auto"/>
            <w:noWrap/>
            <w:vAlign w:val="center"/>
          </w:tcPr>
          <w:p>
            <w:pPr>
              <w:widowControl/>
              <w:jc w:val="center"/>
              <w:rPr>
                <w:rFonts w:ascii="Times New Roman" w:hAnsi="Times New Roman" w:eastAsia="仿宋_GB2312" w:cs="Times New Roman"/>
                <w:kern w:val="0"/>
                <w:sz w:val="24"/>
                <w:szCs w:val="24"/>
              </w:rPr>
            </w:pPr>
          </w:p>
        </w:tc>
      </w:tr>
    </w:tbl>
    <w:p>
      <w:pPr>
        <w:pStyle w:val="4"/>
        <w:spacing w:before="156" w:beforeLines="50"/>
      </w:pPr>
      <w:bookmarkStart w:id="203" w:name="_Toc144301214"/>
      <w:bookmarkStart w:id="204" w:name="_Toc144300995"/>
      <w:bookmarkStart w:id="205" w:name="_Toc183631769"/>
      <w:bookmarkStart w:id="206" w:name="_Toc171197836"/>
      <w:bookmarkStart w:id="207" w:name="_Toc181983752"/>
      <w:bookmarkStart w:id="208" w:name="_Toc188636896"/>
      <w:r>
        <w:t>3.2.4</w:t>
      </w:r>
      <w:r>
        <w:rPr>
          <w:rFonts w:hint="eastAsia"/>
        </w:rPr>
        <w:t>海宁恒逸热电有限公司</w:t>
      </w:r>
      <w:bookmarkEnd w:id="203"/>
      <w:bookmarkEnd w:id="204"/>
      <w:bookmarkEnd w:id="205"/>
      <w:bookmarkEnd w:id="206"/>
      <w:bookmarkEnd w:id="207"/>
      <w:bookmarkEnd w:id="208"/>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海宁恒逸热电有限公司位于浙江省嘉兴市海宁市尖山新区闻澜路</w:t>
      </w:r>
      <w:r>
        <w:rPr>
          <w:rFonts w:ascii="Times New Roman" w:hAnsi="Times New Roman" w:eastAsia="仿宋_GB2312" w:cs="宋体"/>
        </w:rPr>
        <w:t>51号</w:t>
      </w:r>
      <w:r>
        <w:rPr>
          <w:rFonts w:hint="eastAsia" w:ascii="Times New Roman" w:hAnsi="Times New Roman" w:eastAsia="仿宋_GB2312" w:cs="宋体"/>
        </w:rPr>
        <w:t>，项目于2</w:t>
      </w:r>
      <w:r>
        <w:rPr>
          <w:rFonts w:ascii="Times New Roman" w:hAnsi="Times New Roman" w:eastAsia="仿宋_GB2312" w:cs="宋体"/>
        </w:rPr>
        <w:t>018</w:t>
      </w:r>
      <w:r>
        <w:rPr>
          <w:rFonts w:hint="eastAsia" w:ascii="Times New Roman" w:hAnsi="Times New Roman" w:eastAsia="仿宋_GB2312" w:cs="宋体"/>
        </w:rPr>
        <w:t>年获得嘉兴市发改委批复（批复文件见附件</w:t>
      </w:r>
      <w:r>
        <w:rPr>
          <w:rFonts w:ascii="Times New Roman" w:hAnsi="Times New Roman" w:eastAsia="仿宋_GB2312" w:cs="宋体"/>
        </w:rPr>
        <w:t>2</w:t>
      </w:r>
      <w:r>
        <w:rPr>
          <w:rFonts w:hint="eastAsia" w:ascii="Times New Roman" w:hAnsi="Times New Roman" w:eastAsia="仿宋_GB2312" w:cs="宋体"/>
        </w:rPr>
        <w:t>），2</w:t>
      </w:r>
      <w:r>
        <w:rPr>
          <w:rFonts w:ascii="Times New Roman" w:hAnsi="Times New Roman" w:eastAsia="仿宋_GB2312" w:cs="宋体"/>
        </w:rPr>
        <w:t>020</w:t>
      </w:r>
      <w:r>
        <w:rPr>
          <w:rFonts w:hint="eastAsia" w:ascii="Times New Roman" w:hAnsi="Times New Roman" w:eastAsia="仿宋_GB2312" w:cs="宋体"/>
        </w:rPr>
        <w:t>年建成投产</w:t>
      </w:r>
      <w:r>
        <w:rPr>
          <w:rFonts w:ascii="Times New Roman" w:hAnsi="Times New Roman" w:eastAsia="仿宋_GB2312" w:cs="宋体"/>
        </w:rPr>
        <w:t>。目前规模为3炉2机组，即3台160t/h高温超高压循环流化床锅炉，锅炉2用1备，2套15MW高温超高压背压式汽轮发电机组，汽机1用1备</w:t>
      </w:r>
      <w:r>
        <w:rPr>
          <w:rFonts w:hint="eastAsia" w:ascii="Times New Roman" w:hAnsi="Times New Roman" w:eastAsia="仿宋_GB2312" w:cs="宋体"/>
        </w:rPr>
        <w:t>。</w:t>
      </w:r>
      <w:r>
        <w:rPr>
          <w:rFonts w:ascii="Times New Roman" w:hAnsi="Times New Roman" w:eastAsia="仿宋_GB2312" w:cs="宋体"/>
        </w:rPr>
        <w:t>锅炉总容量480t/h，装机总容量30MW</w:t>
      </w:r>
      <w:r>
        <w:rPr>
          <w:rFonts w:hint="eastAsia" w:ascii="Times New Roman" w:hAnsi="Times New Roman" w:eastAsia="仿宋_GB2312" w:cs="宋体"/>
        </w:rPr>
        <w:t>。</w:t>
      </w:r>
      <w:r>
        <w:rPr>
          <w:rFonts w:ascii="Times New Roman" w:hAnsi="Times New Roman" w:eastAsia="仿宋_GB2312" w:cs="宋体"/>
        </w:rPr>
        <w:t>公司日常供热能力250t/h，最大供热能力352t/h。</w:t>
      </w:r>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海宁恒逸热电有限公司供热范围为黄湾镇、袁花镇，</w:t>
      </w:r>
      <w:r>
        <w:rPr>
          <w:rFonts w:ascii="Times New Roman" w:hAnsi="Times New Roman" w:eastAsia="仿宋_GB2312" w:cs="宋体"/>
        </w:rPr>
        <w:t>目前供热边界东至联鑫板材、北至鑫宁农业区域</w:t>
      </w:r>
      <w:r>
        <w:rPr>
          <w:rFonts w:hint="eastAsia" w:ascii="Times New Roman" w:hAnsi="Times New Roman" w:eastAsia="仿宋_GB2312" w:cs="宋体"/>
        </w:rPr>
        <w:t>，</w:t>
      </w:r>
      <w:r>
        <w:rPr>
          <w:rFonts w:ascii="Times New Roman" w:hAnsi="Times New Roman" w:eastAsia="仿宋_GB2312" w:cs="宋体"/>
        </w:rPr>
        <w:t>已建成热网管线约20公里</w:t>
      </w:r>
      <w:r>
        <w:rPr>
          <w:rFonts w:hint="eastAsia" w:ascii="Times New Roman" w:hAnsi="Times New Roman" w:eastAsia="仿宋_GB2312" w:cs="宋体"/>
        </w:rPr>
        <w:t>。公司主要提供低压、高压蒸汽，其中低压蒸汽温度为</w:t>
      </w:r>
      <w:r>
        <w:rPr>
          <w:rFonts w:ascii="Times New Roman" w:hAnsi="Times New Roman" w:eastAsia="仿宋_GB2312" w:cs="宋体"/>
        </w:rPr>
        <w:t>220℃，压力0.8MPa；</w:t>
      </w:r>
      <w:r>
        <w:rPr>
          <w:rFonts w:hint="eastAsia" w:ascii="Times New Roman" w:hAnsi="Times New Roman" w:eastAsia="仿宋_GB2312" w:cs="宋体"/>
        </w:rPr>
        <w:t>高</w:t>
      </w:r>
      <w:r>
        <w:rPr>
          <w:rFonts w:ascii="Times New Roman" w:hAnsi="Times New Roman" w:eastAsia="仿宋_GB2312" w:cs="宋体"/>
        </w:rPr>
        <w:t>压蒸汽温度为400℃，压力12.5MPa。2024年公司拥有3</w:t>
      </w:r>
      <w:r>
        <w:rPr>
          <w:rFonts w:hint="eastAsia" w:ascii="Times New Roman" w:hAnsi="Times New Roman" w:eastAsia="仿宋_GB2312" w:cs="宋体"/>
        </w:rPr>
        <w:t>家</w:t>
      </w:r>
      <w:r>
        <w:rPr>
          <w:rFonts w:ascii="Times New Roman" w:hAnsi="Times New Roman" w:eastAsia="仿宋_GB2312" w:cs="宋体"/>
        </w:rPr>
        <w:t>热用户，</w:t>
      </w:r>
      <w:r>
        <w:rPr>
          <w:rFonts w:hint="eastAsia" w:ascii="Times New Roman" w:hAnsi="Times New Roman" w:eastAsia="仿宋_GB2312" w:cs="宋体"/>
        </w:rPr>
        <w:t>主要是保障恒逸新材料公司高压蒸汽需求，低压蒸汽平均热负荷合计</w:t>
      </w:r>
      <w:r>
        <w:rPr>
          <w:rFonts w:ascii="Times New Roman" w:hAnsi="Times New Roman" w:eastAsia="仿宋_GB2312" w:cs="宋体"/>
        </w:rPr>
        <w:t>55.2</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124</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；高压蒸汽平均热负荷1</w:t>
      </w:r>
      <w:r>
        <w:rPr>
          <w:rFonts w:ascii="Times New Roman" w:hAnsi="Times New Roman" w:eastAsia="仿宋_GB2312" w:cs="宋体"/>
        </w:rPr>
        <w:t>83</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225</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。公司</w:t>
      </w:r>
      <w:r>
        <w:rPr>
          <w:rFonts w:ascii="Times New Roman" w:hAnsi="Times New Roman" w:eastAsia="仿宋_GB2312" w:cs="宋体"/>
        </w:rPr>
        <w:t>全年售汽量259万吨</w:t>
      </w:r>
      <w:r>
        <w:rPr>
          <w:rFonts w:hint="eastAsia" w:ascii="Times New Roman" w:hAnsi="Times New Roman" w:eastAsia="仿宋_GB2312" w:cs="宋体"/>
        </w:rPr>
        <w:t>，其中低压蒸汽</w:t>
      </w:r>
      <w:r>
        <w:rPr>
          <w:rFonts w:ascii="Times New Roman" w:hAnsi="Times New Roman" w:eastAsia="仿宋_GB2312" w:cs="宋体"/>
        </w:rPr>
        <w:t>72万吨，</w:t>
      </w:r>
      <w:r>
        <w:rPr>
          <w:rFonts w:hint="eastAsia" w:ascii="Times New Roman" w:hAnsi="Times New Roman" w:eastAsia="仿宋_GB2312" w:cs="宋体"/>
        </w:rPr>
        <w:t>高</w:t>
      </w:r>
      <w:r>
        <w:rPr>
          <w:rFonts w:ascii="Times New Roman" w:hAnsi="Times New Roman" w:eastAsia="仿宋_GB2312" w:cs="宋体"/>
        </w:rPr>
        <w:t>压蒸汽187万吨。</w:t>
      </w:r>
      <w:r>
        <w:rPr>
          <w:rFonts w:hint="eastAsia" w:ascii="Times New Roman" w:hAnsi="Times New Roman" w:eastAsia="仿宋_GB2312" w:cs="宋体"/>
        </w:rPr>
        <w:t>2</w:t>
      </w:r>
      <w:r>
        <w:rPr>
          <w:rFonts w:ascii="Times New Roman" w:hAnsi="Times New Roman" w:eastAsia="仿宋_GB2312" w:cs="宋体"/>
        </w:rPr>
        <w:t>024</w:t>
      </w:r>
      <w:r>
        <w:rPr>
          <w:rFonts w:hint="eastAsia" w:ascii="Times New Roman" w:hAnsi="Times New Roman" w:eastAsia="仿宋_GB2312" w:cs="宋体"/>
        </w:rPr>
        <w:t>年公司年耗标煤量</w:t>
      </w:r>
      <w:r>
        <w:rPr>
          <w:rFonts w:ascii="Times New Roman" w:hAnsi="Times New Roman" w:eastAsia="仿宋_GB2312" w:cs="宋体"/>
        </w:rPr>
        <w:t>18.5</w:t>
      </w:r>
      <w:r>
        <w:rPr>
          <w:rFonts w:hint="eastAsia" w:ascii="Times New Roman" w:hAnsi="Times New Roman" w:eastAsia="仿宋_GB2312" w:cs="宋体"/>
        </w:rPr>
        <w:t>万吨标煤，二氧化硫排放量</w:t>
      </w:r>
      <w:r>
        <w:rPr>
          <w:rFonts w:ascii="Times New Roman" w:hAnsi="Times New Roman" w:eastAsia="仿宋_GB2312" w:cs="宋体"/>
        </w:rPr>
        <w:t>26</w:t>
      </w:r>
      <w:r>
        <w:rPr>
          <w:rFonts w:hint="eastAsia" w:ascii="Times New Roman" w:hAnsi="Times New Roman" w:eastAsia="仿宋_GB2312" w:cs="宋体"/>
        </w:rPr>
        <w:t>吨，氮氧化物排放量</w:t>
      </w:r>
      <w:r>
        <w:rPr>
          <w:rFonts w:ascii="Times New Roman" w:hAnsi="Times New Roman" w:eastAsia="仿宋_GB2312" w:cs="宋体"/>
        </w:rPr>
        <w:t>88</w:t>
      </w:r>
      <w:r>
        <w:rPr>
          <w:rFonts w:hint="eastAsia" w:ascii="Times New Roman" w:hAnsi="Times New Roman" w:eastAsia="仿宋_GB2312" w:cs="宋体"/>
        </w:rPr>
        <w:t>吨，粉尘排放量</w:t>
      </w:r>
      <w:r>
        <w:rPr>
          <w:rFonts w:ascii="Times New Roman" w:hAnsi="Times New Roman" w:eastAsia="仿宋_GB2312" w:cs="宋体"/>
        </w:rPr>
        <w:t>2.4</w:t>
      </w:r>
      <w:r>
        <w:rPr>
          <w:rFonts w:hint="eastAsia" w:ascii="Times New Roman" w:hAnsi="Times New Roman" w:eastAsia="仿宋_GB2312" w:cs="宋体"/>
        </w:rPr>
        <w:t>吨。</w:t>
      </w:r>
    </w:p>
    <w:p>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表3.2.4-1 </w:t>
      </w:r>
      <w:r>
        <w:rPr>
          <w:rFonts w:hint="eastAsia" w:ascii="黑体" w:hAnsi="黑体" w:eastAsia="黑体" w:cs="Times New Roman"/>
          <w:sz w:val="28"/>
          <w:szCs w:val="24"/>
        </w:rPr>
        <w:t>海宁恒逸热电有限公司</w:t>
      </w:r>
      <w:r>
        <w:rPr>
          <w:rFonts w:ascii="黑体" w:hAnsi="黑体" w:eastAsia="黑体" w:cs="Times New Roman"/>
          <w:sz w:val="28"/>
          <w:szCs w:val="24"/>
        </w:rPr>
        <w:t>机组规模情况</w:t>
      </w:r>
    </w:p>
    <w:tbl>
      <w:tblPr>
        <w:tblStyle w:val="24"/>
        <w:tblW w:w="5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082"/>
        <w:gridCol w:w="1191"/>
        <w:gridCol w:w="620"/>
        <w:gridCol w:w="2070"/>
        <w:gridCol w:w="1278"/>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tc>
        <w:tc>
          <w:tcPr>
            <w:tcW w:w="1138"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51"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容量（t/h）</w:t>
            </w:r>
          </w:p>
        </w:tc>
        <w:tc>
          <w:tcPr>
            <w:tcW w:w="33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tc>
        <w:tc>
          <w:tcPr>
            <w:tcW w:w="1132"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9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p>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容量（MW）</w:t>
            </w:r>
          </w:p>
        </w:tc>
        <w:tc>
          <w:tcPr>
            <w:tcW w:w="67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排汽</w:t>
            </w:r>
          </w:p>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参数</w:t>
            </w:r>
          </w:p>
          <w:p>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TG-160/13.7-M4</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160</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QF-15-2-10.5</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15</w:t>
            </w:r>
          </w:p>
        </w:tc>
        <w:tc>
          <w:tcPr>
            <w:tcW w:w="679" w:type="pct"/>
            <w:shd w:val="clear" w:color="auto" w:fill="auto"/>
            <w:noWrap/>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0.8/220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TG-160/13.7-M4</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160</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QF-15-2-10.5</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15</w:t>
            </w:r>
          </w:p>
        </w:tc>
        <w:tc>
          <w:tcPr>
            <w:tcW w:w="679" w:type="pct"/>
            <w:shd w:val="clear" w:color="auto" w:fill="auto"/>
            <w:noWrap/>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0.8/220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TG-160/13.7-M4</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160</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pPr>
              <w:jc w:val="center"/>
              <w:rPr>
                <w:rFonts w:ascii="Times New Roman" w:hAnsi="Times New Roman" w:eastAsia="仿宋_GB2312" w:cs="Times New Roman"/>
                <w:kern w:val="0"/>
                <w:sz w:val="24"/>
                <w:szCs w:val="24"/>
              </w:rPr>
            </w:pPr>
          </w:p>
        </w:tc>
      </w:tr>
    </w:tbl>
    <w:p>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表3.2.4-2 </w:t>
      </w:r>
      <w:r>
        <w:rPr>
          <w:rFonts w:hint="eastAsia" w:ascii="黑体" w:hAnsi="黑体" w:eastAsia="黑体" w:cs="Times New Roman"/>
          <w:sz w:val="28"/>
          <w:szCs w:val="24"/>
        </w:rPr>
        <w:t>海宁恒逸热电有限公司</w:t>
      </w:r>
      <w:r>
        <w:rPr>
          <w:rFonts w:ascii="黑体" w:hAnsi="黑体" w:eastAsia="黑体" w:cs="Times New Roman"/>
          <w:sz w:val="28"/>
          <w:szCs w:val="24"/>
        </w:rPr>
        <w:t>现有主要热用户情况</w:t>
      </w:r>
    </w:p>
    <w:tbl>
      <w:tblPr>
        <w:tblStyle w:val="24"/>
        <w:tblW w:w="8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1"/>
        <w:gridCol w:w="1281"/>
        <w:gridCol w:w="1281"/>
        <w:gridCol w:w="1281"/>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52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605" w:type="dxa"/>
            <w:gridSpan w:val="7"/>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联鑫板材</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5.1</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鑫宁农业</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0.3</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恒逸新材料</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112</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165</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p>
        </w:tc>
        <w:tc>
          <w:tcPr>
            <w:tcW w:w="152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低压蒸汽合计</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55.2</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124</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29.3</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605" w:type="dxa"/>
            <w:gridSpan w:val="7"/>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高压蒸汽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恒逸新材料</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183</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225</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141</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400</w:t>
            </w:r>
          </w:p>
        </w:tc>
        <w:tc>
          <w:tcPr>
            <w:tcW w:w="1281"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p>
        </w:tc>
        <w:tc>
          <w:tcPr>
            <w:tcW w:w="152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高压蒸汽合计</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183</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225</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141</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0" w:type="dxa"/>
            <w:shd w:val="clear" w:color="auto" w:fill="auto"/>
            <w:vAlign w:val="center"/>
          </w:tcPr>
          <w:p>
            <w:pPr>
              <w:widowControl/>
              <w:jc w:val="center"/>
              <w:rPr>
                <w:rFonts w:ascii="Times New Roman" w:hAnsi="Times New Roman" w:eastAsia="仿宋_GB2312" w:cs="Times New Roman"/>
                <w:b/>
                <w:color w:val="000000"/>
                <w:kern w:val="0"/>
                <w:sz w:val="24"/>
                <w:szCs w:val="24"/>
              </w:rPr>
            </w:pPr>
          </w:p>
        </w:tc>
        <w:tc>
          <w:tcPr>
            <w:tcW w:w="152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合计</w:t>
            </w:r>
            <w:r>
              <w:rPr>
                <w:rFonts w:hint="eastAsia" w:ascii="Times New Roman" w:hAnsi="Times New Roman" w:eastAsia="仿宋_GB2312" w:cs="Times New Roman"/>
                <w:b/>
                <w:color w:val="000000"/>
                <w:kern w:val="0"/>
                <w:sz w:val="24"/>
                <w:szCs w:val="24"/>
              </w:rPr>
              <w:t>（低压蒸汽+高压蒸汽）</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238.2</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349</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170.3</w:t>
            </w: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p>
        </w:tc>
        <w:tc>
          <w:tcPr>
            <w:tcW w:w="1281" w:type="dxa"/>
            <w:shd w:val="clear" w:color="auto" w:fill="auto"/>
            <w:vAlign w:val="center"/>
          </w:tcPr>
          <w:p>
            <w:pPr>
              <w:widowControl/>
              <w:jc w:val="center"/>
              <w:rPr>
                <w:rFonts w:ascii="Times New Roman" w:hAnsi="Times New Roman" w:eastAsia="仿宋_GB2312" w:cs="Times New Roman"/>
                <w:b/>
                <w:color w:val="000000"/>
                <w:kern w:val="0"/>
                <w:sz w:val="24"/>
                <w:szCs w:val="24"/>
              </w:rPr>
            </w:pPr>
          </w:p>
        </w:tc>
      </w:tr>
    </w:tbl>
    <w:p>
      <w:pPr>
        <w:pStyle w:val="4"/>
        <w:spacing w:before="156" w:beforeLines="50"/>
      </w:pPr>
      <w:bookmarkStart w:id="209" w:name="_Toc188636897"/>
      <w:bookmarkStart w:id="210" w:name="_Toc181983753"/>
      <w:bookmarkStart w:id="211" w:name="_Toc144301215"/>
      <w:bookmarkStart w:id="212" w:name="_Toc183631770"/>
      <w:bookmarkStart w:id="213" w:name="_Toc144300996"/>
      <w:bookmarkStart w:id="214" w:name="_Toc171197837"/>
      <w:bookmarkStart w:id="215" w:name="_Toc144301216"/>
      <w:bookmarkStart w:id="216" w:name="_Toc171197838"/>
      <w:bookmarkStart w:id="217" w:name="_Toc144300997"/>
      <w:r>
        <w:t>3.2.5</w:t>
      </w:r>
      <w:r>
        <w:rPr>
          <w:rFonts w:hint="eastAsia"/>
        </w:rPr>
        <w:t>海宁红宝热电有限公司</w:t>
      </w:r>
      <w:bookmarkEnd w:id="209"/>
      <w:bookmarkEnd w:id="210"/>
      <w:bookmarkEnd w:id="211"/>
      <w:bookmarkEnd w:id="212"/>
      <w:bookmarkEnd w:id="213"/>
      <w:bookmarkEnd w:id="214"/>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海宁市红宝热电有限公司位于浙江省嘉兴市海宁市高新技术产业园区春潮路</w:t>
      </w:r>
      <w:r>
        <w:rPr>
          <w:rFonts w:ascii="Times New Roman" w:hAnsi="Times New Roman" w:eastAsia="仿宋_GB2312" w:cs="宋体"/>
        </w:rPr>
        <w:t>11号（农发区）。目前规模为3炉3机</w:t>
      </w:r>
      <w:r>
        <w:rPr>
          <w:rFonts w:hint="eastAsia" w:ascii="Times New Roman" w:hAnsi="Times New Roman" w:eastAsia="仿宋_GB2312" w:cs="宋体"/>
        </w:rPr>
        <w:t>，即</w:t>
      </w:r>
      <w:r>
        <w:rPr>
          <w:rFonts w:ascii="Times New Roman" w:hAnsi="Times New Roman" w:eastAsia="仿宋_GB2312" w:cs="宋体"/>
        </w:rPr>
        <w:t>3台130t/h次高温次高压循环流化床锅炉</w:t>
      </w:r>
      <w:r>
        <w:rPr>
          <w:rFonts w:hint="eastAsia" w:ascii="Times New Roman" w:hAnsi="Times New Roman" w:eastAsia="仿宋_GB2312" w:cs="宋体"/>
        </w:rPr>
        <w:t>；</w:t>
      </w:r>
      <w:r>
        <w:rPr>
          <w:rFonts w:ascii="Times New Roman" w:hAnsi="Times New Roman" w:eastAsia="仿宋_GB2312" w:cs="宋体"/>
        </w:rPr>
        <w:t>1</w:t>
      </w:r>
      <w:r>
        <w:rPr>
          <w:rFonts w:hint="eastAsia" w:ascii="Times New Roman" w:hAnsi="Times New Roman" w:eastAsia="仿宋_GB2312" w:cs="宋体"/>
        </w:rPr>
        <w:t>套</w:t>
      </w:r>
      <w:r>
        <w:rPr>
          <w:rFonts w:ascii="Times New Roman" w:hAnsi="Times New Roman" w:eastAsia="仿宋_GB2312" w:cs="宋体"/>
        </w:rPr>
        <w:t>12MW</w:t>
      </w:r>
      <w:r>
        <w:rPr>
          <w:rFonts w:ascii="Times New Roman" w:hAnsi="Times New Roman" w:eastAsia="仿宋_GB2312" w:cs="Times New Roman"/>
        </w:rPr>
        <w:t>次高温次高压</w:t>
      </w:r>
      <w:r>
        <w:rPr>
          <w:rFonts w:ascii="Times New Roman" w:hAnsi="Times New Roman" w:eastAsia="仿宋_GB2312" w:cs="宋体"/>
        </w:rPr>
        <w:t>抽背式汽轮发电机组、1</w:t>
      </w:r>
      <w:r>
        <w:rPr>
          <w:rFonts w:hint="eastAsia" w:ascii="Times New Roman" w:hAnsi="Times New Roman" w:eastAsia="仿宋_GB2312" w:cs="宋体"/>
        </w:rPr>
        <w:t>套</w:t>
      </w:r>
      <w:r>
        <w:rPr>
          <w:rFonts w:ascii="Times New Roman" w:hAnsi="Times New Roman" w:eastAsia="仿宋_GB2312" w:cs="宋体"/>
        </w:rPr>
        <w:t>6MW</w:t>
      </w:r>
      <w:r>
        <w:rPr>
          <w:rFonts w:ascii="Times New Roman" w:hAnsi="Times New Roman" w:eastAsia="仿宋_GB2312" w:cs="Times New Roman"/>
        </w:rPr>
        <w:t>次高温次高压</w:t>
      </w:r>
      <w:r>
        <w:rPr>
          <w:rFonts w:ascii="Times New Roman" w:hAnsi="Times New Roman" w:eastAsia="仿宋_GB2312" w:cs="宋体"/>
        </w:rPr>
        <w:t>背压式汽轮发电机组、1</w:t>
      </w:r>
      <w:r>
        <w:rPr>
          <w:rFonts w:hint="eastAsia" w:ascii="Times New Roman" w:hAnsi="Times New Roman" w:eastAsia="仿宋_GB2312" w:cs="宋体"/>
        </w:rPr>
        <w:t>套</w:t>
      </w:r>
      <w:r>
        <w:rPr>
          <w:rFonts w:ascii="Times New Roman" w:hAnsi="Times New Roman" w:eastAsia="仿宋_GB2312" w:cs="宋体"/>
        </w:rPr>
        <w:t>24.5MW</w:t>
      </w:r>
      <w:r>
        <w:rPr>
          <w:rFonts w:ascii="Times New Roman" w:hAnsi="Times New Roman" w:eastAsia="仿宋_GB2312" w:cs="Times New Roman"/>
        </w:rPr>
        <w:t>次高温次高压</w:t>
      </w:r>
      <w:r>
        <w:rPr>
          <w:rFonts w:ascii="Times New Roman" w:hAnsi="Times New Roman" w:eastAsia="仿宋_GB2312" w:cs="宋体"/>
        </w:rPr>
        <w:t>抽凝式汽轮发电机组</w:t>
      </w:r>
      <w:r>
        <w:rPr>
          <w:rFonts w:hint="eastAsia" w:ascii="Times New Roman" w:hAnsi="Times New Roman" w:eastAsia="仿宋_GB2312" w:cs="宋体"/>
        </w:rPr>
        <w:t>。</w:t>
      </w:r>
      <w:r>
        <w:rPr>
          <w:rFonts w:ascii="Times New Roman" w:hAnsi="Times New Roman" w:eastAsia="仿宋_GB2312" w:cs="宋体"/>
        </w:rPr>
        <w:t>锅炉总容量390t/h，装机总容量42.5MW</w:t>
      </w:r>
      <w:r>
        <w:rPr>
          <w:rFonts w:hint="eastAsia" w:ascii="Times New Roman" w:hAnsi="Times New Roman" w:eastAsia="仿宋_GB2312" w:cs="宋体"/>
        </w:rPr>
        <w:t>。</w:t>
      </w:r>
      <w:r>
        <w:rPr>
          <w:rFonts w:ascii="Times New Roman" w:hAnsi="Times New Roman" w:eastAsia="仿宋_GB2312" w:cs="宋体"/>
        </w:rPr>
        <w:t>公司日常供热能力220t/h，最大供热能力260t/h。</w:t>
      </w:r>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海宁市红宝热电有限公司供热范围为长安镇</w:t>
      </w:r>
      <w:r>
        <w:rPr>
          <w:rFonts w:ascii="Times New Roman" w:hAnsi="Times New Roman" w:eastAsia="仿宋_GB2312" w:cs="宋体"/>
        </w:rPr>
        <w:t>101省道以</w:t>
      </w:r>
      <w:r>
        <w:rPr>
          <w:rFonts w:hint="eastAsia" w:ascii="Times New Roman" w:hAnsi="Times New Roman" w:eastAsia="仿宋_GB2312" w:cs="宋体"/>
        </w:rPr>
        <w:t>南</w:t>
      </w:r>
      <w:r>
        <w:rPr>
          <w:rFonts w:ascii="Times New Roman" w:hAnsi="Times New Roman" w:eastAsia="仿宋_GB2312" w:cs="宋体"/>
        </w:rPr>
        <w:t>区域</w:t>
      </w:r>
      <w:r>
        <w:rPr>
          <w:rFonts w:hint="eastAsia" w:ascii="Times New Roman" w:hAnsi="Times New Roman" w:eastAsia="仿宋_GB2312" w:cs="宋体"/>
        </w:rPr>
        <w:t>，目前供热边界东至之江路、西至海宁下沙边界、南到污水处理厂、北至翁金线，主要是高新技术产业园区（农发区），</w:t>
      </w:r>
      <w:r>
        <w:rPr>
          <w:rFonts w:ascii="Times New Roman" w:hAnsi="Times New Roman" w:eastAsia="仿宋_GB2312" w:cs="宋体"/>
        </w:rPr>
        <w:t>已建成热网管线约35公里</w:t>
      </w:r>
      <w:r>
        <w:rPr>
          <w:rFonts w:hint="eastAsia" w:ascii="Times New Roman" w:hAnsi="Times New Roman" w:eastAsia="仿宋_GB2312" w:cs="宋体"/>
        </w:rPr>
        <w:t>。公司主要提供低压、中压蒸汽，其中低压蒸汽温度为</w:t>
      </w:r>
      <w:r>
        <w:rPr>
          <w:rFonts w:ascii="Times New Roman" w:hAnsi="Times New Roman" w:eastAsia="仿宋_GB2312" w:cs="宋体"/>
        </w:rPr>
        <w:t>250℃，压力0.98MPa；中压蒸汽温度为350℃，压力3.0MPa。2024年公司拥有57</w:t>
      </w:r>
      <w:r>
        <w:rPr>
          <w:rFonts w:hint="eastAsia" w:ascii="Times New Roman" w:hAnsi="Times New Roman" w:eastAsia="仿宋_GB2312" w:cs="宋体"/>
        </w:rPr>
        <w:t>家</w:t>
      </w:r>
      <w:r>
        <w:rPr>
          <w:rFonts w:ascii="Times New Roman" w:hAnsi="Times New Roman" w:eastAsia="仿宋_GB2312" w:cs="宋体"/>
        </w:rPr>
        <w:t>热用户，主要用户为印染、食品、包装行业的企业</w:t>
      </w:r>
      <w:r>
        <w:rPr>
          <w:rFonts w:hint="eastAsia" w:ascii="Times New Roman" w:hAnsi="Times New Roman" w:eastAsia="仿宋_GB2312" w:cs="宋体"/>
        </w:rPr>
        <w:t>，低压蒸汽平均热负荷合计</w:t>
      </w:r>
      <w:r>
        <w:rPr>
          <w:rFonts w:ascii="Times New Roman" w:hAnsi="Times New Roman" w:eastAsia="仿宋_GB2312" w:cs="宋体"/>
        </w:rPr>
        <w:t>122.1</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317</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；中压蒸汽平均热负荷</w:t>
      </w:r>
      <w:r>
        <w:rPr>
          <w:rFonts w:ascii="Times New Roman" w:hAnsi="Times New Roman" w:eastAsia="仿宋_GB2312" w:cs="宋体"/>
        </w:rPr>
        <w:t>11</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30</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。公司</w:t>
      </w:r>
      <w:r>
        <w:rPr>
          <w:rFonts w:ascii="Times New Roman" w:hAnsi="Times New Roman" w:eastAsia="仿宋_GB2312" w:cs="宋体"/>
        </w:rPr>
        <w:t>全年售汽量85.12万吨</w:t>
      </w:r>
      <w:r>
        <w:rPr>
          <w:rFonts w:hint="eastAsia" w:ascii="Times New Roman" w:hAnsi="Times New Roman" w:eastAsia="仿宋_GB2312" w:cs="宋体"/>
        </w:rPr>
        <w:t>，其中低压蒸汽</w:t>
      </w:r>
      <w:r>
        <w:rPr>
          <w:rFonts w:ascii="Times New Roman" w:hAnsi="Times New Roman" w:eastAsia="仿宋_GB2312" w:cs="宋体"/>
        </w:rPr>
        <w:t>79.46万吨，中压蒸汽5.66万吨。</w:t>
      </w:r>
      <w:r>
        <w:rPr>
          <w:rFonts w:hint="eastAsia" w:ascii="Times New Roman" w:hAnsi="Times New Roman" w:eastAsia="仿宋_GB2312" w:cs="宋体"/>
        </w:rPr>
        <w:t>2</w:t>
      </w:r>
      <w:r>
        <w:rPr>
          <w:rFonts w:ascii="Times New Roman" w:hAnsi="Times New Roman" w:eastAsia="仿宋_GB2312" w:cs="宋体"/>
        </w:rPr>
        <w:t>024</w:t>
      </w:r>
      <w:r>
        <w:rPr>
          <w:rFonts w:hint="eastAsia" w:ascii="Times New Roman" w:hAnsi="Times New Roman" w:eastAsia="仿宋_GB2312" w:cs="宋体"/>
        </w:rPr>
        <w:t>年公司年耗标煤量</w:t>
      </w:r>
      <w:r>
        <w:rPr>
          <w:rFonts w:ascii="Times New Roman" w:hAnsi="Times New Roman" w:eastAsia="仿宋_GB2312" w:cs="宋体"/>
        </w:rPr>
        <w:t>14.5</w:t>
      </w:r>
      <w:r>
        <w:rPr>
          <w:rFonts w:hint="eastAsia" w:ascii="Times New Roman" w:hAnsi="Times New Roman" w:eastAsia="仿宋_GB2312" w:cs="宋体"/>
        </w:rPr>
        <w:t>万吨标煤，二氧化硫排放量</w:t>
      </w:r>
      <w:r>
        <w:rPr>
          <w:rFonts w:ascii="Times New Roman" w:hAnsi="Times New Roman" w:eastAsia="仿宋_GB2312" w:cs="宋体"/>
        </w:rPr>
        <w:t>12.48</w:t>
      </w:r>
      <w:r>
        <w:rPr>
          <w:rFonts w:hint="eastAsia" w:ascii="Times New Roman" w:hAnsi="Times New Roman" w:eastAsia="仿宋_GB2312" w:cs="宋体"/>
        </w:rPr>
        <w:t>吨，氮氧化物排放量</w:t>
      </w:r>
      <w:r>
        <w:rPr>
          <w:rFonts w:ascii="Times New Roman" w:hAnsi="Times New Roman" w:eastAsia="仿宋_GB2312" w:cs="宋体"/>
        </w:rPr>
        <w:t>39.67</w:t>
      </w:r>
      <w:r>
        <w:rPr>
          <w:rFonts w:hint="eastAsia" w:ascii="Times New Roman" w:hAnsi="Times New Roman" w:eastAsia="仿宋_GB2312" w:cs="宋体"/>
        </w:rPr>
        <w:t>吨，粉尘排放量</w:t>
      </w:r>
      <w:r>
        <w:rPr>
          <w:rFonts w:ascii="Times New Roman" w:hAnsi="Times New Roman" w:eastAsia="仿宋_GB2312" w:cs="宋体"/>
        </w:rPr>
        <w:t>3.24</w:t>
      </w:r>
      <w:r>
        <w:rPr>
          <w:rFonts w:hint="eastAsia" w:ascii="Times New Roman" w:hAnsi="Times New Roman" w:eastAsia="仿宋_GB2312" w:cs="宋体"/>
        </w:rPr>
        <w:t>吨。</w:t>
      </w:r>
    </w:p>
    <w:p>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表3.2.5-1 </w:t>
      </w:r>
      <w:r>
        <w:rPr>
          <w:rFonts w:hint="eastAsia" w:ascii="黑体" w:hAnsi="黑体" w:eastAsia="黑体" w:cs="Times New Roman"/>
          <w:sz w:val="28"/>
          <w:szCs w:val="24"/>
        </w:rPr>
        <w:t>海宁红宝热电有限公司</w:t>
      </w:r>
      <w:r>
        <w:rPr>
          <w:rFonts w:ascii="黑体" w:hAnsi="黑体" w:eastAsia="黑体" w:cs="Times New Roman"/>
          <w:sz w:val="28"/>
          <w:szCs w:val="24"/>
        </w:rPr>
        <w:t>机组规模情况</w:t>
      </w:r>
    </w:p>
    <w:tbl>
      <w:tblPr>
        <w:tblStyle w:val="24"/>
        <w:tblW w:w="5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082"/>
        <w:gridCol w:w="1191"/>
        <w:gridCol w:w="620"/>
        <w:gridCol w:w="2070"/>
        <w:gridCol w:w="1278"/>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tc>
        <w:tc>
          <w:tcPr>
            <w:tcW w:w="1138"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51"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容量（t/h）</w:t>
            </w:r>
          </w:p>
        </w:tc>
        <w:tc>
          <w:tcPr>
            <w:tcW w:w="33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tc>
        <w:tc>
          <w:tcPr>
            <w:tcW w:w="1132"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9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p>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容量（MW）</w:t>
            </w:r>
          </w:p>
        </w:tc>
        <w:tc>
          <w:tcPr>
            <w:tcW w:w="67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排汽</w:t>
            </w:r>
          </w:p>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参数</w:t>
            </w:r>
          </w:p>
          <w:p>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UG-130/5.3-M5</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130</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B12-4.90/0.981</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12</w:t>
            </w:r>
          </w:p>
        </w:tc>
        <w:tc>
          <w:tcPr>
            <w:tcW w:w="679" w:type="pct"/>
            <w:shd w:val="clear" w:color="auto" w:fill="auto"/>
            <w:noWrap/>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UG-130/5.3-M5</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130</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B6-4.90/0.981</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6</w:t>
            </w:r>
          </w:p>
        </w:tc>
        <w:tc>
          <w:tcPr>
            <w:tcW w:w="679" w:type="pct"/>
            <w:shd w:val="clear" w:color="auto" w:fill="auto"/>
            <w:noWrap/>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UG-130/5.3-M5</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130</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C24.5-4.9/0.981</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24.5</w:t>
            </w:r>
          </w:p>
        </w:tc>
        <w:tc>
          <w:tcPr>
            <w:tcW w:w="679" w:type="pct"/>
            <w:shd w:val="clear" w:color="auto" w:fill="auto"/>
            <w:noWrap/>
            <w:vAlign w:val="center"/>
          </w:tcPr>
          <w:p>
            <w:pPr>
              <w:jc w:val="center"/>
              <w:rPr>
                <w:rFonts w:ascii="Times New Roman" w:hAnsi="Times New Roman" w:eastAsia="仿宋_GB2312" w:cs="Times New Roman"/>
                <w:kern w:val="0"/>
                <w:sz w:val="24"/>
                <w:szCs w:val="24"/>
              </w:rPr>
            </w:pPr>
            <w:r>
              <w:rPr>
                <w:rFonts w:ascii="Times New Roman" w:hAnsi="Times New Roman" w:eastAsia="仿宋_GB2312" w:cs="Times New Roman"/>
                <w:color w:val="000000"/>
                <w:sz w:val="24"/>
                <w:szCs w:val="24"/>
              </w:rPr>
              <w:t>0.9/280</w:t>
            </w:r>
          </w:p>
        </w:tc>
      </w:tr>
    </w:tbl>
    <w:p>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表3.2.5-2 </w:t>
      </w:r>
      <w:r>
        <w:rPr>
          <w:rFonts w:hint="eastAsia" w:ascii="黑体" w:hAnsi="黑体" w:eastAsia="黑体" w:cs="Times New Roman"/>
          <w:sz w:val="28"/>
          <w:szCs w:val="24"/>
        </w:rPr>
        <w:t>海宁红宝热电有限公司</w:t>
      </w:r>
      <w:r>
        <w:rPr>
          <w:rFonts w:ascii="黑体" w:hAnsi="黑体" w:eastAsia="黑体" w:cs="Times New Roman"/>
          <w:sz w:val="28"/>
          <w:szCs w:val="24"/>
        </w:rPr>
        <w:t>现有主要热用户情况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1354"/>
        <w:gridCol w:w="1280"/>
        <w:gridCol w:w="1275"/>
        <w:gridCol w:w="1418"/>
        <w:gridCol w:w="1417"/>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622"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序号</w:t>
            </w:r>
          </w:p>
        </w:tc>
        <w:tc>
          <w:tcPr>
            <w:tcW w:w="1354"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热用户名称</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平均负荷(t/h)</w:t>
            </w:r>
          </w:p>
        </w:tc>
        <w:tc>
          <w:tcPr>
            <w:tcW w:w="1275"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最大负荷(t/h)</w:t>
            </w:r>
          </w:p>
        </w:tc>
        <w:tc>
          <w:tcPr>
            <w:tcW w:w="1418"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最小负荷(t/h)</w:t>
            </w:r>
          </w:p>
        </w:tc>
        <w:tc>
          <w:tcPr>
            <w:tcW w:w="1417"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用汽温度(℃)</w:t>
            </w:r>
          </w:p>
        </w:tc>
        <w:tc>
          <w:tcPr>
            <w:tcW w:w="1354"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720" w:type="dxa"/>
            <w:gridSpan w:val="7"/>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低压蒸汽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2"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354"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鑫源染整</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17</w:t>
            </w:r>
          </w:p>
        </w:tc>
        <w:tc>
          <w:tcPr>
            <w:tcW w:w="1275"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42</w:t>
            </w:r>
          </w:p>
        </w:tc>
        <w:tc>
          <w:tcPr>
            <w:tcW w:w="1418"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10</w:t>
            </w:r>
          </w:p>
        </w:tc>
        <w:tc>
          <w:tcPr>
            <w:tcW w:w="1417"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220</w:t>
            </w:r>
          </w:p>
        </w:tc>
        <w:tc>
          <w:tcPr>
            <w:tcW w:w="1354"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2"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354"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长源锦纶</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1.5</w:t>
            </w:r>
          </w:p>
        </w:tc>
        <w:tc>
          <w:tcPr>
            <w:tcW w:w="1275"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w:t>
            </w:r>
          </w:p>
        </w:tc>
        <w:tc>
          <w:tcPr>
            <w:tcW w:w="1418"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417"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354"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2"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354"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天鑫助剂</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w:t>
            </w:r>
          </w:p>
        </w:tc>
        <w:tc>
          <w:tcPr>
            <w:tcW w:w="1275"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418"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1.2</w:t>
            </w:r>
          </w:p>
        </w:tc>
        <w:tc>
          <w:tcPr>
            <w:tcW w:w="1417"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230</w:t>
            </w:r>
          </w:p>
        </w:tc>
        <w:tc>
          <w:tcPr>
            <w:tcW w:w="1354"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2"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w:t>
            </w:r>
          </w:p>
        </w:tc>
        <w:tc>
          <w:tcPr>
            <w:tcW w:w="1354"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恒力羊绒</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75"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w:t>
            </w:r>
          </w:p>
        </w:tc>
        <w:tc>
          <w:tcPr>
            <w:tcW w:w="1418"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417"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220</w:t>
            </w:r>
          </w:p>
        </w:tc>
        <w:tc>
          <w:tcPr>
            <w:tcW w:w="1354"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22"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354"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绿源砂洗</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2.8</w:t>
            </w:r>
          </w:p>
        </w:tc>
        <w:tc>
          <w:tcPr>
            <w:tcW w:w="1275"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10</w:t>
            </w:r>
          </w:p>
        </w:tc>
        <w:tc>
          <w:tcPr>
            <w:tcW w:w="1418"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417"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220</w:t>
            </w:r>
          </w:p>
        </w:tc>
        <w:tc>
          <w:tcPr>
            <w:tcW w:w="1354"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6</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虎霸机械</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4</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7</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雅昌印染</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25</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8</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8</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诚信包装</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12</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安邦材料</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200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11</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新得富</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12</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银梭染织</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6</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13</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庞度环保</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14</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宝石碟</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15</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科峰化工</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16</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立德电器</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17</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赛芙纺织</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4</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12</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18</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汇能兽药</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19</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宏源无纺</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森宝印染</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8</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28</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6</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21</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万紫千红</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7</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22</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映山红</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6</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25</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4</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23</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永盛休闲</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24</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三合盛</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25</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娃哈哈昌盛</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9</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25</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26</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悦翔纸业</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4</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27</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圣博纺织</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180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28</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荣鑫钢带</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180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29</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太平洋</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210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金汇休闲</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31</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圣林包装</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32</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华元纺织</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4</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20</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33</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科峰生物</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4</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34</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鹏飞针织</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35</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龙氏包装</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36</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微软雅黑" w:cs="Times New Roman"/>
                <w:bCs/>
                <w:color w:val="000000"/>
                <w:kern w:val="0"/>
                <w:sz w:val="24"/>
                <w:szCs w:val="24"/>
              </w:rPr>
              <w:t>璟</w:t>
            </w:r>
            <w:r>
              <w:rPr>
                <w:rFonts w:ascii="Times New Roman" w:hAnsi="Times New Roman" w:eastAsia="仿宋_GB2312" w:cs="Times New Roman"/>
                <w:bCs/>
                <w:color w:val="000000"/>
                <w:kern w:val="0"/>
                <w:sz w:val="24"/>
                <w:szCs w:val="24"/>
              </w:rPr>
              <w:t>江纺织</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180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37</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华翔漂染</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7</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38</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金佰利</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hint="eastAsia" w:ascii="Times New Roman" w:hAnsi="Times New Roman" w:eastAsia="仿宋_GB2312" w:cs="Times New Roman"/>
                <w:bCs/>
                <w:color w:val="000000"/>
                <w:kern w:val="0"/>
                <w:sz w:val="22"/>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hint="eastAsia" w:ascii="Times New Roman" w:hAnsi="Times New Roman" w:eastAsia="仿宋_GB2312" w:cs="Times New Roman"/>
                <w:bCs/>
                <w:color w:val="000000"/>
                <w:kern w:val="0"/>
                <w:sz w:val="22"/>
              </w:rPr>
              <w:t>2</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hint="eastAsia" w:ascii="Times New Roman" w:hAnsi="Times New Roman" w:eastAsia="仿宋_GB2312" w:cs="Times New Roman"/>
                <w:bCs/>
                <w:color w:val="000000"/>
                <w:kern w:val="0"/>
                <w:sz w:val="22"/>
              </w:rPr>
              <w:t>0</w:t>
            </w:r>
            <w:r>
              <w:rPr>
                <w:rFonts w:ascii="Times New Roman" w:hAnsi="Times New Roman" w:eastAsia="仿宋_GB2312" w:cs="Times New Roman"/>
                <w:bCs/>
                <w:color w:val="000000"/>
                <w:kern w:val="0"/>
                <w:sz w:val="22"/>
              </w:rPr>
              <w:t>.5</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180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39</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盛凯制品</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三和食品</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5</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15</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41</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耀胜包装</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42</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宏利</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43</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华翔2</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3</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7</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210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44</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和心家纺</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180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45</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万事利</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200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46</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常青蜂业</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220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47</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美惠机械</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230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48</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大象机械</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49</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鸿翔环境</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50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统合电子</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51</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同维电子</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52</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菲菱科思</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2"/>
              </w:rPr>
              <w:t>53</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信华电子</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190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ascii="Times New Roman" w:hAnsi="Times New Roman" w:eastAsia="仿宋_GB2312" w:cs="Times New Roman"/>
                <w:bCs/>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p>
        </w:tc>
        <w:tc>
          <w:tcPr>
            <w:tcW w:w="1354" w:type="dxa"/>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低压蒸汽合计</w:t>
            </w:r>
          </w:p>
        </w:tc>
        <w:tc>
          <w:tcPr>
            <w:tcW w:w="1280" w:type="dxa"/>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122.1</w:t>
            </w:r>
          </w:p>
        </w:tc>
        <w:tc>
          <w:tcPr>
            <w:tcW w:w="1275" w:type="dxa"/>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317</w:t>
            </w:r>
          </w:p>
        </w:tc>
        <w:tc>
          <w:tcPr>
            <w:tcW w:w="1418" w:type="dxa"/>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81.7</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720" w:type="dxa"/>
            <w:gridSpan w:val="7"/>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中压蒸汽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hint="eastAsia" w:ascii="Times New Roman" w:hAnsi="Times New Roman" w:eastAsia="仿宋_GB2312" w:cs="Times New Roman"/>
                <w:bCs/>
                <w:color w:val="000000"/>
                <w:kern w:val="0"/>
                <w:sz w:val="22"/>
              </w:rPr>
              <w:t>5</w:t>
            </w:r>
            <w:r>
              <w:rPr>
                <w:rFonts w:ascii="Times New Roman" w:hAnsi="Times New Roman" w:eastAsia="仿宋_GB2312" w:cs="Times New Roman"/>
                <w:bCs/>
                <w:color w:val="000000"/>
                <w:kern w:val="0"/>
                <w:sz w:val="22"/>
              </w:rPr>
              <w:t>4</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鑫源中压</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0.8</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250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hint="eastAsia" w:ascii="Times New Roman" w:hAnsi="Times New Roman" w:eastAsia="仿宋_GB2312" w:cs="Times New Roman"/>
                <w:bCs/>
                <w:color w:val="000000"/>
                <w:kern w:val="0"/>
                <w:sz w:val="22"/>
              </w:rPr>
              <w:t>5</w:t>
            </w:r>
            <w:r>
              <w:rPr>
                <w:rFonts w:ascii="Times New Roman" w:hAnsi="Times New Roman" w:eastAsia="仿宋_GB2312" w:cs="Times New Roman"/>
                <w:bCs/>
                <w:color w:val="000000"/>
                <w:kern w:val="0"/>
                <w:sz w:val="22"/>
              </w:rPr>
              <w:t>5</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越海中压</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8</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280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hint="eastAsia" w:ascii="Times New Roman" w:hAnsi="Times New Roman" w:eastAsia="仿宋_GB2312" w:cs="Times New Roman"/>
                <w:bCs/>
                <w:color w:val="000000"/>
                <w:kern w:val="0"/>
                <w:sz w:val="22"/>
              </w:rPr>
              <w:t>5</w:t>
            </w:r>
            <w:r>
              <w:rPr>
                <w:rFonts w:ascii="Times New Roman" w:hAnsi="Times New Roman" w:eastAsia="仿宋_GB2312" w:cs="Times New Roman"/>
                <w:bCs/>
                <w:color w:val="000000"/>
                <w:kern w:val="0"/>
                <w:sz w:val="22"/>
              </w:rPr>
              <w:t>6</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雅昌中压</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12</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290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r>
              <w:rPr>
                <w:rFonts w:hint="eastAsia" w:ascii="Times New Roman" w:hAnsi="Times New Roman" w:eastAsia="仿宋_GB2312" w:cs="Times New Roman"/>
                <w:bCs/>
                <w:color w:val="000000"/>
                <w:kern w:val="0"/>
                <w:sz w:val="22"/>
              </w:rPr>
              <w:t>5</w:t>
            </w:r>
            <w:r>
              <w:rPr>
                <w:rFonts w:ascii="Times New Roman" w:hAnsi="Times New Roman" w:eastAsia="仿宋_GB2312" w:cs="Times New Roman"/>
                <w:bCs/>
                <w:color w:val="000000"/>
                <w:kern w:val="0"/>
                <w:sz w:val="22"/>
              </w:rPr>
              <w:t>7</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金佰利中压</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75"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418"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260</w:t>
            </w: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Cs/>
                <w:color w:val="000000"/>
                <w:kern w:val="0"/>
                <w:sz w:val="22"/>
              </w:rPr>
            </w:pPr>
          </w:p>
        </w:tc>
        <w:tc>
          <w:tcPr>
            <w:tcW w:w="1354" w:type="dxa"/>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中压蒸汽合计</w:t>
            </w:r>
          </w:p>
        </w:tc>
        <w:tc>
          <w:tcPr>
            <w:tcW w:w="1280" w:type="dxa"/>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1</w:t>
            </w:r>
            <w:r>
              <w:rPr>
                <w:rFonts w:ascii="Times New Roman" w:hAnsi="Times New Roman" w:eastAsia="仿宋_GB2312" w:cs="Times New Roman"/>
                <w:b/>
                <w:bCs/>
                <w:color w:val="000000"/>
                <w:kern w:val="0"/>
                <w:sz w:val="24"/>
                <w:szCs w:val="24"/>
              </w:rPr>
              <w:t>1</w:t>
            </w:r>
          </w:p>
        </w:tc>
        <w:tc>
          <w:tcPr>
            <w:tcW w:w="1275" w:type="dxa"/>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3</w:t>
            </w:r>
            <w:r>
              <w:rPr>
                <w:rFonts w:ascii="Times New Roman" w:hAnsi="Times New Roman" w:eastAsia="仿宋_GB2312" w:cs="Times New Roman"/>
                <w:b/>
                <w:bCs/>
                <w:color w:val="000000"/>
                <w:kern w:val="0"/>
                <w:sz w:val="24"/>
                <w:szCs w:val="24"/>
              </w:rPr>
              <w:t>0</w:t>
            </w:r>
          </w:p>
        </w:tc>
        <w:tc>
          <w:tcPr>
            <w:tcW w:w="1418" w:type="dxa"/>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5</w:t>
            </w:r>
            <w:r>
              <w:rPr>
                <w:rFonts w:ascii="Times New Roman" w:hAnsi="Times New Roman" w:eastAsia="仿宋_GB2312" w:cs="Times New Roman"/>
                <w:b/>
                <w:bCs/>
                <w:color w:val="000000"/>
                <w:kern w:val="0"/>
                <w:sz w:val="24"/>
                <w:szCs w:val="24"/>
              </w:rPr>
              <w:t>.</w:t>
            </w:r>
            <w:r>
              <w:rPr>
                <w:rFonts w:hint="eastAsia" w:ascii="Times New Roman" w:hAnsi="Times New Roman" w:eastAsia="仿宋_GB2312" w:cs="Times New Roman"/>
                <w:b/>
                <w:bCs/>
                <w:color w:val="000000"/>
                <w:kern w:val="0"/>
                <w:sz w:val="24"/>
                <w:szCs w:val="24"/>
              </w:rPr>
              <w:t>8</w:t>
            </w:r>
          </w:p>
        </w:tc>
        <w:tc>
          <w:tcPr>
            <w:tcW w:w="1417"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p>
        </w:tc>
        <w:tc>
          <w:tcPr>
            <w:tcW w:w="1354"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2" w:type="dxa"/>
            <w:shd w:val="clear" w:color="auto" w:fill="auto"/>
            <w:noWrap/>
            <w:vAlign w:val="center"/>
          </w:tcPr>
          <w:p>
            <w:pPr>
              <w:widowControl/>
              <w:jc w:val="center"/>
              <w:rPr>
                <w:rFonts w:ascii="Times New Roman" w:hAnsi="Times New Roman" w:eastAsia="仿宋_GB2312" w:cs="Times New Roman"/>
                <w:b/>
                <w:bCs/>
                <w:color w:val="000000"/>
                <w:kern w:val="0"/>
                <w:sz w:val="22"/>
              </w:rPr>
            </w:pPr>
          </w:p>
        </w:tc>
        <w:tc>
          <w:tcPr>
            <w:tcW w:w="1354" w:type="dxa"/>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合计</w:t>
            </w:r>
            <w:r>
              <w:rPr>
                <w:rFonts w:hint="eastAsia" w:ascii="Times New Roman" w:hAnsi="Times New Roman" w:eastAsia="仿宋_GB2312" w:cs="Times New Roman"/>
                <w:b/>
                <w:bCs/>
                <w:color w:val="000000"/>
                <w:kern w:val="0"/>
                <w:sz w:val="24"/>
                <w:szCs w:val="24"/>
              </w:rPr>
              <w:t>（低压蒸汽+中压蒸汽）</w:t>
            </w:r>
          </w:p>
        </w:tc>
        <w:tc>
          <w:tcPr>
            <w:tcW w:w="1280" w:type="dxa"/>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133.1</w:t>
            </w:r>
          </w:p>
        </w:tc>
        <w:tc>
          <w:tcPr>
            <w:tcW w:w="1275" w:type="dxa"/>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347</w:t>
            </w:r>
          </w:p>
        </w:tc>
        <w:tc>
          <w:tcPr>
            <w:tcW w:w="1418" w:type="dxa"/>
            <w:shd w:val="clear" w:color="auto" w:fill="auto"/>
            <w:noWrap/>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87.5</w:t>
            </w:r>
          </w:p>
        </w:tc>
        <w:tc>
          <w:tcPr>
            <w:tcW w:w="1417" w:type="dxa"/>
            <w:shd w:val="clear" w:color="auto" w:fill="auto"/>
            <w:noWrap/>
            <w:vAlign w:val="center"/>
          </w:tcPr>
          <w:p>
            <w:pPr>
              <w:widowControl/>
              <w:jc w:val="center"/>
              <w:rPr>
                <w:rFonts w:ascii="Times New Roman" w:hAnsi="Times New Roman" w:eastAsia="仿宋_GB2312" w:cs="Times New Roman"/>
                <w:b/>
                <w:bCs/>
                <w:color w:val="000000"/>
                <w:kern w:val="0"/>
                <w:sz w:val="22"/>
              </w:rPr>
            </w:pPr>
          </w:p>
        </w:tc>
        <w:tc>
          <w:tcPr>
            <w:tcW w:w="1354" w:type="dxa"/>
            <w:shd w:val="clear" w:color="auto" w:fill="auto"/>
            <w:noWrap/>
            <w:vAlign w:val="center"/>
          </w:tcPr>
          <w:p>
            <w:pPr>
              <w:widowControl/>
              <w:jc w:val="center"/>
              <w:rPr>
                <w:rFonts w:ascii="Times New Roman" w:hAnsi="Times New Roman" w:eastAsia="仿宋_GB2312" w:cs="Times New Roman"/>
                <w:b/>
                <w:kern w:val="0"/>
                <w:sz w:val="20"/>
                <w:szCs w:val="20"/>
              </w:rPr>
            </w:pPr>
          </w:p>
        </w:tc>
      </w:tr>
    </w:tbl>
    <w:p>
      <w:pPr>
        <w:pStyle w:val="4"/>
        <w:spacing w:before="156" w:beforeLines="50"/>
      </w:pPr>
      <w:bookmarkStart w:id="218" w:name="_Toc188636898"/>
      <w:bookmarkStart w:id="219" w:name="_Toc183631771"/>
      <w:bookmarkStart w:id="220" w:name="_Toc181983754"/>
      <w:r>
        <w:t>3.2.6</w:t>
      </w:r>
      <w:r>
        <w:rPr>
          <w:rFonts w:hint="eastAsia"/>
        </w:rPr>
        <w:t>浙江泰亿能源有限公司</w:t>
      </w:r>
      <w:bookmarkEnd w:id="215"/>
      <w:bookmarkEnd w:id="216"/>
      <w:bookmarkEnd w:id="217"/>
      <w:bookmarkEnd w:id="218"/>
      <w:bookmarkEnd w:id="219"/>
      <w:bookmarkEnd w:id="220"/>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浙江泰亿能源有限公司位于浙江省嘉兴市海宁市周王庙镇新丰路</w:t>
      </w:r>
      <w:r>
        <w:rPr>
          <w:rFonts w:ascii="Times New Roman" w:hAnsi="Times New Roman" w:eastAsia="仿宋_GB2312" w:cs="宋体"/>
        </w:rPr>
        <w:t>8号</w:t>
      </w:r>
      <w:r>
        <w:rPr>
          <w:rFonts w:hint="eastAsia" w:ascii="Times New Roman" w:hAnsi="Times New Roman" w:eastAsia="仿宋_GB2312" w:cs="宋体"/>
        </w:rPr>
        <w:t>，项目于2</w:t>
      </w:r>
      <w:r>
        <w:rPr>
          <w:rFonts w:ascii="Times New Roman" w:hAnsi="Times New Roman" w:eastAsia="仿宋_GB2312" w:cs="宋体"/>
        </w:rPr>
        <w:t>017</w:t>
      </w:r>
      <w:r>
        <w:rPr>
          <w:rFonts w:hint="eastAsia" w:ascii="Times New Roman" w:hAnsi="Times New Roman" w:eastAsia="仿宋_GB2312" w:cs="宋体"/>
        </w:rPr>
        <w:t>年获得嘉兴市发改委批复（批复文件见附件</w:t>
      </w:r>
      <w:r>
        <w:rPr>
          <w:rFonts w:ascii="Times New Roman" w:hAnsi="Times New Roman" w:eastAsia="仿宋_GB2312" w:cs="宋体"/>
        </w:rPr>
        <w:t>3</w:t>
      </w:r>
      <w:r>
        <w:rPr>
          <w:rFonts w:hint="eastAsia" w:ascii="Times New Roman" w:hAnsi="Times New Roman" w:eastAsia="仿宋_GB2312" w:cs="宋体"/>
        </w:rPr>
        <w:t>），2</w:t>
      </w:r>
      <w:r>
        <w:rPr>
          <w:rFonts w:ascii="Times New Roman" w:hAnsi="Times New Roman" w:eastAsia="仿宋_GB2312" w:cs="宋体"/>
        </w:rPr>
        <w:t>019</w:t>
      </w:r>
      <w:r>
        <w:rPr>
          <w:rFonts w:hint="eastAsia" w:ascii="Times New Roman" w:hAnsi="Times New Roman" w:eastAsia="仿宋_GB2312" w:cs="宋体"/>
        </w:rPr>
        <w:t>年建成投产</w:t>
      </w:r>
      <w:r>
        <w:rPr>
          <w:rFonts w:ascii="Times New Roman" w:hAnsi="Times New Roman" w:eastAsia="仿宋_GB2312" w:cs="宋体"/>
        </w:rPr>
        <w:t>。目前规模为2炉1机组，即2台90t/h高温高压循环流化床锅炉</w:t>
      </w:r>
      <w:r>
        <w:rPr>
          <w:rFonts w:hint="eastAsia" w:ascii="Times New Roman" w:hAnsi="Times New Roman" w:eastAsia="仿宋_GB2312" w:cs="宋体"/>
        </w:rPr>
        <w:t>，</w:t>
      </w:r>
      <w:r>
        <w:rPr>
          <w:rFonts w:ascii="Times New Roman" w:hAnsi="Times New Roman" w:eastAsia="仿宋_GB2312" w:cs="宋体"/>
        </w:rPr>
        <w:t>锅炉1用1备</w:t>
      </w:r>
      <w:r>
        <w:rPr>
          <w:rFonts w:hint="eastAsia" w:ascii="Times New Roman" w:hAnsi="Times New Roman" w:eastAsia="仿宋_GB2312" w:cs="宋体"/>
        </w:rPr>
        <w:t>；</w:t>
      </w:r>
      <w:r>
        <w:rPr>
          <w:rFonts w:ascii="Times New Roman" w:hAnsi="Times New Roman" w:eastAsia="仿宋_GB2312" w:cs="宋体"/>
        </w:rPr>
        <w:t>1套9MW高温高压抽背式汽轮发电机组</w:t>
      </w:r>
      <w:r>
        <w:rPr>
          <w:rFonts w:hint="eastAsia" w:ascii="Times New Roman" w:hAnsi="Times New Roman" w:eastAsia="仿宋_GB2312" w:cs="宋体"/>
        </w:rPr>
        <w:t>。</w:t>
      </w:r>
      <w:r>
        <w:rPr>
          <w:rFonts w:ascii="Times New Roman" w:hAnsi="Times New Roman" w:eastAsia="仿宋_GB2312" w:cs="宋体"/>
        </w:rPr>
        <w:t>锅炉总容量180t/h，装机</w:t>
      </w:r>
      <w:r>
        <w:rPr>
          <w:rFonts w:hint="eastAsia" w:ascii="Times New Roman" w:hAnsi="Times New Roman" w:eastAsia="仿宋_GB2312" w:cs="宋体"/>
        </w:rPr>
        <w:t>总</w:t>
      </w:r>
      <w:r>
        <w:rPr>
          <w:rFonts w:ascii="Times New Roman" w:hAnsi="Times New Roman" w:eastAsia="仿宋_GB2312" w:cs="宋体"/>
        </w:rPr>
        <w:t>容量9MW</w:t>
      </w:r>
      <w:r>
        <w:rPr>
          <w:rFonts w:hint="eastAsia" w:ascii="Times New Roman" w:hAnsi="Times New Roman" w:eastAsia="仿宋_GB2312" w:cs="宋体"/>
        </w:rPr>
        <w:t>。</w:t>
      </w:r>
      <w:r>
        <w:rPr>
          <w:rFonts w:ascii="Times New Roman" w:hAnsi="Times New Roman" w:eastAsia="仿宋_GB2312" w:cs="宋体"/>
        </w:rPr>
        <w:t>公司日常供热能力70t/h，最大供热能力150t/h。</w:t>
      </w:r>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浙江泰亿能源有限公司供热范围为周王庙镇、长安镇</w:t>
      </w:r>
      <w:r>
        <w:rPr>
          <w:rFonts w:ascii="Times New Roman" w:hAnsi="Times New Roman" w:eastAsia="仿宋_GB2312" w:cs="宋体"/>
        </w:rPr>
        <w:t>101省道以北</w:t>
      </w:r>
      <w:r>
        <w:rPr>
          <w:rFonts w:hint="eastAsia" w:ascii="Times New Roman" w:hAnsi="Times New Roman" w:eastAsia="仿宋_GB2312" w:cs="宋体"/>
        </w:rPr>
        <w:t>区域</w:t>
      </w:r>
      <w:r>
        <w:rPr>
          <w:rFonts w:ascii="Times New Roman" w:hAnsi="Times New Roman" w:eastAsia="仿宋_GB2312" w:cs="宋体"/>
        </w:rPr>
        <w:t>、盐官镇</w:t>
      </w:r>
      <w:r>
        <w:rPr>
          <w:rFonts w:hint="eastAsia" w:ascii="Times New Roman" w:hAnsi="Times New Roman" w:eastAsia="仿宋_GB2312" w:cs="宋体"/>
        </w:rPr>
        <w:t>，</w:t>
      </w:r>
      <w:r>
        <w:rPr>
          <w:rFonts w:ascii="Times New Roman" w:hAnsi="Times New Roman" w:eastAsia="仿宋_GB2312" w:cs="宋体"/>
        </w:rPr>
        <w:t>目前供热边界东至盐官镇群益村、西至长安镇肖王村、南到周王庙石井村、北至周王庙联民村和上林村区域</w:t>
      </w:r>
      <w:r>
        <w:rPr>
          <w:rFonts w:hint="eastAsia" w:ascii="Times New Roman" w:hAnsi="Times New Roman" w:eastAsia="仿宋_GB2312" w:cs="宋体"/>
        </w:rPr>
        <w:t>，</w:t>
      </w:r>
      <w:r>
        <w:rPr>
          <w:rFonts w:ascii="Times New Roman" w:hAnsi="Times New Roman" w:eastAsia="仿宋_GB2312" w:cs="宋体"/>
        </w:rPr>
        <w:t>已建成热网管线约33公里。</w:t>
      </w:r>
      <w:r>
        <w:rPr>
          <w:rFonts w:hint="eastAsia" w:ascii="Times New Roman" w:hAnsi="Times New Roman" w:eastAsia="仿宋_GB2312" w:cs="宋体"/>
        </w:rPr>
        <w:t>公司主要提供低压、中压蒸汽，其中低压蒸汽温度为</w:t>
      </w:r>
      <w:r>
        <w:rPr>
          <w:rFonts w:ascii="Times New Roman" w:hAnsi="Times New Roman" w:eastAsia="仿宋_GB2312" w:cs="宋体"/>
        </w:rPr>
        <w:t>230℃，压力0.9MPa；中压蒸汽温度为350℃，压力2.8MPa。2024年公司拥有29</w:t>
      </w:r>
      <w:r>
        <w:rPr>
          <w:rFonts w:hint="eastAsia" w:ascii="Times New Roman" w:hAnsi="Times New Roman" w:eastAsia="仿宋_GB2312" w:cs="宋体"/>
        </w:rPr>
        <w:t>家</w:t>
      </w:r>
      <w:r>
        <w:rPr>
          <w:rFonts w:ascii="Times New Roman" w:hAnsi="Times New Roman" w:eastAsia="仿宋_GB2312" w:cs="宋体"/>
        </w:rPr>
        <w:t>热用户，主要为化工</w:t>
      </w:r>
      <w:r>
        <w:rPr>
          <w:rFonts w:hint="eastAsia" w:ascii="Times New Roman" w:hAnsi="Times New Roman" w:eastAsia="仿宋_GB2312" w:cs="宋体"/>
        </w:rPr>
        <w:t>、</w:t>
      </w:r>
      <w:r>
        <w:rPr>
          <w:rFonts w:ascii="Times New Roman" w:hAnsi="Times New Roman" w:eastAsia="仿宋_GB2312" w:cs="宋体"/>
        </w:rPr>
        <w:t>包装</w:t>
      </w:r>
      <w:r>
        <w:rPr>
          <w:rFonts w:hint="eastAsia" w:ascii="Times New Roman" w:hAnsi="Times New Roman" w:eastAsia="仿宋_GB2312" w:cs="宋体"/>
        </w:rPr>
        <w:t>等</w:t>
      </w:r>
      <w:r>
        <w:rPr>
          <w:rFonts w:ascii="Times New Roman" w:hAnsi="Times New Roman" w:eastAsia="仿宋_GB2312" w:cs="宋体"/>
        </w:rPr>
        <w:t>行业的企业</w:t>
      </w:r>
      <w:r>
        <w:rPr>
          <w:rFonts w:hint="eastAsia" w:ascii="Times New Roman" w:hAnsi="Times New Roman" w:eastAsia="仿宋_GB2312" w:cs="宋体"/>
        </w:rPr>
        <w:t>，低压蒸汽平均热负荷合计</w:t>
      </w:r>
      <w:r>
        <w:rPr>
          <w:rFonts w:ascii="Times New Roman" w:hAnsi="Times New Roman" w:eastAsia="仿宋_GB2312" w:cs="宋体"/>
        </w:rPr>
        <w:t>35.3</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w:t>
      </w:r>
      <w:r>
        <w:rPr>
          <w:rFonts w:ascii="Times New Roman" w:hAnsi="Times New Roman" w:eastAsia="仿宋_GB2312" w:cs="宋体"/>
        </w:rPr>
        <w:t>108.3</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；中压蒸汽平均热负荷</w:t>
      </w:r>
      <w:r>
        <w:rPr>
          <w:rFonts w:ascii="Times New Roman" w:hAnsi="Times New Roman" w:eastAsia="仿宋_GB2312" w:cs="宋体"/>
        </w:rPr>
        <w:t>9.5</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，最大热负荷合计1</w:t>
      </w:r>
      <w:r>
        <w:rPr>
          <w:rFonts w:ascii="Times New Roman" w:hAnsi="Times New Roman" w:eastAsia="仿宋_GB2312" w:cs="宋体"/>
        </w:rPr>
        <w:t>7.6</w:t>
      </w:r>
      <w:r>
        <w:rPr>
          <w:rFonts w:hint="eastAsia" w:ascii="Times New Roman" w:hAnsi="Times New Roman" w:eastAsia="仿宋_GB2312" w:cs="宋体"/>
        </w:rPr>
        <w:t>t</w:t>
      </w:r>
      <w:r>
        <w:rPr>
          <w:rFonts w:ascii="Times New Roman" w:hAnsi="Times New Roman" w:eastAsia="仿宋_GB2312" w:cs="宋体"/>
        </w:rPr>
        <w:t>/h</w:t>
      </w:r>
      <w:r>
        <w:rPr>
          <w:rFonts w:hint="eastAsia" w:ascii="Times New Roman" w:hAnsi="Times New Roman" w:eastAsia="仿宋_GB2312" w:cs="宋体"/>
        </w:rPr>
        <w:t>。公司</w:t>
      </w:r>
      <w:r>
        <w:rPr>
          <w:rFonts w:ascii="Times New Roman" w:hAnsi="Times New Roman" w:eastAsia="仿宋_GB2312" w:cs="宋体"/>
        </w:rPr>
        <w:t>全年售汽量31万吨</w:t>
      </w:r>
      <w:r>
        <w:rPr>
          <w:rFonts w:hint="eastAsia" w:ascii="Times New Roman" w:hAnsi="Times New Roman" w:eastAsia="仿宋_GB2312" w:cs="宋体"/>
        </w:rPr>
        <w:t>，其中低压蒸汽</w:t>
      </w:r>
      <w:r>
        <w:rPr>
          <w:rFonts w:ascii="Times New Roman" w:hAnsi="Times New Roman" w:eastAsia="仿宋_GB2312" w:cs="宋体"/>
        </w:rPr>
        <w:t>23.6万吨，中压蒸汽7.4万吨。</w:t>
      </w:r>
      <w:r>
        <w:rPr>
          <w:rFonts w:hint="eastAsia" w:ascii="Times New Roman" w:hAnsi="Times New Roman" w:eastAsia="仿宋_GB2312" w:cs="宋体"/>
        </w:rPr>
        <w:t>2</w:t>
      </w:r>
      <w:r>
        <w:rPr>
          <w:rFonts w:ascii="Times New Roman" w:hAnsi="Times New Roman" w:eastAsia="仿宋_GB2312" w:cs="宋体"/>
        </w:rPr>
        <w:t>024</w:t>
      </w:r>
      <w:r>
        <w:rPr>
          <w:rFonts w:hint="eastAsia" w:ascii="Times New Roman" w:hAnsi="Times New Roman" w:eastAsia="仿宋_GB2312" w:cs="宋体"/>
        </w:rPr>
        <w:t>年公司年耗标煤量</w:t>
      </w:r>
      <w:r>
        <w:rPr>
          <w:rFonts w:ascii="Times New Roman" w:hAnsi="Times New Roman" w:eastAsia="仿宋_GB2312" w:cs="宋体"/>
        </w:rPr>
        <w:t>5.2</w:t>
      </w:r>
      <w:r>
        <w:rPr>
          <w:rFonts w:hint="eastAsia" w:ascii="Times New Roman" w:hAnsi="Times New Roman" w:eastAsia="仿宋_GB2312" w:cs="宋体"/>
        </w:rPr>
        <w:t>万吨标煤，二氧化硫排放量</w:t>
      </w:r>
      <w:r>
        <w:rPr>
          <w:rFonts w:ascii="Times New Roman" w:hAnsi="Times New Roman" w:eastAsia="仿宋_GB2312" w:cs="宋体"/>
        </w:rPr>
        <w:t>7.1</w:t>
      </w:r>
      <w:r>
        <w:rPr>
          <w:rFonts w:hint="eastAsia" w:ascii="Times New Roman" w:hAnsi="Times New Roman" w:eastAsia="仿宋_GB2312" w:cs="宋体"/>
        </w:rPr>
        <w:t>吨，氮氧化物排放量</w:t>
      </w:r>
      <w:r>
        <w:rPr>
          <w:rFonts w:ascii="Times New Roman" w:hAnsi="Times New Roman" w:eastAsia="仿宋_GB2312" w:cs="宋体"/>
        </w:rPr>
        <w:t>13.5</w:t>
      </w:r>
      <w:r>
        <w:rPr>
          <w:rFonts w:hint="eastAsia" w:ascii="Times New Roman" w:hAnsi="Times New Roman" w:eastAsia="仿宋_GB2312" w:cs="宋体"/>
        </w:rPr>
        <w:t>吨，粉尘排放量</w:t>
      </w:r>
      <w:r>
        <w:rPr>
          <w:rFonts w:ascii="Times New Roman" w:hAnsi="Times New Roman" w:eastAsia="仿宋_GB2312" w:cs="宋体"/>
        </w:rPr>
        <w:t>0.2</w:t>
      </w:r>
      <w:r>
        <w:rPr>
          <w:rFonts w:hint="eastAsia" w:ascii="Times New Roman" w:hAnsi="Times New Roman" w:eastAsia="仿宋_GB2312" w:cs="宋体"/>
        </w:rPr>
        <w:t>吨。</w:t>
      </w:r>
    </w:p>
    <w:p>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表3.2.6-1 </w:t>
      </w:r>
      <w:r>
        <w:rPr>
          <w:rFonts w:hint="eastAsia" w:ascii="黑体" w:hAnsi="黑体" w:eastAsia="黑体" w:cs="Times New Roman"/>
          <w:sz w:val="28"/>
          <w:szCs w:val="24"/>
        </w:rPr>
        <w:t>浙江泰亿能源有限公司</w:t>
      </w:r>
      <w:r>
        <w:rPr>
          <w:rFonts w:ascii="黑体" w:hAnsi="黑体" w:eastAsia="黑体" w:cs="Times New Roman"/>
          <w:sz w:val="28"/>
          <w:szCs w:val="24"/>
        </w:rPr>
        <w:t>机组规模情况</w:t>
      </w:r>
    </w:p>
    <w:tbl>
      <w:tblPr>
        <w:tblStyle w:val="24"/>
        <w:tblW w:w="5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082"/>
        <w:gridCol w:w="1191"/>
        <w:gridCol w:w="620"/>
        <w:gridCol w:w="2070"/>
        <w:gridCol w:w="1278"/>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tc>
        <w:tc>
          <w:tcPr>
            <w:tcW w:w="1138"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51"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锅炉</w:t>
            </w:r>
          </w:p>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容量（t/h）</w:t>
            </w:r>
          </w:p>
        </w:tc>
        <w:tc>
          <w:tcPr>
            <w:tcW w:w="33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汽机</w:t>
            </w:r>
          </w:p>
        </w:tc>
        <w:tc>
          <w:tcPr>
            <w:tcW w:w="1132"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型号</w:t>
            </w:r>
          </w:p>
        </w:tc>
        <w:tc>
          <w:tcPr>
            <w:tcW w:w="69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kern w:val="0"/>
                <w:sz w:val="24"/>
                <w:szCs w:val="24"/>
              </w:rPr>
              <w:t>汽机</w:t>
            </w:r>
          </w:p>
          <w:p>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容量（MW）</w:t>
            </w:r>
          </w:p>
        </w:tc>
        <w:tc>
          <w:tcPr>
            <w:tcW w:w="679" w:type="pct"/>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排汽</w:t>
            </w:r>
          </w:p>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参数</w:t>
            </w:r>
          </w:p>
          <w:p>
            <w:pPr>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cs="Times New Roman"/>
                <w:color w:val="000000"/>
                <w:sz w:val="24"/>
                <w:szCs w:val="24"/>
              </w:rPr>
              <w:t>UG-90/9.8-M</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cs="Times New Roman"/>
                <w:color w:val="000000"/>
                <w:sz w:val="24"/>
                <w:szCs w:val="24"/>
              </w:rPr>
              <w:t>90</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32" w:type="pct"/>
            <w:shd w:val="clear" w:color="auto" w:fill="auto"/>
            <w:noWrap/>
            <w:vAlign w:val="center"/>
          </w:tcPr>
          <w:p>
            <w:pPr>
              <w:widowControl/>
              <w:jc w:val="center"/>
              <w:rPr>
                <w:rFonts w:ascii="Times New Roman" w:hAnsi="Times New Roman" w:cs="Times New Roman"/>
                <w:color w:val="000000"/>
                <w:kern w:val="0"/>
                <w:sz w:val="24"/>
                <w:szCs w:val="24"/>
              </w:rPr>
            </w:pPr>
            <w:r>
              <w:rPr>
                <w:rFonts w:ascii="Times New Roman" w:hAnsi="Times New Roman" w:cs="Times New Roman"/>
                <w:color w:val="000000"/>
                <w:sz w:val="24"/>
                <w:szCs w:val="24"/>
              </w:rPr>
              <w:t>EHNG32/25/32</w:t>
            </w: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9</w:t>
            </w:r>
          </w:p>
        </w:tc>
        <w:tc>
          <w:tcPr>
            <w:tcW w:w="679" w:type="pct"/>
            <w:shd w:val="clear" w:color="auto" w:fill="auto"/>
            <w:noWrap/>
            <w:vAlign w:val="center"/>
          </w:tcPr>
          <w:p>
            <w:pPr>
              <w:widowControl/>
              <w:jc w:val="center"/>
              <w:rPr>
                <w:rFonts w:ascii="Times New Roman" w:hAnsi="Times New Roman" w:cs="Times New Roman"/>
                <w:color w:val="000000"/>
                <w:sz w:val="24"/>
                <w:szCs w:val="24"/>
              </w:rPr>
            </w:pPr>
            <w:r>
              <w:rPr>
                <w:rFonts w:ascii="Times New Roman" w:hAnsi="Times New Roman" w:cs="Times New Roman"/>
                <w:color w:val="000000"/>
                <w:sz w:val="24"/>
                <w:szCs w:val="24"/>
              </w:rPr>
              <w:t>3.3/402</w:t>
            </w:r>
          </w:p>
          <w:p>
            <w:pPr>
              <w:widowControl/>
              <w:jc w:val="center"/>
              <w:rPr>
                <w:rFonts w:ascii="Times New Roman" w:hAnsi="Times New Roman" w:cs="Times New Roman"/>
                <w:color w:val="000000"/>
                <w:kern w:val="0"/>
                <w:sz w:val="24"/>
                <w:szCs w:val="24"/>
              </w:rPr>
            </w:pPr>
            <w:r>
              <w:rPr>
                <w:rFonts w:ascii="Times New Roman" w:hAnsi="Times New Roman" w:cs="Times New Roman"/>
                <w:color w:val="000000"/>
                <w:sz w:val="24"/>
                <w:szCs w:val="24"/>
              </w:rPr>
              <w:t>1.2/294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362"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38"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cs="Times New Roman"/>
                <w:color w:val="000000"/>
                <w:sz w:val="24"/>
                <w:szCs w:val="24"/>
              </w:rPr>
              <w:t>UG-90/9.8-M</w:t>
            </w:r>
          </w:p>
        </w:tc>
        <w:tc>
          <w:tcPr>
            <w:tcW w:w="651" w:type="pct"/>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cs="Times New Roman"/>
                <w:color w:val="000000"/>
                <w:sz w:val="24"/>
                <w:szCs w:val="24"/>
              </w:rPr>
              <w:t>90</w:t>
            </w:r>
          </w:p>
        </w:tc>
        <w:tc>
          <w:tcPr>
            <w:tcW w:w="33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1132"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699" w:type="pct"/>
            <w:shd w:val="clear" w:color="auto" w:fill="auto"/>
            <w:noWrap/>
            <w:vAlign w:val="center"/>
          </w:tcPr>
          <w:p>
            <w:pPr>
              <w:widowControl/>
              <w:jc w:val="center"/>
              <w:rPr>
                <w:rFonts w:ascii="Times New Roman" w:hAnsi="Times New Roman" w:eastAsia="仿宋_GB2312" w:cs="Times New Roman"/>
                <w:kern w:val="0"/>
                <w:sz w:val="24"/>
                <w:szCs w:val="24"/>
              </w:rPr>
            </w:pPr>
          </w:p>
        </w:tc>
        <w:tc>
          <w:tcPr>
            <w:tcW w:w="679" w:type="pct"/>
            <w:shd w:val="clear" w:color="auto" w:fill="auto"/>
            <w:noWrap/>
            <w:vAlign w:val="center"/>
          </w:tcPr>
          <w:p>
            <w:pPr>
              <w:jc w:val="center"/>
              <w:rPr>
                <w:rFonts w:ascii="Times New Roman" w:hAnsi="Times New Roman" w:eastAsia="仿宋_GB2312" w:cs="Times New Roman"/>
                <w:kern w:val="0"/>
                <w:sz w:val="24"/>
                <w:szCs w:val="24"/>
              </w:rPr>
            </w:pPr>
          </w:p>
        </w:tc>
      </w:tr>
    </w:tbl>
    <w:p>
      <w:pPr>
        <w:spacing w:before="156" w:beforeLines="50"/>
        <w:jc w:val="center"/>
        <w:rPr>
          <w:rFonts w:ascii="黑体" w:hAnsi="黑体" w:eastAsia="黑体" w:cs="Times New Roman"/>
          <w:sz w:val="28"/>
          <w:szCs w:val="24"/>
        </w:rPr>
      </w:pPr>
    </w:p>
    <w:p>
      <w:pPr>
        <w:spacing w:before="156" w:beforeLines="50"/>
        <w:jc w:val="center"/>
        <w:rPr>
          <w:rFonts w:ascii="黑体" w:hAnsi="黑体" w:eastAsia="黑体" w:cs="Times New Roman"/>
          <w:sz w:val="28"/>
          <w:szCs w:val="24"/>
        </w:rPr>
      </w:pPr>
      <w:r>
        <w:rPr>
          <w:rFonts w:ascii="黑体" w:hAnsi="黑体" w:eastAsia="黑体" w:cs="Times New Roman"/>
          <w:sz w:val="28"/>
          <w:szCs w:val="24"/>
        </w:rPr>
        <w:t xml:space="preserve">表3.2.6-2 </w:t>
      </w:r>
      <w:r>
        <w:rPr>
          <w:rFonts w:hint="eastAsia" w:ascii="黑体" w:hAnsi="黑体" w:eastAsia="黑体" w:cs="Times New Roman"/>
          <w:sz w:val="28"/>
          <w:szCs w:val="24"/>
        </w:rPr>
        <w:t>浙江泰亿能源有限公司</w:t>
      </w:r>
      <w:r>
        <w:rPr>
          <w:rFonts w:ascii="黑体" w:hAnsi="黑体" w:eastAsia="黑体" w:cs="Times New Roman"/>
          <w:sz w:val="28"/>
          <w:szCs w:val="24"/>
        </w:rPr>
        <w:t>现有主要热用户情况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463"/>
        <w:gridCol w:w="1233"/>
        <w:gridCol w:w="1664"/>
        <w:gridCol w:w="1233"/>
        <w:gridCol w:w="1233"/>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661"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46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23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664"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23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3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23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8720" w:type="dxa"/>
            <w:gridSpan w:val="7"/>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新豪包装</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铭孚科技</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0.7</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凤鸣叶绿素</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华升包装</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盛华包装</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3.3</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8.3</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宏成化工</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鼎润纺织</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0.3</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嘉盛糯米纸</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纪亨保健品</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普瑞杰玩具</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冯老大袜业</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0.7</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振嘉电子</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0.3</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川洋新材料</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0.7</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艾兰得生物</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3.3</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德易遮阳</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凯澳新材料</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宝丽士包装</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兄弟皮革</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联足新材料</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日成化工</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0.9</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飞豹针纺</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6.5</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时代电泳</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峰佳针织</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沐晨包装</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0.3</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陶特容器</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0.3</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富升裘革</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0.1</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27</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兄弟科技</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5</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180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p>
        </w:tc>
        <w:tc>
          <w:tcPr>
            <w:tcW w:w="146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低压蒸汽合计</w:t>
            </w:r>
          </w:p>
        </w:tc>
        <w:tc>
          <w:tcPr>
            <w:tcW w:w="123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3</w:t>
            </w:r>
            <w:r>
              <w:rPr>
                <w:rFonts w:ascii="Times New Roman" w:hAnsi="Times New Roman" w:eastAsia="仿宋_GB2312" w:cs="Times New Roman"/>
                <w:b/>
                <w:color w:val="000000"/>
                <w:kern w:val="0"/>
                <w:sz w:val="24"/>
                <w:szCs w:val="24"/>
              </w:rPr>
              <w:t>5.3</w:t>
            </w:r>
          </w:p>
        </w:tc>
        <w:tc>
          <w:tcPr>
            <w:tcW w:w="1664"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1</w:t>
            </w:r>
            <w:r>
              <w:rPr>
                <w:rFonts w:ascii="Times New Roman" w:hAnsi="Times New Roman" w:eastAsia="仿宋_GB2312" w:cs="Times New Roman"/>
                <w:b/>
                <w:color w:val="000000"/>
                <w:kern w:val="0"/>
                <w:sz w:val="24"/>
                <w:szCs w:val="24"/>
              </w:rPr>
              <w:t>08.3</w:t>
            </w:r>
          </w:p>
        </w:tc>
        <w:tc>
          <w:tcPr>
            <w:tcW w:w="123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9</w:t>
            </w:r>
            <w:r>
              <w:rPr>
                <w:rFonts w:ascii="Times New Roman" w:hAnsi="Times New Roman" w:eastAsia="仿宋_GB2312" w:cs="Times New Roman"/>
                <w:b/>
                <w:color w:val="000000"/>
                <w:kern w:val="0"/>
                <w:sz w:val="24"/>
                <w:szCs w:val="24"/>
              </w:rPr>
              <w:t>.2</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8720" w:type="dxa"/>
            <w:gridSpan w:val="7"/>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中压蒸汽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8</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兄弟科技</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6.5</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9</w:t>
            </w:r>
          </w:p>
        </w:tc>
        <w:tc>
          <w:tcPr>
            <w:tcW w:w="146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帝龙永孚</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66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5.6</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230</w:t>
            </w:r>
          </w:p>
        </w:tc>
        <w:tc>
          <w:tcPr>
            <w:tcW w:w="1233"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p>
        </w:tc>
        <w:tc>
          <w:tcPr>
            <w:tcW w:w="146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中压蒸汽合计</w:t>
            </w:r>
          </w:p>
        </w:tc>
        <w:tc>
          <w:tcPr>
            <w:tcW w:w="123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9</w:t>
            </w:r>
            <w:r>
              <w:rPr>
                <w:rFonts w:ascii="Times New Roman" w:hAnsi="Times New Roman" w:eastAsia="仿宋_GB2312" w:cs="Times New Roman"/>
                <w:b/>
                <w:color w:val="000000"/>
                <w:kern w:val="0"/>
                <w:sz w:val="24"/>
                <w:szCs w:val="24"/>
              </w:rPr>
              <w:t>.5</w:t>
            </w:r>
          </w:p>
        </w:tc>
        <w:tc>
          <w:tcPr>
            <w:tcW w:w="1664"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1</w:t>
            </w:r>
            <w:r>
              <w:rPr>
                <w:rFonts w:ascii="Times New Roman" w:hAnsi="Times New Roman" w:eastAsia="仿宋_GB2312" w:cs="Times New Roman"/>
                <w:b/>
                <w:color w:val="000000"/>
                <w:kern w:val="0"/>
                <w:sz w:val="24"/>
                <w:szCs w:val="24"/>
              </w:rPr>
              <w:t>7.6</w:t>
            </w:r>
          </w:p>
        </w:tc>
        <w:tc>
          <w:tcPr>
            <w:tcW w:w="123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6</w:t>
            </w:r>
            <w:r>
              <w:rPr>
                <w:rFonts w:ascii="Times New Roman" w:hAnsi="Times New Roman" w:eastAsia="仿宋_GB2312" w:cs="Times New Roman"/>
                <w:b/>
                <w:color w:val="000000"/>
                <w:kern w:val="0"/>
                <w:sz w:val="24"/>
                <w:szCs w:val="24"/>
              </w:rPr>
              <w:t>.7</w:t>
            </w:r>
          </w:p>
        </w:tc>
        <w:tc>
          <w:tcPr>
            <w:tcW w:w="123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p>
        </w:tc>
        <w:tc>
          <w:tcPr>
            <w:tcW w:w="123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p>
        </w:tc>
        <w:tc>
          <w:tcPr>
            <w:tcW w:w="146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合计</w:t>
            </w:r>
            <w:r>
              <w:rPr>
                <w:rFonts w:hint="eastAsia" w:ascii="Times New Roman" w:hAnsi="Times New Roman" w:eastAsia="仿宋_GB2312" w:cs="Times New Roman"/>
                <w:b/>
                <w:color w:val="000000"/>
                <w:kern w:val="0"/>
                <w:sz w:val="24"/>
                <w:szCs w:val="24"/>
              </w:rPr>
              <w:t>（低压蒸汽+中压蒸汽）</w:t>
            </w:r>
          </w:p>
        </w:tc>
        <w:tc>
          <w:tcPr>
            <w:tcW w:w="123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4</w:t>
            </w:r>
            <w:r>
              <w:rPr>
                <w:rFonts w:ascii="Times New Roman" w:hAnsi="Times New Roman" w:eastAsia="仿宋_GB2312" w:cs="Times New Roman"/>
                <w:b/>
                <w:color w:val="000000"/>
                <w:kern w:val="0"/>
                <w:sz w:val="24"/>
                <w:szCs w:val="24"/>
              </w:rPr>
              <w:t>4.8</w:t>
            </w:r>
          </w:p>
        </w:tc>
        <w:tc>
          <w:tcPr>
            <w:tcW w:w="1664"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125.9</w:t>
            </w:r>
          </w:p>
        </w:tc>
        <w:tc>
          <w:tcPr>
            <w:tcW w:w="123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1</w:t>
            </w:r>
            <w:r>
              <w:rPr>
                <w:rFonts w:ascii="Times New Roman" w:hAnsi="Times New Roman" w:eastAsia="仿宋_GB2312" w:cs="Times New Roman"/>
                <w:b/>
                <w:color w:val="000000"/>
                <w:kern w:val="0"/>
                <w:sz w:val="24"/>
                <w:szCs w:val="24"/>
              </w:rPr>
              <w:t>5.9</w:t>
            </w:r>
          </w:p>
        </w:tc>
        <w:tc>
          <w:tcPr>
            <w:tcW w:w="1233"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p>
        </w:tc>
        <w:tc>
          <w:tcPr>
            <w:tcW w:w="1233" w:type="dxa"/>
            <w:shd w:val="clear" w:color="auto" w:fill="auto"/>
            <w:noWrap/>
            <w:vAlign w:val="center"/>
          </w:tcPr>
          <w:p>
            <w:pPr>
              <w:widowControl/>
              <w:jc w:val="center"/>
              <w:rPr>
                <w:rFonts w:ascii="Times New Roman" w:hAnsi="Times New Roman" w:eastAsia="仿宋_GB2312" w:cs="Times New Roman"/>
                <w:b/>
                <w:kern w:val="0"/>
                <w:sz w:val="24"/>
                <w:szCs w:val="24"/>
              </w:rPr>
            </w:pPr>
          </w:p>
        </w:tc>
      </w:tr>
    </w:tbl>
    <w:p>
      <w:pPr>
        <w:pStyle w:val="3"/>
        <w:spacing w:before="156" w:beforeLines="50"/>
      </w:pPr>
      <w:bookmarkStart w:id="221" w:name="_Toc188636899"/>
      <w:r>
        <w:t>3.3</w:t>
      </w:r>
      <w:r>
        <w:rPr>
          <w:rFonts w:hint="eastAsia"/>
        </w:rPr>
        <w:t>分散供热现状</w:t>
      </w:r>
      <w:bookmarkEnd w:id="221"/>
    </w:p>
    <w:p>
      <w:pPr>
        <w:spacing w:line="580" w:lineRule="exact"/>
        <w:ind w:firstLine="556"/>
        <w:rPr>
          <w:rFonts w:ascii="Times New Roman" w:hAnsi="Times New Roman" w:eastAsia="仿宋_GB2312" w:cs="宋体"/>
          <w:color w:val="000000" w:themeColor="text1"/>
          <w:sz w:val="28"/>
          <w14:textFill>
            <w14:solidFill>
              <w14:schemeClr w14:val="tx1"/>
            </w14:solidFill>
          </w14:textFill>
        </w:rPr>
      </w:pPr>
      <w:r>
        <w:rPr>
          <w:rFonts w:hint="eastAsia" w:ascii="Times New Roman" w:hAnsi="Times New Roman" w:eastAsia="仿宋_GB2312" w:cs="宋体"/>
          <w:color w:val="000000" w:themeColor="text1"/>
          <w:sz w:val="28"/>
          <w14:textFill>
            <w14:solidFill>
              <w14:schemeClr w14:val="tx1"/>
            </w14:solidFill>
          </w14:textFill>
        </w:rPr>
        <w:t>海宁市除了参与集中供热的热源点，仍有一定数量的企业，由于地域分布、工艺特殊要求等因素，通过配置分散锅炉满足其自身用热需求。截至2</w:t>
      </w:r>
      <w:r>
        <w:rPr>
          <w:rFonts w:ascii="Times New Roman" w:hAnsi="Times New Roman" w:eastAsia="仿宋_GB2312" w:cs="宋体"/>
          <w:color w:val="000000" w:themeColor="text1"/>
          <w:sz w:val="28"/>
          <w14:textFill>
            <w14:solidFill>
              <w14:schemeClr w14:val="tx1"/>
            </w14:solidFill>
          </w14:textFill>
        </w:rPr>
        <w:t>024</w:t>
      </w:r>
      <w:r>
        <w:rPr>
          <w:rFonts w:hint="eastAsia" w:ascii="Times New Roman" w:hAnsi="Times New Roman" w:eastAsia="仿宋_GB2312" w:cs="宋体"/>
          <w:color w:val="000000" w:themeColor="text1"/>
          <w:sz w:val="28"/>
          <w14:textFill>
            <w14:solidFill>
              <w14:schemeClr w14:val="tx1"/>
            </w14:solidFill>
          </w14:textFill>
        </w:rPr>
        <w:t>年底，海宁市注册在</w:t>
      </w:r>
      <w:r>
        <w:rPr>
          <w:rFonts w:hint="eastAsia" w:ascii="Times New Roman" w:hAnsi="Times New Roman" w:eastAsia="仿宋_GB2312" w:cs="宋体"/>
          <w:sz w:val="28"/>
        </w:rPr>
        <w:t>用分散锅炉共</w:t>
      </w:r>
      <w:r>
        <w:rPr>
          <w:rFonts w:ascii="Times New Roman" w:hAnsi="Times New Roman" w:eastAsia="仿宋_GB2312" w:cs="宋体"/>
          <w:sz w:val="28"/>
        </w:rPr>
        <w:t>163</w:t>
      </w:r>
      <w:r>
        <w:rPr>
          <w:rFonts w:hint="eastAsia" w:ascii="Times New Roman" w:hAnsi="Times New Roman" w:eastAsia="仿宋_GB2312" w:cs="宋体"/>
          <w:sz w:val="28"/>
        </w:rPr>
        <w:t>台，燃料种类包含燃煤、天然气、生物质、柴油、余热、电加热等，合计额定蒸发量</w:t>
      </w:r>
      <w:r>
        <w:rPr>
          <w:rFonts w:ascii="Times New Roman" w:hAnsi="Times New Roman" w:eastAsia="仿宋_GB2312" w:cs="宋体"/>
          <w:sz w:val="28"/>
        </w:rPr>
        <w:t>1179.5t/</w:t>
      </w:r>
      <w:r>
        <w:rPr>
          <w:rFonts w:ascii="Times New Roman" w:hAnsi="Times New Roman" w:eastAsia="仿宋_GB2312" w:cs="宋体"/>
          <w:color w:val="000000" w:themeColor="text1"/>
          <w:sz w:val="28"/>
          <w14:textFill>
            <w14:solidFill>
              <w14:schemeClr w14:val="tx1"/>
            </w14:solidFill>
          </w14:textFill>
        </w:rPr>
        <w:t>h</w:t>
      </w:r>
      <w:r>
        <w:rPr>
          <w:rFonts w:hint="eastAsia" w:ascii="Times New Roman" w:hAnsi="Times New Roman" w:eastAsia="仿宋_GB2312" w:cs="宋体"/>
          <w:color w:val="000000" w:themeColor="text1"/>
          <w:sz w:val="28"/>
          <w14:textFill>
            <w14:solidFill>
              <w14:schemeClr w14:val="tx1"/>
            </w14:solidFill>
          </w14:textFill>
        </w:rPr>
        <w:t>，具体清单见附表1。</w:t>
      </w:r>
    </w:p>
    <w:p>
      <w:pPr>
        <w:spacing w:line="580" w:lineRule="exact"/>
        <w:ind w:firstLine="556"/>
      </w:pPr>
      <w:r>
        <w:rPr>
          <w:rFonts w:hint="eastAsia" w:ascii="Times New Roman" w:hAnsi="Times New Roman" w:eastAsia="仿宋_GB2312" w:cs="宋体"/>
          <w:color w:val="000000" w:themeColor="text1"/>
          <w:sz w:val="28"/>
          <w14:textFill>
            <w14:solidFill>
              <w14:schemeClr w14:val="tx1"/>
            </w14:solidFill>
          </w14:textFill>
        </w:rPr>
        <w:t>根据环保政策要求，近几年海宁市大部分的燃煤分散锅炉得到淘汰，目前仅许村镇的浙江华德利纺织印染有限公司拥有</w:t>
      </w:r>
      <w:r>
        <w:rPr>
          <w:rFonts w:ascii="Times New Roman" w:hAnsi="Times New Roman" w:eastAsia="仿宋_GB2312" w:cs="宋体"/>
          <w:color w:val="000000" w:themeColor="text1"/>
          <w:sz w:val="28"/>
          <w14:textFill>
            <w14:solidFill>
              <w14:schemeClr w14:val="tx1"/>
            </w14:solidFill>
          </w14:textFill>
        </w:rPr>
        <w:t>1</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35t/h</w:t>
      </w:r>
      <w:r>
        <w:rPr>
          <w:rFonts w:hint="eastAsia" w:ascii="Times New Roman" w:hAnsi="Times New Roman" w:eastAsia="仿宋_GB2312" w:cs="宋体"/>
          <w:color w:val="000000" w:themeColor="text1"/>
          <w:sz w:val="28"/>
          <w14:textFill>
            <w14:solidFill>
              <w14:schemeClr w14:val="tx1"/>
            </w14:solidFill>
          </w14:textFill>
        </w:rPr>
        <w:t>的燃煤锅炉和</w:t>
      </w:r>
      <w:r>
        <w:rPr>
          <w:rFonts w:ascii="Times New Roman" w:hAnsi="Times New Roman" w:eastAsia="仿宋_GB2312" w:cs="宋体"/>
          <w:color w:val="000000" w:themeColor="text1"/>
          <w:sz w:val="28"/>
          <w14:textFill>
            <w14:solidFill>
              <w14:schemeClr w14:val="tx1"/>
            </w14:solidFill>
          </w14:textFill>
        </w:rPr>
        <w:t>2</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42t/h</w:t>
      </w:r>
      <w:r>
        <w:rPr>
          <w:rFonts w:hint="eastAsia" w:ascii="Times New Roman" w:hAnsi="Times New Roman" w:eastAsia="仿宋_GB2312" w:cs="宋体"/>
          <w:color w:val="000000" w:themeColor="text1"/>
          <w:sz w:val="28"/>
          <w14:textFill>
            <w14:solidFill>
              <w14:schemeClr w14:val="tx1"/>
            </w14:solidFill>
          </w14:textFill>
        </w:rPr>
        <w:t>的水煤浆锅炉，浙江恒生印染有限公司拥有</w:t>
      </w:r>
      <w:r>
        <w:rPr>
          <w:rFonts w:ascii="Times New Roman" w:hAnsi="Times New Roman" w:eastAsia="仿宋_GB2312" w:cs="宋体"/>
          <w:color w:val="000000" w:themeColor="text1"/>
          <w:sz w:val="28"/>
          <w14:textFill>
            <w14:solidFill>
              <w14:schemeClr w14:val="tx1"/>
            </w14:solidFill>
          </w14:textFill>
        </w:rPr>
        <w:t>1</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35t/h</w:t>
      </w:r>
      <w:r>
        <w:rPr>
          <w:rFonts w:hint="eastAsia" w:ascii="Times New Roman" w:hAnsi="Times New Roman" w:eastAsia="仿宋_GB2312" w:cs="宋体"/>
          <w:color w:val="000000" w:themeColor="text1"/>
          <w:sz w:val="28"/>
          <w14:textFill>
            <w14:solidFill>
              <w14:schemeClr w14:val="tx1"/>
            </w14:solidFill>
          </w14:textFill>
        </w:rPr>
        <w:t>的水煤浆锅炉，黄湾镇的万凯新材料股份有限公司拥有</w:t>
      </w:r>
      <w:r>
        <w:rPr>
          <w:rFonts w:ascii="Times New Roman" w:hAnsi="Times New Roman" w:eastAsia="仿宋_GB2312" w:cs="宋体"/>
          <w:color w:val="000000" w:themeColor="text1"/>
          <w:sz w:val="28"/>
          <w14:textFill>
            <w14:solidFill>
              <w14:schemeClr w14:val="tx1"/>
            </w14:solidFill>
          </w14:textFill>
        </w:rPr>
        <w:t>3</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40t/h的</w:t>
      </w:r>
      <w:r>
        <w:rPr>
          <w:rFonts w:hint="eastAsia" w:ascii="Times New Roman" w:hAnsi="Times New Roman" w:eastAsia="仿宋_GB2312" w:cs="宋体"/>
          <w:color w:val="000000" w:themeColor="text1"/>
          <w:sz w:val="28"/>
          <w14:textFill>
            <w14:solidFill>
              <w14:schemeClr w14:val="tx1"/>
            </w14:solidFill>
          </w14:textFill>
        </w:rPr>
        <w:t>水煤浆</w:t>
      </w:r>
      <w:r>
        <w:rPr>
          <w:rFonts w:ascii="Times New Roman" w:hAnsi="Times New Roman" w:eastAsia="仿宋_GB2312" w:cs="宋体"/>
          <w:color w:val="000000" w:themeColor="text1"/>
          <w:sz w:val="28"/>
          <w14:textFill>
            <w14:solidFill>
              <w14:schemeClr w14:val="tx1"/>
            </w14:solidFill>
          </w14:textFill>
        </w:rPr>
        <w:t>锅炉</w:t>
      </w:r>
      <w:r>
        <w:rPr>
          <w:rFonts w:hint="eastAsia" w:ascii="Times New Roman" w:hAnsi="Times New Roman" w:eastAsia="仿宋_GB2312" w:cs="宋体"/>
          <w:color w:val="000000" w:themeColor="text1"/>
          <w:sz w:val="28"/>
          <w14:textFill>
            <w14:solidFill>
              <w14:schemeClr w14:val="tx1"/>
            </w14:solidFill>
          </w14:textFill>
        </w:rPr>
        <w:t>、</w:t>
      </w:r>
      <w:r>
        <w:rPr>
          <w:rFonts w:ascii="Times New Roman" w:hAnsi="Times New Roman" w:eastAsia="仿宋_GB2312" w:cs="宋体"/>
          <w:color w:val="000000" w:themeColor="text1"/>
          <w:sz w:val="28"/>
          <w14:textFill>
            <w14:solidFill>
              <w14:schemeClr w14:val="tx1"/>
            </w14:solidFill>
          </w14:textFill>
        </w:rPr>
        <w:t>2</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60t/h的</w:t>
      </w:r>
      <w:r>
        <w:rPr>
          <w:rFonts w:hint="eastAsia" w:ascii="Times New Roman" w:hAnsi="Times New Roman" w:eastAsia="仿宋_GB2312" w:cs="宋体"/>
          <w:color w:val="000000" w:themeColor="text1"/>
          <w:sz w:val="28"/>
          <w14:textFill>
            <w14:solidFill>
              <w14:schemeClr w14:val="tx1"/>
            </w14:solidFill>
          </w14:textFill>
        </w:rPr>
        <w:t>水煤浆</w:t>
      </w:r>
      <w:r>
        <w:rPr>
          <w:rFonts w:ascii="Times New Roman" w:hAnsi="Times New Roman" w:eastAsia="仿宋_GB2312" w:cs="宋体"/>
          <w:color w:val="000000" w:themeColor="text1"/>
          <w:sz w:val="28"/>
          <w14:textFill>
            <w14:solidFill>
              <w14:schemeClr w14:val="tx1"/>
            </w14:solidFill>
          </w14:textFill>
        </w:rPr>
        <w:t>锅炉</w:t>
      </w:r>
      <w:r>
        <w:rPr>
          <w:rFonts w:hint="eastAsia" w:ascii="Times New Roman" w:hAnsi="Times New Roman" w:eastAsia="仿宋_GB2312" w:cs="宋体"/>
          <w:color w:val="000000" w:themeColor="text1"/>
          <w:sz w:val="28"/>
          <w14:textFill>
            <w14:solidFill>
              <w14:schemeClr w14:val="tx1"/>
            </w14:solidFill>
          </w14:textFill>
        </w:rPr>
        <w:t>和</w:t>
      </w:r>
      <w:r>
        <w:rPr>
          <w:rFonts w:ascii="Times New Roman" w:hAnsi="Times New Roman" w:eastAsia="仿宋_GB2312" w:cs="宋体"/>
          <w:color w:val="000000" w:themeColor="text1"/>
          <w:sz w:val="28"/>
          <w14:textFill>
            <w14:solidFill>
              <w14:schemeClr w14:val="tx1"/>
            </w14:solidFill>
          </w14:textFill>
        </w:rPr>
        <w:t>1</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36t/h的</w:t>
      </w:r>
      <w:r>
        <w:rPr>
          <w:rFonts w:hint="eastAsia" w:ascii="Times New Roman" w:hAnsi="Times New Roman" w:eastAsia="仿宋_GB2312" w:cs="宋体"/>
          <w:color w:val="000000" w:themeColor="text1"/>
          <w:sz w:val="28"/>
          <w14:textFill>
            <w14:solidFill>
              <w14:schemeClr w14:val="tx1"/>
            </w14:solidFill>
          </w14:textFill>
        </w:rPr>
        <w:t>水煤浆</w:t>
      </w:r>
      <w:r>
        <w:rPr>
          <w:rFonts w:ascii="Times New Roman" w:hAnsi="Times New Roman" w:eastAsia="仿宋_GB2312" w:cs="宋体"/>
          <w:color w:val="000000" w:themeColor="text1"/>
          <w:sz w:val="28"/>
          <w14:textFill>
            <w14:solidFill>
              <w14:schemeClr w14:val="tx1"/>
            </w14:solidFill>
          </w14:textFill>
        </w:rPr>
        <w:t>锅炉</w:t>
      </w:r>
      <w:r>
        <w:rPr>
          <w:rFonts w:hint="eastAsia" w:ascii="Times New Roman" w:hAnsi="Times New Roman" w:eastAsia="仿宋_GB2312" w:cs="宋体"/>
          <w:color w:val="000000" w:themeColor="text1"/>
          <w:sz w:val="28"/>
          <w14:textFill>
            <w14:solidFill>
              <w14:schemeClr w14:val="tx1"/>
            </w14:solidFill>
          </w14:textFill>
        </w:rPr>
        <w:t>，合计额定蒸发量</w:t>
      </w:r>
      <w:r>
        <w:rPr>
          <w:rFonts w:ascii="Times New Roman" w:hAnsi="Times New Roman" w:eastAsia="仿宋_GB2312" w:cs="宋体"/>
          <w:color w:val="000000" w:themeColor="text1"/>
          <w:sz w:val="28"/>
          <w14:textFill>
            <w14:solidFill>
              <w14:schemeClr w14:val="tx1"/>
            </w14:solidFill>
          </w14:textFill>
        </w:rPr>
        <w:t>430</w:t>
      </w:r>
      <w:r>
        <w:rPr>
          <w:rFonts w:hint="eastAsia" w:ascii="Times New Roman" w:hAnsi="Times New Roman" w:eastAsia="仿宋_GB2312" w:cs="宋体"/>
          <w:color w:val="000000" w:themeColor="text1"/>
          <w:sz w:val="28"/>
          <w14:textFill>
            <w14:solidFill>
              <w14:schemeClr w14:val="tx1"/>
            </w14:solidFill>
          </w14:textFill>
        </w:rPr>
        <w:t>t</w:t>
      </w:r>
      <w:r>
        <w:rPr>
          <w:rFonts w:ascii="Times New Roman" w:hAnsi="Times New Roman" w:eastAsia="仿宋_GB2312" w:cs="宋体"/>
          <w:color w:val="000000" w:themeColor="text1"/>
          <w:sz w:val="28"/>
          <w14:textFill>
            <w14:solidFill>
              <w14:schemeClr w14:val="tx1"/>
            </w14:solidFill>
          </w14:textFill>
        </w:rPr>
        <w:t>/h</w:t>
      </w:r>
      <w:r>
        <w:rPr>
          <w:rFonts w:hint="eastAsia" w:ascii="Times New Roman" w:hAnsi="Times New Roman" w:eastAsia="仿宋_GB2312" w:cs="宋体"/>
          <w:color w:val="000000" w:themeColor="text1"/>
          <w:sz w:val="28"/>
          <w14:textFill>
            <w14:solidFill>
              <w14:schemeClr w14:val="tx1"/>
            </w14:solidFill>
          </w14:textFill>
        </w:rPr>
        <w:t>。后续关停计划方面，浙江华德利纺织印染有限公司的</w:t>
      </w:r>
      <w:r>
        <w:rPr>
          <w:rFonts w:ascii="Times New Roman" w:hAnsi="Times New Roman" w:eastAsia="仿宋_GB2312" w:cs="宋体"/>
          <w:color w:val="000000" w:themeColor="text1"/>
          <w:sz w:val="28"/>
          <w14:textFill>
            <w14:solidFill>
              <w14:schemeClr w14:val="tx1"/>
            </w14:solidFill>
          </w14:textFill>
        </w:rPr>
        <w:t>1</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35t/h</w:t>
      </w:r>
      <w:r>
        <w:rPr>
          <w:rFonts w:hint="eastAsia" w:ascii="Times New Roman" w:hAnsi="Times New Roman" w:eastAsia="仿宋_GB2312" w:cs="宋体"/>
          <w:color w:val="000000" w:themeColor="text1"/>
          <w:sz w:val="28"/>
          <w14:textFill>
            <w14:solidFill>
              <w14:schemeClr w14:val="tx1"/>
            </w14:solidFill>
          </w14:textFill>
        </w:rPr>
        <w:t>的燃煤锅炉计划于2</w:t>
      </w:r>
      <w:r>
        <w:rPr>
          <w:rFonts w:ascii="Times New Roman" w:hAnsi="Times New Roman" w:eastAsia="仿宋_GB2312" w:cs="宋体"/>
          <w:color w:val="000000" w:themeColor="text1"/>
          <w:sz w:val="28"/>
          <w14:textFill>
            <w14:solidFill>
              <w14:schemeClr w14:val="tx1"/>
            </w14:solidFill>
          </w14:textFill>
        </w:rPr>
        <w:t>025</w:t>
      </w:r>
      <w:r>
        <w:rPr>
          <w:rFonts w:hint="eastAsia" w:ascii="Times New Roman" w:hAnsi="Times New Roman" w:eastAsia="仿宋_GB2312" w:cs="宋体"/>
          <w:color w:val="000000" w:themeColor="text1"/>
          <w:sz w:val="28"/>
          <w14:textFill>
            <w14:solidFill>
              <w14:schemeClr w14:val="tx1"/>
            </w14:solidFill>
          </w14:textFill>
        </w:rPr>
        <w:t>年关停，关停后其热负荷需求由浙江宝峰热电公司进行保障；浙江恒生印染有限公司的</w:t>
      </w:r>
      <w:r>
        <w:rPr>
          <w:rFonts w:ascii="Times New Roman" w:hAnsi="Times New Roman" w:eastAsia="仿宋_GB2312" w:cs="宋体"/>
          <w:color w:val="000000" w:themeColor="text1"/>
          <w:sz w:val="28"/>
          <w14:textFill>
            <w14:solidFill>
              <w14:schemeClr w14:val="tx1"/>
            </w14:solidFill>
          </w14:textFill>
        </w:rPr>
        <w:t>1</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35t/h</w:t>
      </w:r>
      <w:r>
        <w:rPr>
          <w:rFonts w:hint="eastAsia" w:ascii="Times New Roman" w:hAnsi="Times New Roman" w:eastAsia="仿宋_GB2312" w:cs="宋体"/>
          <w:color w:val="000000" w:themeColor="text1"/>
          <w:sz w:val="28"/>
          <w14:textFill>
            <w14:solidFill>
              <w14:schemeClr w14:val="tx1"/>
            </w14:solidFill>
          </w14:textFill>
        </w:rPr>
        <w:t>的水煤浆锅炉计划于2</w:t>
      </w:r>
      <w:r>
        <w:rPr>
          <w:rFonts w:ascii="Times New Roman" w:hAnsi="Times New Roman" w:eastAsia="仿宋_GB2312" w:cs="宋体"/>
          <w:color w:val="000000" w:themeColor="text1"/>
          <w:sz w:val="28"/>
          <w14:textFill>
            <w14:solidFill>
              <w14:schemeClr w14:val="tx1"/>
            </w14:solidFill>
          </w14:textFill>
        </w:rPr>
        <w:t>025</w:t>
      </w:r>
      <w:r>
        <w:rPr>
          <w:rFonts w:hint="eastAsia" w:ascii="Times New Roman" w:hAnsi="Times New Roman" w:eastAsia="仿宋_GB2312" w:cs="宋体"/>
          <w:color w:val="000000" w:themeColor="text1"/>
          <w:sz w:val="28"/>
          <w14:textFill>
            <w14:solidFill>
              <w14:schemeClr w14:val="tx1"/>
            </w14:solidFill>
          </w14:textFill>
        </w:rPr>
        <w:t>年关停，关停后其热负荷需求改用天然气锅炉保障，其他在用燃煤锅炉暂无淘汰计划。</w:t>
      </w:r>
    </w:p>
    <w:p>
      <w:pPr>
        <w:spacing w:before="156" w:beforeLines="50"/>
        <w:jc w:val="center"/>
        <w:rPr>
          <w:rFonts w:ascii="黑体" w:hAnsi="黑体" w:eastAsia="黑体" w:cs="Times New Roman"/>
          <w:sz w:val="28"/>
          <w:szCs w:val="24"/>
        </w:rPr>
      </w:pPr>
      <w:r>
        <w:rPr>
          <w:rFonts w:hint="eastAsia" w:ascii="黑体" w:hAnsi="黑体" w:eastAsia="黑体" w:cs="Times New Roman"/>
          <w:sz w:val="28"/>
          <w:szCs w:val="24"/>
        </w:rPr>
        <w:t>表</w:t>
      </w:r>
      <w:r>
        <w:rPr>
          <w:rFonts w:ascii="黑体" w:hAnsi="黑体" w:eastAsia="黑体" w:cs="Times New Roman"/>
          <w:sz w:val="28"/>
          <w:szCs w:val="24"/>
        </w:rPr>
        <w:t>3.3</w:t>
      </w:r>
      <w:r>
        <w:rPr>
          <w:rFonts w:hint="eastAsia" w:ascii="黑体" w:hAnsi="黑体" w:eastAsia="黑体" w:cs="Times New Roman"/>
          <w:sz w:val="28"/>
          <w:szCs w:val="24"/>
        </w:rPr>
        <w:t>-</w:t>
      </w:r>
      <w:r>
        <w:rPr>
          <w:rFonts w:ascii="黑体" w:hAnsi="黑体" w:eastAsia="黑体" w:cs="Times New Roman"/>
          <w:sz w:val="28"/>
          <w:szCs w:val="24"/>
        </w:rPr>
        <w:t xml:space="preserve">1 </w:t>
      </w:r>
      <w:r>
        <w:rPr>
          <w:rFonts w:hint="eastAsia" w:ascii="黑体" w:hAnsi="黑体" w:eastAsia="黑体" w:cs="Times New Roman"/>
          <w:sz w:val="28"/>
          <w:szCs w:val="24"/>
        </w:rPr>
        <w:t>海宁市在用分散燃煤锅炉情况</w:t>
      </w:r>
    </w:p>
    <w:tbl>
      <w:tblPr>
        <w:tblStyle w:val="24"/>
        <w:tblW w:w="9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2041"/>
        <w:gridCol w:w="1276"/>
        <w:gridCol w:w="1417"/>
        <w:gridCol w:w="964"/>
        <w:gridCol w:w="1361"/>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601" w:type="dxa"/>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序号</w:t>
            </w:r>
          </w:p>
        </w:tc>
        <w:tc>
          <w:tcPr>
            <w:tcW w:w="2041" w:type="dxa"/>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使用单位</w:t>
            </w:r>
          </w:p>
        </w:tc>
        <w:tc>
          <w:tcPr>
            <w:tcW w:w="1276" w:type="dxa"/>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设备型号</w:t>
            </w:r>
          </w:p>
        </w:tc>
        <w:tc>
          <w:tcPr>
            <w:tcW w:w="1417" w:type="dxa"/>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设备名称</w:t>
            </w:r>
          </w:p>
        </w:tc>
        <w:tc>
          <w:tcPr>
            <w:tcW w:w="964" w:type="dxa"/>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燃料种类</w:t>
            </w:r>
          </w:p>
        </w:tc>
        <w:tc>
          <w:tcPr>
            <w:tcW w:w="1361" w:type="dxa"/>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额定蒸发量（t/h）</w:t>
            </w:r>
          </w:p>
        </w:tc>
        <w:tc>
          <w:tcPr>
            <w:tcW w:w="1984" w:type="dxa"/>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204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浙江华德利纺织印染有限公司</w:t>
            </w:r>
          </w:p>
        </w:tc>
        <w:tc>
          <w:tcPr>
            <w:tcW w:w="1276"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SFG35/5.3-M7</w:t>
            </w:r>
          </w:p>
        </w:tc>
        <w:tc>
          <w:tcPr>
            <w:tcW w:w="1417"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发电锅炉</w:t>
            </w:r>
          </w:p>
        </w:tc>
        <w:tc>
          <w:tcPr>
            <w:tcW w:w="96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烟煤</w:t>
            </w:r>
          </w:p>
        </w:tc>
        <w:tc>
          <w:tcPr>
            <w:tcW w:w="136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35</w:t>
            </w:r>
          </w:p>
        </w:tc>
        <w:tc>
          <w:tcPr>
            <w:tcW w:w="198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浙江省海宁市许村镇工业园区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204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浙江华德利纺织印染有限公司</w:t>
            </w:r>
          </w:p>
        </w:tc>
        <w:tc>
          <w:tcPr>
            <w:tcW w:w="1276"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YJL－29500J</w:t>
            </w:r>
          </w:p>
        </w:tc>
        <w:tc>
          <w:tcPr>
            <w:tcW w:w="1417"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42</w:t>
            </w:r>
          </w:p>
        </w:tc>
        <w:tc>
          <w:tcPr>
            <w:tcW w:w="198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浙江省海宁市许村镇工业园区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204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浙江华德利纺织印染有限公司</w:t>
            </w:r>
          </w:p>
        </w:tc>
        <w:tc>
          <w:tcPr>
            <w:tcW w:w="1276"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YJL－29500J</w:t>
            </w:r>
          </w:p>
        </w:tc>
        <w:tc>
          <w:tcPr>
            <w:tcW w:w="1417"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42</w:t>
            </w:r>
          </w:p>
        </w:tc>
        <w:tc>
          <w:tcPr>
            <w:tcW w:w="198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浙江省海宁市许村镇工业园区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204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浙江恒生印染有限公司</w:t>
            </w:r>
          </w:p>
        </w:tc>
        <w:tc>
          <w:tcPr>
            <w:tcW w:w="1276"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YJL－24500</w:t>
            </w:r>
          </w:p>
        </w:tc>
        <w:tc>
          <w:tcPr>
            <w:tcW w:w="1417"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水煤浆有机热载体油炉</w:t>
            </w:r>
          </w:p>
        </w:tc>
        <w:tc>
          <w:tcPr>
            <w:tcW w:w="96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35</w:t>
            </w:r>
          </w:p>
        </w:tc>
        <w:tc>
          <w:tcPr>
            <w:tcW w:w="198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海宁市许村镇科同村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w:t>
            </w:r>
          </w:p>
        </w:tc>
        <w:tc>
          <w:tcPr>
            <w:tcW w:w="204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万凯新材料股份有限公司</w:t>
            </w:r>
          </w:p>
        </w:tc>
        <w:tc>
          <w:tcPr>
            <w:tcW w:w="1276"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YJL－28000J</w:t>
            </w:r>
          </w:p>
        </w:tc>
        <w:tc>
          <w:tcPr>
            <w:tcW w:w="1417"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40</w:t>
            </w:r>
          </w:p>
        </w:tc>
        <w:tc>
          <w:tcPr>
            <w:tcW w:w="198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浙江省嘉兴市海宁市尖山新区闻澜路15号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6</w:t>
            </w:r>
          </w:p>
        </w:tc>
        <w:tc>
          <w:tcPr>
            <w:tcW w:w="204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万凯新材料股份有限公司</w:t>
            </w:r>
          </w:p>
        </w:tc>
        <w:tc>
          <w:tcPr>
            <w:tcW w:w="1276"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YJL－28000J</w:t>
            </w:r>
          </w:p>
        </w:tc>
        <w:tc>
          <w:tcPr>
            <w:tcW w:w="1417"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40</w:t>
            </w:r>
          </w:p>
        </w:tc>
        <w:tc>
          <w:tcPr>
            <w:tcW w:w="198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浙江省嘉兴市海宁市尖山新区闻澜路15号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7</w:t>
            </w:r>
          </w:p>
        </w:tc>
        <w:tc>
          <w:tcPr>
            <w:tcW w:w="204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万凯新材料股份有限公司</w:t>
            </w:r>
          </w:p>
        </w:tc>
        <w:tc>
          <w:tcPr>
            <w:tcW w:w="1276"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YJL－28000J</w:t>
            </w:r>
          </w:p>
        </w:tc>
        <w:tc>
          <w:tcPr>
            <w:tcW w:w="1417"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40</w:t>
            </w:r>
          </w:p>
        </w:tc>
        <w:tc>
          <w:tcPr>
            <w:tcW w:w="198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浙江省嘉兴市海宁市尖山新区闻澜路15号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8</w:t>
            </w:r>
          </w:p>
        </w:tc>
        <w:tc>
          <w:tcPr>
            <w:tcW w:w="204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万凯新材料股份有限公司</w:t>
            </w:r>
          </w:p>
        </w:tc>
        <w:tc>
          <w:tcPr>
            <w:tcW w:w="1276"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YJL－42000J</w:t>
            </w:r>
          </w:p>
        </w:tc>
        <w:tc>
          <w:tcPr>
            <w:tcW w:w="1417"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 xml:space="preserve">60 </w:t>
            </w:r>
          </w:p>
        </w:tc>
        <w:tc>
          <w:tcPr>
            <w:tcW w:w="198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浙江省嘉兴市海宁市尖山新区闻澜路15号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9</w:t>
            </w:r>
          </w:p>
        </w:tc>
        <w:tc>
          <w:tcPr>
            <w:tcW w:w="204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万凯新材料股份有限公司</w:t>
            </w:r>
          </w:p>
        </w:tc>
        <w:tc>
          <w:tcPr>
            <w:tcW w:w="1276"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YJL－25100J</w:t>
            </w:r>
          </w:p>
        </w:tc>
        <w:tc>
          <w:tcPr>
            <w:tcW w:w="1417"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36</w:t>
            </w:r>
          </w:p>
        </w:tc>
        <w:tc>
          <w:tcPr>
            <w:tcW w:w="198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浙江省嘉兴市海宁市尖山新区闻澜路15号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w:t>
            </w:r>
            <w:r>
              <w:rPr>
                <w:rFonts w:ascii="Times New Roman" w:hAnsi="Times New Roman" w:eastAsia="仿宋_GB2312" w:cs="Times New Roman"/>
                <w:color w:val="000000"/>
                <w:kern w:val="0"/>
                <w:sz w:val="24"/>
                <w:szCs w:val="24"/>
              </w:rPr>
              <w:t>0</w:t>
            </w:r>
          </w:p>
        </w:tc>
        <w:tc>
          <w:tcPr>
            <w:tcW w:w="204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万凯新材料股份有限公司</w:t>
            </w:r>
          </w:p>
        </w:tc>
        <w:tc>
          <w:tcPr>
            <w:tcW w:w="1276"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YJL－42000J</w:t>
            </w:r>
          </w:p>
        </w:tc>
        <w:tc>
          <w:tcPr>
            <w:tcW w:w="1417"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水煤浆有机热载体锅炉</w:t>
            </w:r>
          </w:p>
        </w:tc>
        <w:tc>
          <w:tcPr>
            <w:tcW w:w="96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水煤浆</w:t>
            </w:r>
          </w:p>
        </w:tc>
        <w:tc>
          <w:tcPr>
            <w:tcW w:w="136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 xml:space="preserve">60 </w:t>
            </w:r>
          </w:p>
        </w:tc>
        <w:tc>
          <w:tcPr>
            <w:tcW w:w="1984"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浙江省嘉兴市海宁市尖山新区闻澜路15号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1"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p>
        </w:tc>
        <w:tc>
          <w:tcPr>
            <w:tcW w:w="2041" w:type="dxa"/>
            <w:shd w:val="clear" w:color="auto" w:fill="auto"/>
            <w:noWrap/>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1276" w:type="dxa"/>
            <w:shd w:val="clear" w:color="auto" w:fill="auto"/>
            <w:noWrap/>
            <w:vAlign w:val="center"/>
          </w:tcPr>
          <w:p>
            <w:pPr>
              <w:widowControl/>
              <w:jc w:val="center"/>
              <w:rPr>
                <w:rFonts w:ascii="Times New Roman" w:hAnsi="Times New Roman" w:eastAsia="仿宋_GB2312" w:cs="Times New Roman"/>
                <w:kern w:val="0"/>
                <w:sz w:val="24"/>
                <w:szCs w:val="24"/>
              </w:rPr>
            </w:pPr>
          </w:p>
        </w:tc>
        <w:tc>
          <w:tcPr>
            <w:tcW w:w="1417" w:type="dxa"/>
            <w:shd w:val="clear" w:color="auto" w:fill="auto"/>
            <w:noWrap/>
            <w:vAlign w:val="center"/>
          </w:tcPr>
          <w:p>
            <w:pPr>
              <w:widowControl/>
              <w:jc w:val="center"/>
              <w:rPr>
                <w:rFonts w:ascii="Times New Roman" w:hAnsi="Times New Roman" w:eastAsia="仿宋_GB2312" w:cs="Times New Roman"/>
                <w:kern w:val="0"/>
                <w:sz w:val="24"/>
                <w:szCs w:val="24"/>
              </w:rPr>
            </w:pPr>
          </w:p>
        </w:tc>
        <w:tc>
          <w:tcPr>
            <w:tcW w:w="964" w:type="dxa"/>
            <w:shd w:val="clear" w:color="auto" w:fill="auto"/>
            <w:noWrap/>
            <w:vAlign w:val="center"/>
          </w:tcPr>
          <w:p>
            <w:pPr>
              <w:widowControl/>
              <w:jc w:val="center"/>
              <w:rPr>
                <w:rFonts w:ascii="Times New Roman" w:hAnsi="Times New Roman" w:eastAsia="仿宋_GB2312" w:cs="Times New Roman"/>
                <w:kern w:val="0"/>
                <w:sz w:val="24"/>
                <w:szCs w:val="24"/>
              </w:rPr>
            </w:pPr>
          </w:p>
        </w:tc>
        <w:tc>
          <w:tcPr>
            <w:tcW w:w="1361" w:type="dxa"/>
            <w:shd w:val="clear" w:color="auto" w:fill="auto"/>
            <w:noWrap/>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4</w:t>
            </w:r>
            <w:r>
              <w:rPr>
                <w:rFonts w:ascii="Times New Roman" w:hAnsi="Times New Roman" w:eastAsia="仿宋_GB2312" w:cs="Times New Roman"/>
                <w:kern w:val="0"/>
                <w:sz w:val="24"/>
                <w:szCs w:val="24"/>
              </w:rPr>
              <w:t>30</w:t>
            </w:r>
          </w:p>
        </w:tc>
        <w:tc>
          <w:tcPr>
            <w:tcW w:w="1984" w:type="dxa"/>
            <w:shd w:val="clear" w:color="auto" w:fill="auto"/>
            <w:noWrap/>
            <w:vAlign w:val="center"/>
          </w:tcPr>
          <w:p>
            <w:pPr>
              <w:widowControl/>
              <w:jc w:val="center"/>
              <w:rPr>
                <w:rFonts w:ascii="Times New Roman" w:hAnsi="Times New Roman" w:eastAsia="仿宋_GB2312" w:cs="Times New Roman"/>
                <w:kern w:val="0"/>
                <w:sz w:val="24"/>
                <w:szCs w:val="24"/>
              </w:rPr>
            </w:pPr>
          </w:p>
        </w:tc>
      </w:tr>
    </w:tbl>
    <w:p>
      <w:pPr>
        <w:pStyle w:val="3"/>
        <w:spacing w:line="560" w:lineRule="exact"/>
        <w:rPr>
          <w:rFonts w:eastAsia="仿宋_GB2312"/>
        </w:rPr>
        <w:sectPr>
          <w:pgSz w:w="11906" w:h="16838"/>
          <w:pgMar w:top="1474" w:right="1588" w:bottom="1701" w:left="1588" w:header="851" w:footer="992" w:gutter="0"/>
          <w:cols w:space="425" w:num="1"/>
          <w:docGrid w:type="lines" w:linePitch="312" w:charSpace="0"/>
        </w:sectPr>
      </w:pPr>
    </w:p>
    <w:p>
      <w:pPr>
        <w:pStyle w:val="2"/>
      </w:pPr>
      <w:bookmarkStart w:id="222" w:name="_Toc188636900"/>
      <w:r>
        <w:rPr>
          <w:rFonts w:hint="eastAsia"/>
        </w:rPr>
        <w:t>四、供热分区及规划热负荷</w:t>
      </w:r>
      <w:bookmarkEnd w:id="222"/>
    </w:p>
    <w:p>
      <w:pPr>
        <w:spacing w:line="580" w:lineRule="exact"/>
        <w:ind w:firstLine="555"/>
        <w:rPr>
          <w:rFonts w:eastAsia="仿宋_GB2312" w:cs="宋体"/>
          <w:sz w:val="28"/>
        </w:rPr>
      </w:pPr>
      <w:r>
        <w:rPr>
          <w:rFonts w:hint="eastAsia" w:ascii="Times New Roman" w:hAnsi="Times New Roman" w:eastAsia="仿宋_GB2312" w:cs="宋体"/>
          <w:sz w:val="28"/>
        </w:rPr>
        <w:t>根据海宁市现状热用户、热源点分布，结合</w:t>
      </w:r>
      <w:r>
        <w:rPr>
          <w:rFonts w:ascii="Times New Roman" w:hAnsi="Times New Roman" w:eastAsia="仿宋_GB2312" w:cs="宋体"/>
          <w:sz w:val="28"/>
        </w:rPr>
        <w:t>“</w:t>
      </w:r>
      <w:r>
        <w:rPr>
          <w:rFonts w:hint="eastAsia" w:ascii="Times New Roman" w:hAnsi="Times New Roman" w:eastAsia="仿宋_GB2312" w:cs="宋体"/>
          <w:sz w:val="28"/>
        </w:rPr>
        <w:t>十四五</w:t>
      </w:r>
      <w:r>
        <w:rPr>
          <w:rFonts w:ascii="Times New Roman" w:hAnsi="Times New Roman" w:eastAsia="仿宋_GB2312" w:cs="宋体"/>
          <w:sz w:val="28"/>
        </w:rPr>
        <w:t>”</w:t>
      </w:r>
      <w:r>
        <w:rPr>
          <w:rFonts w:hint="eastAsia" w:ascii="Times New Roman" w:hAnsi="Times New Roman" w:eastAsia="仿宋_GB2312" w:cs="宋体"/>
          <w:sz w:val="28"/>
        </w:rPr>
        <w:t>经济社会发展趋势、国土空间总体规划以及产业布局情况，对海宁市热源点进行布局规划，并预测规划期热负荷。</w:t>
      </w:r>
    </w:p>
    <w:p>
      <w:pPr>
        <w:pStyle w:val="3"/>
      </w:pPr>
      <w:bookmarkStart w:id="223" w:name="_Toc188636901"/>
      <w:r>
        <w:t>4.1</w:t>
      </w:r>
      <w:r>
        <w:rPr>
          <w:rFonts w:hint="eastAsia"/>
        </w:rPr>
        <w:t>供热分区</w:t>
      </w:r>
      <w:bookmarkEnd w:id="223"/>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《海宁市集中供热规划（</w:t>
      </w:r>
      <w:r>
        <w:rPr>
          <w:rFonts w:ascii="Times New Roman" w:hAnsi="Times New Roman" w:eastAsia="仿宋_GB2312" w:cs="宋体"/>
          <w:sz w:val="28"/>
        </w:rPr>
        <w:t>2015~2025）》将海宁市划分为7个供热分区，分别为中心城市东北片、中心城市西北片、中心城市南片、许村片、长安南片、周王庙片、黄湾片，基于7个供热分区的热负荷预测进行热源点规划。</w:t>
      </w:r>
      <w:r>
        <w:rPr>
          <w:rFonts w:hint="eastAsia" w:ascii="Times New Roman" w:hAnsi="Times New Roman" w:eastAsia="仿宋_GB2312" w:cs="宋体"/>
          <w:sz w:val="28"/>
        </w:rPr>
        <w:t>本规划根据海宁市现有热源点和热用户分布情况，结合嘉兴市经济及社会总体规划中对各乡镇的功能定位、各乡镇产业发展现状和未来趋势、各乡镇地理位置情况等因素，将海宁市供热分区进行调整，分为</w:t>
      </w:r>
      <w:r>
        <w:rPr>
          <w:rFonts w:ascii="Times New Roman" w:hAnsi="Times New Roman" w:eastAsia="仿宋_GB2312" w:cs="宋体"/>
          <w:sz w:val="28"/>
        </w:rPr>
        <w:t>5</w:t>
      </w:r>
      <w:r>
        <w:rPr>
          <w:rFonts w:hint="eastAsia" w:ascii="Times New Roman" w:hAnsi="Times New Roman" w:eastAsia="仿宋_GB2312" w:cs="宋体"/>
          <w:sz w:val="28"/>
        </w:rPr>
        <w:t>个区域进行热负荷需求分析。相较于原《规划》，本规划考虑到规划期内浙江泰亿能源有限公司关停，届时长安镇、周王庙镇、盐官镇热用户均由海宁红宝热电有限公司供应，因此本规划将</w:t>
      </w:r>
      <w:r>
        <w:rPr>
          <w:rFonts w:ascii="Times New Roman" w:hAnsi="Times New Roman" w:eastAsia="仿宋_GB2312" w:cs="宋体"/>
          <w:sz w:val="28"/>
        </w:rPr>
        <w:t>长安南片、周王庙片</w:t>
      </w:r>
      <w:r>
        <w:rPr>
          <w:rFonts w:hint="eastAsia" w:ascii="Times New Roman" w:hAnsi="Times New Roman" w:eastAsia="仿宋_GB2312" w:cs="宋体"/>
          <w:sz w:val="28"/>
        </w:rPr>
        <w:t>合并为1个供热分区，即长安及周边区块；本规划考虑到海宁东山热电厂被海宁光耀热电有限公司收购并改名为海宁光耀热电有限公司</w:t>
      </w:r>
      <w:r>
        <w:rPr>
          <w:rFonts w:ascii="Times New Roman" w:hAnsi="Times New Roman" w:eastAsia="仿宋_GB2312" w:cs="宋体"/>
          <w:sz w:val="28"/>
        </w:rPr>
        <w:t>1号能源站，海宁钱江生化自备热电厂改名为海宁光耀热电有限公司2号能源站</w:t>
      </w:r>
      <w:r>
        <w:rPr>
          <w:rFonts w:hint="eastAsia" w:ascii="Times New Roman" w:hAnsi="Times New Roman" w:eastAsia="仿宋_GB2312" w:cs="宋体"/>
          <w:sz w:val="28"/>
        </w:rPr>
        <w:t>，</w:t>
      </w:r>
      <w:r>
        <w:rPr>
          <w:rFonts w:ascii="Times New Roman" w:hAnsi="Times New Roman" w:eastAsia="仿宋_GB2312" w:cs="宋体"/>
          <w:sz w:val="28"/>
        </w:rPr>
        <w:t>中心城市东北片、中心城市西北片</w:t>
      </w:r>
      <w:r>
        <w:rPr>
          <w:rFonts w:hint="eastAsia" w:ascii="Times New Roman" w:hAnsi="Times New Roman" w:eastAsia="仿宋_GB2312" w:cs="宋体"/>
          <w:sz w:val="28"/>
        </w:rPr>
        <w:t>现均为海宁光耀热电有限公司供热范围，因此本规划将</w:t>
      </w:r>
      <w:r>
        <w:rPr>
          <w:rFonts w:ascii="Times New Roman" w:hAnsi="Times New Roman" w:eastAsia="仿宋_GB2312" w:cs="宋体"/>
          <w:sz w:val="28"/>
        </w:rPr>
        <w:t>中心城市东北片、中心城市西北片</w:t>
      </w:r>
      <w:r>
        <w:rPr>
          <w:rFonts w:hint="eastAsia" w:ascii="Times New Roman" w:hAnsi="Times New Roman" w:eastAsia="仿宋_GB2312" w:cs="宋体"/>
          <w:sz w:val="28"/>
        </w:rPr>
        <w:t>合并为1个供热分区，即中心城区北部及周边区块。</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本规划具体供热分区介绍如下：</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中心城区北部及周边区块：</w:t>
      </w:r>
      <w:r>
        <w:rPr>
          <w:rFonts w:hint="eastAsia" w:ascii="Times New Roman" w:hAnsi="Times New Roman" w:eastAsia="仿宋_GB2312" w:cs="宋体"/>
          <w:sz w:val="28"/>
        </w:rPr>
        <w:t>中心城区北部及周边区块主要包括海昌街道、硖石街道、斜桥镇铁路以北区域、海洲街道铁路以北区域。该区块有1个公共热源点，即海宁光耀热电有限公司，目前由海宁光耀热电有限公司进行集中供热。</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中心城区南部及周边区块：</w:t>
      </w:r>
      <w:r>
        <w:rPr>
          <w:rFonts w:hint="eastAsia" w:ascii="Times New Roman" w:hAnsi="Times New Roman" w:eastAsia="仿宋_GB2312" w:cs="宋体"/>
          <w:sz w:val="28"/>
        </w:rPr>
        <w:t>中心城区南部及周边区块主要包括马桥街道、丁桥镇、斜桥镇铁路以南区域、海洲街道铁路以南区域。该区块有1个公共热源点，即海宁马桥大都市热电公司，目前由海宁马桥大都市热电有限公司进行集中供热。</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长安及周边区块：</w:t>
      </w:r>
      <w:r>
        <w:rPr>
          <w:rFonts w:hint="eastAsia" w:ascii="Times New Roman" w:hAnsi="Times New Roman" w:eastAsia="仿宋_GB2312" w:cs="宋体"/>
          <w:sz w:val="28"/>
        </w:rPr>
        <w:t>长安及周边区块主要包括长安镇、周王庙镇</w:t>
      </w:r>
      <w:r>
        <w:rPr>
          <w:rFonts w:ascii="Times New Roman" w:hAnsi="Times New Roman" w:eastAsia="仿宋_GB2312" w:cs="宋体"/>
          <w:sz w:val="28"/>
        </w:rPr>
        <w:t>、盐官镇</w:t>
      </w:r>
      <w:r>
        <w:rPr>
          <w:rFonts w:hint="eastAsia" w:ascii="Times New Roman" w:hAnsi="Times New Roman" w:eastAsia="仿宋_GB2312" w:cs="宋体"/>
          <w:sz w:val="28"/>
        </w:rPr>
        <w:t>。该区块有</w:t>
      </w:r>
      <w:r>
        <w:rPr>
          <w:rFonts w:ascii="Times New Roman" w:hAnsi="Times New Roman" w:eastAsia="仿宋_GB2312" w:cs="宋体"/>
          <w:sz w:val="28"/>
        </w:rPr>
        <w:t>2</w:t>
      </w:r>
      <w:r>
        <w:rPr>
          <w:rFonts w:hint="eastAsia" w:ascii="Times New Roman" w:hAnsi="Times New Roman" w:eastAsia="仿宋_GB2312" w:cs="宋体"/>
          <w:sz w:val="28"/>
        </w:rPr>
        <w:t>个公共热源点，即海宁红宝热电有限公司、浙江泰亿能源有限公司，目前长安镇</w:t>
      </w:r>
      <w:r>
        <w:rPr>
          <w:rFonts w:ascii="Times New Roman" w:hAnsi="Times New Roman" w:eastAsia="仿宋_GB2312" w:cs="宋体"/>
          <w:sz w:val="28"/>
        </w:rPr>
        <w:t>101省道以南区域</w:t>
      </w:r>
      <w:r>
        <w:rPr>
          <w:rFonts w:hint="eastAsia" w:ascii="Times New Roman" w:hAnsi="Times New Roman" w:eastAsia="仿宋_GB2312" w:cs="宋体"/>
          <w:sz w:val="28"/>
        </w:rPr>
        <w:t>由海宁红宝热电有限公司进行集中供热，长安镇</w:t>
      </w:r>
      <w:r>
        <w:rPr>
          <w:rFonts w:ascii="Times New Roman" w:hAnsi="Times New Roman" w:eastAsia="仿宋_GB2312" w:cs="宋体"/>
          <w:sz w:val="28"/>
        </w:rPr>
        <w:t>101省道以</w:t>
      </w:r>
      <w:r>
        <w:rPr>
          <w:rFonts w:hint="eastAsia" w:ascii="Times New Roman" w:hAnsi="Times New Roman" w:eastAsia="仿宋_GB2312" w:cs="宋体"/>
          <w:sz w:val="28"/>
        </w:rPr>
        <w:t>北</w:t>
      </w:r>
      <w:r>
        <w:rPr>
          <w:rFonts w:ascii="Times New Roman" w:hAnsi="Times New Roman" w:eastAsia="仿宋_GB2312" w:cs="宋体"/>
          <w:sz w:val="28"/>
        </w:rPr>
        <w:t>区域</w:t>
      </w:r>
      <w:r>
        <w:rPr>
          <w:rFonts w:hint="eastAsia" w:ascii="Times New Roman" w:hAnsi="Times New Roman" w:eastAsia="仿宋_GB2312" w:cs="宋体"/>
          <w:sz w:val="28"/>
        </w:rPr>
        <w:t>、周王庙镇</w:t>
      </w:r>
      <w:r>
        <w:rPr>
          <w:rFonts w:ascii="Times New Roman" w:hAnsi="Times New Roman" w:eastAsia="仿宋_GB2312" w:cs="宋体"/>
          <w:sz w:val="28"/>
        </w:rPr>
        <w:t>、盐官镇</w:t>
      </w:r>
      <w:r>
        <w:rPr>
          <w:rFonts w:hint="eastAsia" w:ascii="Times New Roman" w:hAnsi="Times New Roman" w:eastAsia="仿宋_GB2312" w:cs="宋体"/>
          <w:sz w:val="28"/>
        </w:rPr>
        <w:t>由浙江泰亿能源有限公司进行集中供热。</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许村区块：</w:t>
      </w:r>
      <w:r>
        <w:rPr>
          <w:rFonts w:hint="eastAsia" w:ascii="Times New Roman" w:hAnsi="Times New Roman" w:eastAsia="仿宋_GB2312" w:cs="宋体"/>
          <w:sz w:val="28"/>
        </w:rPr>
        <w:t>许村区块主要包括许村镇。该区块有1个公共热源点，即浙江宝峰热电公司，目前由浙江宝峰热电公司进行集中供热。</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b/>
          <w:sz w:val="28"/>
        </w:rPr>
        <w:t>尖山新区及周边区块：</w:t>
      </w:r>
      <w:r>
        <w:rPr>
          <w:rFonts w:hint="eastAsia" w:ascii="Times New Roman" w:hAnsi="Times New Roman" w:eastAsia="仿宋_GB2312" w:cs="宋体"/>
          <w:sz w:val="28"/>
        </w:rPr>
        <w:t>尖山新区及周边区块主要包括袁花镇、黄湾镇。该区块有1个公共热源点，即海宁恒逸热电有限公司，目前由海宁恒逸热电有限公司进行集中供热。</w:t>
      </w:r>
    </w:p>
    <w:p>
      <w:pPr>
        <w:widowControl/>
        <w:jc w:val="center"/>
        <w:rPr>
          <w:rFonts w:ascii="黑体" w:hAnsi="黑体" w:eastAsia="黑体" w:cs="Times New Roman"/>
          <w:kern w:val="0"/>
          <w:sz w:val="28"/>
          <w:szCs w:val="24"/>
        </w:rPr>
      </w:pPr>
      <w:r>
        <w:rPr>
          <w:rFonts w:hint="eastAsia" w:ascii="黑体" w:hAnsi="黑体" w:eastAsia="黑体" w:cs="Times New Roman"/>
          <w:kern w:val="0"/>
          <w:sz w:val="28"/>
          <w:szCs w:val="24"/>
        </w:rPr>
        <w:t>表</w:t>
      </w:r>
      <w:r>
        <w:rPr>
          <w:rFonts w:ascii="黑体" w:hAnsi="黑体" w:eastAsia="黑体" w:cs="Times New Roman"/>
          <w:kern w:val="0"/>
          <w:sz w:val="28"/>
          <w:szCs w:val="24"/>
        </w:rPr>
        <w:t>4</w:t>
      </w:r>
      <w:r>
        <w:rPr>
          <w:rFonts w:hint="eastAsia" w:ascii="黑体" w:hAnsi="黑体" w:eastAsia="黑体" w:cs="Times New Roman"/>
          <w:kern w:val="0"/>
          <w:sz w:val="28"/>
          <w:szCs w:val="24"/>
        </w:rPr>
        <w:t>.</w:t>
      </w:r>
      <w:r>
        <w:rPr>
          <w:rFonts w:ascii="黑体" w:hAnsi="黑体" w:eastAsia="黑体" w:cs="Times New Roman"/>
          <w:kern w:val="0"/>
          <w:sz w:val="28"/>
          <w:szCs w:val="24"/>
        </w:rPr>
        <w:t xml:space="preserve">1-1 </w:t>
      </w:r>
      <w:r>
        <w:rPr>
          <w:rFonts w:hint="eastAsia" w:ascii="黑体" w:hAnsi="黑体" w:eastAsia="黑体" w:cs="Times New Roman"/>
          <w:kern w:val="0"/>
          <w:sz w:val="28"/>
          <w:szCs w:val="24"/>
        </w:rPr>
        <w:t>海宁市供热分区情况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985"/>
        <w:gridCol w:w="2976"/>
        <w:gridCol w:w="3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序号</w:t>
            </w:r>
          </w:p>
        </w:tc>
        <w:tc>
          <w:tcPr>
            <w:tcW w:w="1985" w:type="dxa"/>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供热分区</w:t>
            </w:r>
          </w:p>
        </w:tc>
        <w:tc>
          <w:tcPr>
            <w:tcW w:w="2976" w:type="dxa"/>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供热范围</w:t>
            </w:r>
          </w:p>
        </w:tc>
        <w:tc>
          <w:tcPr>
            <w:tcW w:w="3055" w:type="dxa"/>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公共热源点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985"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中心城区北部及周边区块</w:t>
            </w:r>
          </w:p>
        </w:tc>
        <w:tc>
          <w:tcPr>
            <w:tcW w:w="2976"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海昌街道、硖石街道、斜桥镇铁路以</w:t>
            </w:r>
            <w:r>
              <w:rPr>
                <w:rFonts w:hint="eastAsia" w:ascii="Times New Roman" w:hAnsi="Times New Roman" w:eastAsia="仿宋_GB2312" w:cs="Times New Roman"/>
                <w:sz w:val="24"/>
                <w:szCs w:val="24"/>
              </w:rPr>
              <w:t>北</w:t>
            </w:r>
            <w:r>
              <w:rPr>
                <w:rFonts w:ascii="Times New Roman" w:hAnsi="Times New Roman" w:eastAsia="仿宋_GB2312" w:cs="Times New Roman"/>
                <w:sz w:val="24"/>
                <w:szCs w:val="24"/>
              </w:rPr>
              <w:t>区域、海洲街道铁路以</w:t>
            </w:r>
            <w:r>
              <w:rPr>
                <w:rFonts w:hint="eastAsia" w:ascii="Times New Roman" w:hAnsi="Times New Roman" w:eastAsia="仿宋_GB2312" w:cs="Times New Roman"/>
                <w:sz w:val="24"/>
                <w:szCs w:val="24"/>
              </w:rPr>
              <w:t>北</w:t>
            </w:r>
            <w:r>
              <w:rPr>
                <w:rFonts w:ascii="Times New Roman" w:hAnsi="Times New Roman" w:eastAsia="仿宋_GB2312" w:cs="Times New Roman"/>
                <w:sz w:val="24"/>
                <w:szCs w:val="24"/>
              </w:rPr>
              <w:t>区域</w:t>
            </w:r>
          </w:p>
        </w:tc>
        <w:tc>
          <w:tcPr>
            <w:tcW w:w="3055" w:type="dxa"/>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海宁光耀热电有限公司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985"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中心城区南部及周边区块</w:t>
            </w:r>
          </w:p>
        </w:tc>
        <w:tc>
          <w:tcPr>
            <w:tcW w:w="2976"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马桥街道、丁桥镇、斜桥镇铁路以南区域、海洲街道铁路以南区域</w:t>
            </w:r>
          </w:p>
        </w:tc>
        <w:tc>
          <w:tcPr>
            <w:tcW w:w="3055" w:type="dxa"/>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海宁马桥大都市热电公司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985"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长安及周边区块</w:t>
            </w:r>
          </w:p>
        </w:tc>
        <w:tc>
          <w:tcPr>
            <w:tcW w:w="2976"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长安镇</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周王庙镇、</w:t>
            </w:r>
            <w:r>
              <w:rPr>
                <w:rFonts w:ascii="Times New Roman" w:hAnsi="Times New Roman" w:eastAsia="仿宋_GB2312" w:cs="Times New Roman"/>
                <w:sz w:val="24"/>
                <w:szCs w:val="24"/>
              </w:rPr>
              <w:t>盐官镇</w:t>
            </w:r>
          </w:p>
        </w:tc>
        <w:tc>
          <w:tcPr>
            <w:tcW w:w="3055" w:type="dxa"/>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海宁红宝热电有限公司</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浙江泰亿能源有限公司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985"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许村区块</w:t>
            </w:r>
          </w:p>
        </w:tc>
        <w:tc>
          <w:tcPr>
            <w:tcW w:w="2976"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许村镇</w:t>
            </w:r>
          </w:p>
        </w:tc>
        <w:tc>
          <w:tcPr>
            <w:tcW w:w="3055"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浙江宝峰热电公司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w:t>
            </w:r>
          </w:p>
        </w:tc>
        <w:tc>
          <w:tcPr>
            <w:tcW w:w="1985"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尖山新区及周边区块</w:t>
            </w:r>
          </w:p>
        </w:tc>
        <w:tc>
          <w:tcPr>
            <w:tcW w:w="2976"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袁花镇、黄湾镇</w:t>
            </w:r>
          </w:p>
        </w:tc>
        <w:tc>
          <w:tcPr>
            <w:tcW w:w="3055"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海宁恒逸热电有限公司</w:t>
            </w:r>
          </w:p>
        </w:tc>
      </w:tr>
    </w:tbl>
    <w:p>
      <w:pPr>
        <w:widowControl/>
        <w:jc w:val="center"/>
        <w:rPr>
          <w:rFonts w:ascii="Times New Roman" w:hAnsi="Times New Roman" w:eastAsia="仿宋_GB2312" w:cs="Times New Roman"/>
          <w:kern w:val="0"/>
          <w:sz w:val="28"/>
          <w:szCs w:val="24"/>
        </w:rPr>
      </w:pP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5543550" cy="3917950"/>
            <wp:effectExtent l="0" t="0" r="0" b="6350"/>
            <wp:docPr id="41" name="图片 41" descr="E:\1-省发展规划研究院\0-发规院近期任务\4-海宁供热规划\作图\供热分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1-省发展规划研究院\0-发规院近期任务\4-海宁供热规划\作图\供热分区.jpg"/>
                    <pic:cNvPicPr>
                      <a:picLocks noChangeAspect="1" noChangeArrowheads="1"/>
                    </pic:cNvPicPr>
                  </pic:nvPicPr>
                  <pic:blipFill>
                    <a:blip r:embed="rId13"/>
                    <a:srcRect/>
                    <a:stretch>
                      <a:fillRect/>
                    </a:stretch>
                  </pic:blipFill>
                  <pic:spPr>
                    <a:xfrm>
                      <a:off x="0" y="0"/>
                      <a:ext cx="5543550" cy="3918291"/>
                    </a:xfrm>
                    <a:prstGeom prst="rect">
                      <a:avLst/>
                    </a:prstGeom>
                    <a:noFill/>
                    <a:ln>
                      <a:noFill/>
                    </a:ln>
                  </pic:spPr>
                </pic:pic>
              </a:graphicData>
            </a:graphic>
          </wp:inline>
        </w:drawing>
      </w:r>
    </w:p>
    <w:p>
      <w:pPr>
        <w:widowControl/>
        <w:spacing w:after="156" w:afterLines="50"/>
        <w:jc w:val="center"/>
        <w:rPr>
          <w:rFonts w:ascii="黑体" w:hAnsi="黑体" w:eastAsia="黑体" w:cs="Times New Roman"/>
          <w:kern w:val="0"/>
          <w:sz w:val="28"/>
          <w:szCs w:val="24"/>
        </w:rPr>
      </w:pPr>
      <w:r>
        <w:rPr>
          <w:rFonts w:hint="eastAsia" w:ascii="黑体" w:hAnsi="黑体" w:eastAsia="黑体" w:cs="Times New Roman"/>
          <w:kern w:val="0"/>
          <w:sz w:val="28"/>
          <w:szCs w:val="24"/>
        </w:rPr>
        <w:t>图</w:t>
      </w:r>
      <w:r>
        <w:rPr>
          <w:rFonts w:ascii="黑体" w:hAnsi="黑体" w:eastAsia="黑体" w:cs="Times New Roman"/>
          <w:kern w:val="0"/>
          <w:sz w:val="28"/>
          <w:szCs w:val="24"/>
        </w:rPr>
        <w:t xml:space="preserve">4-1 </w:t>
      </w:r>
      <w:r>
        <w:rPr>
          <w:rFonts w:hint="eastAsia" w:ascii="黑体" w:hAnsi="黑体" w:eastAsia="黑体" w:cs="Times New Roman"/>
          <w:kern w:val="0"/>
          <w:sz w:val="28"/>
          <w:szCs w:val="24"/>
        </w:rPr>
        <w:t>海宁市供热分区图</w:t>
      </w:r>
    </w:p>
    <w:p>
      <w:pPr>
        <w:pStyle w:val="3"/>
      </w:pPr>
      <w:bookmarkStart w:id="224" w:name="_Toc188636902"/>
      <w:r>
        <w:t>4.2</w:t>
      </w:r>
      <w:r>
        <w:rPr>
          <w:rFonts w:hint="eastAsia"/>
        </w:rPr>
        <w:t>热负荷规划原则</w:t>
      </w:r>
      <w:bookmarkEnd w:id="224"/>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大力发展热电联产、集中供热，是改善区域投资环境，实现经济社会可持续发展的迫切需要。根据海宁市经济社会发展方向、城市总体规划发展目标以及海宁市供热现状分析，本报告规划热负荷将根据海宁市热源点以及热用户分布实际，从以下两个方面进行考虑：</w:t>
      </w:r>
    </w:p>
    <w:p>
      <w:pPr>
        <w:spacing w:line="580" w:lineRule="exact"/>
        <w:ind w:firstLine="555"/>
        <w:rPr>
          <w:rFonts w:ascii="Times New Roman" w:hAnsi="Times New Roman" w:eastAsia="仿宋_GB2312" w:cs="Times New Roman"/>
          <w:b/>
          <w:sz w:val="28"/>
        </w:rPr>
      </w:pPr>
      <w:r>
        <w:rPr>
          <w:rFonts w:hint="eastAsia" w:ascii="Times New Roman" w:hAnsi="Times New Roman" w:eastAsia="仿宋_GB2312" w:cs="Times New Roman"/>
          <w:b/>
          <w:sz w:val="28"/>
        </w:rPr>
        <w:t>（1）现有热源点的规划热负荷</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随着一些热电企业供热范围区域内现有热用户生产规模的扩大以及新热用户的不断进入，热负荷需求增长快速。为满足现有热电企业供热范围内的热负荷需求，需要对这些热电企业进行规划热负荷预测，为热电企业的改扩建规划提供依据。</w:t>
      </w:r>
    </w:p>
    <w:p>
      <w:pPr>
        <w:spacing w:line="580" w:lineRule="exact"/>
        <w:ind w:firstLine="555"/>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2</w:t>
      </w:r>
      <w:r>
        <w:rPr>
          <w:rFonts w:hint="eastAsia" w:ascii="Times New Roman" w:hAnsi="Times New Roman" w:eastAsia="仿宋_GB2312" w:cs="Times New Roman"/>
          <w:b/>
          <w:sz w:val="28"/>
        </w:rPr>
        <w:t>）新增热源点的规划热负荷</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根据海宁市各区域热负荷企业分布以及产业发展布局情况来看，在现有公共热源点供热范围以外，将有一些热负荷企业集中的新区块需要进行集中供热。因此，在海宁市中，对热用户较为集中但不能纳入现有热电企业供热范围内或现有热电企业供热能力无法满足的区域进行热负荷的统计和预测，为规划新的热源点提供依据。</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规划热负荷，主要考虑建成投产工业项目的热负荷需求，同时考虑海宁市空间规划和产业发展规划进行热负荷预测。</w:t>
      </w:r>
    </w:p>
    <w:p>
      <w:pPr>
        <w:pStyle w:val="3"/>
      </w:pPr>
      <w:bookmarkStart w:id="225" w:name="_Toc188636903"/>
      <w:r>
        <w:t>4.3</w:t>
      </w:r>
      <w:r>
        <w:rPr>
          <w:rFonts w:hint="eastAsia"/>
        </w:rPr>
        <w:t>现状热负荷</w:t>
      </w:r>
      <w:bookmarkEnd w:id="225"/>
    </w:p>
    <w:p>
      <w:pPr>
        <w:pStyle w:val="4"/>
      </w:pPr>
      <w:bookmarkStart w:id="226" w:name="_Toc144301225"/>
      <w:bookmarkStart w:id="227" w:name="_Toc136514721"/>
      <w:bookmarkStart w:id="228" w:name="_Toc144301006"/>
      <w:bookmarkStart w:id="229" w:name="_Toc183631780"/>
      <w:bookmarkStart w:id="230" w:name="_Toc181983763"/>
      <w:bookmarkStart w:id="231" w:name="_Toc188636904"/>
      <w:bookmarkStart w:id="232" w:name="_Toc139379151"/>
      <w:bookmarkStart w:id="233" w:name="_Toc171197847"/>
      <w:r>
        <w:t>4.3.1</w:t>
      </w:r>
      <w:r>
        <w:rPr>
          <w:rFonts w:hint="eastAsia"/>
        </w:rPr>
        <w:t>集中供热负荷</w:t>
      </w:r>
      <w:bookmarkEnd w:id="226"/>
      <w:bookmarkEnd w:id="227"/>
      <w:bookmarkEnd w:id="228"/>
      <w:bookmarkEnd w:id="229"/>
      <w:bookmarkEnd w:id="230"/>
      <w:bookmarkEnd w:id="231"/>
      <w:bookmarkEnd w:id="232"/>
      <w:bookmarkEnd w:id="233"/>
    </w:p>
    <w:p>
      <w:pPr>
        <w:pStyle w:val="4"/>
      </w:pPr>
      <w:bookmarkStart w:id="234" w:name="_Toc144301226"/>
      <w:bookmarkStart w:id="235" w:name="_Toc171197848"/>
      <w:bookmarkStart w:id="236" w:name="_Toc183631781"/>
      <w:bookmarkStart w:id="237" w:name="_Toc188636905"/>
      <w:bookmarkStart w:id="238" w:name="_Toc136514722"/>
      <w:bookmarkStart w:id="239" w:name="_Toc144301007"/>
      <w:bookmarkStart w:id="240" w:name="_Toc181983764"/>
      <w:r>
        <w:t>4.3.1.1</w:t>
      </w:r>
      <w:r>
        <w:rPr>
          <w:rFonts w:hint="eastAsia"/>
        </w:rPr>
        <w:t>中心城区北部及周边区块</w:t>
      </w:r>
      <w:bookmarkEnd w:id="234"/>
      <w:bookmarkEnd w:id="235"/>
      <w:bookmarkEnd w:id="236"/>
      <w:bookmarkEnd w:id="237"/>
      <w:bookmarkEnd w:id="238"/>
      <w:bookmarkEnd w:id="239"/>
      <w:bookmarkEnd w:id="240"/>
    </w:p>
    <w:p>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中心城区北部及周边区块主要由</w:t>
      </w:r>
      <w:r>
        <w:rPr>
          <w:rFonts w:hint="eastAsia" w:ascii="Times New Roman" w:hAnsi="Times New Roman" w:eastAsia="仿宋_GB2312" w:cs="宋体"/>
          <w:sz w:val="28"/>
        </w:rPr>
        <w:t>海宁光耀热电有限公司进行集中供热，</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226</w:t>
      </w:r>
      <w:r>
        <w:rPr>
          <w:rFonts w:hint="eastAsia" w:ascii="Times New Roman" w:hAnsi="Times New Roman" w:eastAsia="仿宋_GB2312" w:cs="Times New Roman"/>
          <w:sz w:val="28"/>
        </w:rPr>
        <w:t>家，主要为印染、纺织、生物制药、服装加工、袜业等行业的企业，</w:t>
      </w:r>
      <w:r>
        <w:rPr>
          <w:rFonts w:hint="eastAsia" w:ascii="Times New Roman" w:hAnsi="Times New Roman" w:eastAsia="仿宋_GB2312" w:cs="宋体"/>
          <w:sz w:val="28"/>
        </w:rPr>
        <w:t>其中，海宁光耀热电有限公司1号能源站</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162</w:t>
      </w:r>
      <w:r>
        <w:rPr>
          <w:rFonts w:hint="eastAsia" w:ascii="Times New Roman" w:hAnsi="Times New Roman" w:eastAsia="仿宋_GB2312" w:cs="Times New Roman"/>
          <w:sz w:val="28"/>
        </w:rPr>
        <w:t>家，均为低压蒸汽用户，低压蒸汽平均热负荷合计</w:t>
      </w:r>
      <w:r>
        <w:rPr>
          <w:rFonts w:ascii="Times New Roman" w:hAnsi="Times New Roman" w:eastAsia="仿宋_GB2312" w:cs="Times New Roman"/>
          <w:sz w:val="28"/>
        </w:rPr>
        <w:t>54.5t/h，最大热负荷合计154.1t/h</w:t>
      </w:r>
      <w:r>
        <w:rPr>
          <w:rFonts w:hint="eastAsia" w:ascii="Times New Roman" w:hAnsi="Times New Roman" w:eastAsia="仿宋_GB2312" w:cs="Times New Roman"/>
          <w:sz w:val="28"/>
        </w:rPr>
        <w:t>；</w:t>
      </w:r>
      <w:r>
        <w:rPr>
          <w:rFonts w:hint="eastAsia" w:ascii="Times New Roman" w:hAnsi="Times New Roman" w:eastAsia="仿宋_GB2312" w:cs="宋体"/>
          <w:sz w:val="28"/>
        </w:rPr>
        <w:t>海宁光耀热电有限公司</w:t>
      </w:r>
      <w:r>
        <w:rPr>
          <w:rFonts w:ascii="Times New Roman" w:hAnsi="Times New Roman" w:eastAsia="仿宋_GB2312" w:cs="宋体"/>
          <w:sz w:val="28"/>
        </w:rPr>
        <w:t>2</w:t>
      </w:r>
      <w:r>
        <w:rPr>
          <w:rFonts w:hint="eastAsia" w:ascii="Times New Roman" w:hAnsi="Times New Roman" w:eastAsia="仿宋_GB2312" w:cs="宋体"/>
          <w:sz w:val="28"/>
        </w:rPr>
        <w:t>号能源站</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64</w:t>
      </w:r>
      <w:r>
        <w:rPr>
          <w:rFonts w:hint="eastAsia" w:ascii="Times New Roman" w:hAnsi="Times New Roman" w:eastAsia="仿宋_GB2312" w:cs="Times New Roman"/>
          <w:sz w:val="28"/>
        </w:rPr>
        <w:t>家，均为低压蒸汽用户，低压蒸汽平均热负荷合计</w:t>
      </w:r>
      <w:r>
        <w:rPr>
          <w:rFonts w:ascii="Times New Roman" w:hAnsi="Times New Roman" w:eastAsia="仿宋_GB2312" w:cs="Times New Roman"/>
          <w:sz w:val="28"/>
        </w:rPr>
        <w:t>61.1t/h，最大热负荷合计155.2t/h</w:t>
      </w:r>
      <w:r>
        <w:rPr>
          <w:rFonts w:hint="eastAsia" w:ascii="Times New Roman" w:hAnsi="Times New Roman" w:eastAsia="仿宋_GB2312" w:cs="Times New Roman"/>
          <w:sz w:val="28"/>
        </w:rPr>
        <w:t>。综上所述，中心城区北部及周边区块低压蒸汽平均热负荷</w:t>
      </w:r>
      <w:r>
        <w:rPr>
          <w:rFonts w:ascii="Times New Roman" w:hAnsi="Times New Roman" w:eastAsia="仿宋_GB2312" w:cs="Times New Roman"/>
          <w:sz w:val="28"/>
        </w:rPr>
        <w:t>115.6</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309.3</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w:t>
      </w:r>
    </w:p>
    <w:p>
      <w:pPr>
        <w:pStyle w:val="4"/>
      </w:pPr>
      <w:bookmarkStart w:id="241" w:name="_Toc144301008"/>
      <w:bookmarkStart w:id="242" w:name="_Toc171197849"/>
      <w:bookmarkStart w:id="243" w:name="_Toc144301227"/>
      <w:bookmarkStart w:id="244" w:name="_Toc183631782"/>
      <w:bookmarkStart w:id="245" w:name="_Toc188636906"/>
      <w:bookmarkStart w:id="246" w:name="_Toc181983765"/>
      <w:r>
        <w:t>4.3.1.2</w:t>
      </w:r>
      <w:r>
        <w:rPr>
          <w:rFonts w:hint="eastAsia"/>
        </w:rPr>
        <w:t>中心城区南部及周边区块</w:t>
      </w:r>
      <w:bookmarkEnd w:id="241"/>
      <w:bookmarkEnd w:id="242"/>
      <w:bookmarkEnd w:id="243"/>
      <w:bookmarkEnd w:id="244"/>
      <w:bookmarkEnd w:id="245"/>
      <w:bookmarkEnd w:id="246"/>
    </w:p>
    <w:p>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中心城区南部及周边区块主要由</w:t>
      </w:r>
      <w:r>
        <w:rPr>
          <w:rFonts w:hint="eastAsia" w:ascii="Times New Roman" w:hAnsi="Times New Roman" w:eastAsia="仿宋_GB2312" w:cs="宋体"/>
          <w:sz w:val="28"/>
        </w:rPr>
        <w:t>海宁马桥大都市热电公司进行集中供热，</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130</w:t>
      </w:r>
      <w:r>
        <w:rPr>
          <w:rFonts w:hint="eastAsia" w:ascii="Times New Roman" w:hAnsi="Times New Roman" w:eastAsia="仿宋_GB2312" w:cs="Times New Roman"/>
          <w:sz w:val="28"/>
        </w:rPr>
        <w:t>家，主要为印染行业的企业，低压蒸汽平均热负荷</w:t>
      </w:r>
      <w:r>
        <w:rPr>
          <w:rFonts w:ascii="Times New Roman" w:hAnsi="Times New Roman" w:eastAsia="仿宋_GB2312" w:cs="Times New Roman"/>
          <w:sz w:val="28"/>
        </w:rPr>
        <w:t>250.6</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465.2</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；中压蒸汽平均热负荷</w:t>
      </w:r>
      <w:r>
        <w:rPr>
          <w:rFonts w:ascii="Times New Roman" w:hAnsi="Times New Roman" w:eastAsia="仿宋_GB2312" w:cs="Times New Roman"/>
          <w:sz w:val="28"/>
        </w:rPr>
        <w:t>56.7</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77.9</w:t>
      </w:r>
      <w:r>
        <w:rPr>
          <w:rFonts w:hint="eastAsia" w:ascii="Times New Roman" w:hAnsi="Times New Roman" w:eastAsia="仿宋_GB2312" w:cs="Times New Roman"/>
          <w:sz w:val="28"/>
        </w:rPr>
        <w:t>t</w:t>
      </w:r>
      <w:r>
        <w:rPr>
          <w:rFonts w:ascii="Times New Roman" w:hAnsi="Times New Roman" w:eastAsia="仿宋_GB2312" w:cs="Times New Roman"/>
          <w:sz w:val="28"/>
        </w:rPr>
        <w:t>/</w:t>
      </w:r>
      <w:r>
        <w:rPr>
          <w:rFonts w:hint="eastAsia" w:ascii="Times New Roman" w:hAnsi="Times New Roman" w:eastAsia="仿宋_GB2312" w:cs="Times New Roman"/>
          <w:sz w:val="28"/>
        </w:rPr>
        <w:t>h。</w:t>
      </w:r>
    </w:p>
    <w:p>
      <w:pPr>
        <w:pStyle w:val="4"/>
      </w:pPr>
      <w:bookmarkStart w:id="247" w:name="_Toc144301009"/>
      <w:bookmarkStart w:id="248" w:name="_Toc144301228"/>
      <w:bookmarkStart w:id="249" w:name="_Toc183631783"/>
      <w:bookmarkStart w:id="250" w:name="_Toc188636907"/>
      <w:bookmarkStart w:id="251" w:name="_Toc171197850"/>
      <w:bookmarkStart w:id="252" w:name="_Toc181983766"/>
      <w:r>
        <w:t>4.3.1.3</w:t>
      </w:r>
      <w:r>
        <w:rPr>
          <w:rFonts w:hint="eastAsia"/>
        </w:rPr>
        <w:t>长安及周边区块</w:t>
      </w:r>
      <w:bookmarkEnd w:id="247"/>
      <w:bookmarkEnd w:id="248"/>
      <w:bookmarkEnd w:id="249"/>
      <w:bookmarkEnd w:id="250"/>
      <w:bookmarkEnd w:id="251"/>
      <w:bookmarkEnd w:id="252"/>
    </w:p>
    <w:p>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长安及周边区块主要由</w:t>
      </w:r>
      <w:r>
        <w:rPr>
          <w:rFonts w:hint="eastAsia" w:ascii="Times New Roman" w:hAnsi="Times New Roman" w:eastAsia="仿宋_GB2312" w:cs="宋体"/>
          <w:sz w:val="28"/>
        </w:rPr>
        <w:t>海宁红宝热电有限公司和浙江泰亿能源有限公司进行集中供热，其中海宁红宝热电有限公司</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57</w:t>
      </w:r>
      <w:r>
        <w:rPr>
          <w:rFonts w:hint="eastAsia" w:ascii="Times New Roman" w:hAnsi="Times New Roman" w:eastAsia="仿宋_GB2312" w:cs="Times New Roman"/>
          <w:sz w:val="28"/>
        </w:rPr>
        <w:t>家，主要为印染、食品、包装等行业的企业，低压蒸汽平均热负荷</w:t>
      </w:r>
      <w:r>
        <w:rPr>
          <w:rFonts w:ascii="Times New Roman" w:hAnsi="Times New Roman" w:eastAsia="仿宋_GB2312" w:cs="Times New Roman"/>
          <w:sz w:val="28"/>
        </w:rPr>
        <w:t>122.1</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317</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，中压蒸汽平均热负荷</w:t>
      </w:r>
      <w:r>
        <w:rPr>
          <w:rFonts w:ascii="Times New Roman" w:hAnsi="Times New Roman" w:eastAsia="仿宋_GB2312" w:cs="Times New Roman"/>
          <w:sz w:val="28"/>
        </w:rPr>
        <w:t>11</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30</w:t>
      </w:r>
      <w:r>
        <w:rPr>
          <w:rFonts w:hint="eastAsia" w:ascii="Times New Roman" w:hAnsi="Times New Roman" w:eastAsia="仿宋_GB2312" w:cs="Times New Roman"/>
          <w:sz w:val="28"/>
        </w:rPr>
        <w:t>t</w:t>
      </w:r>
      <w:r>
        <w:rPr>
          <w:rFonts w:ascii="Times New Roman" w:hAnsi="Times New Roman" w:eastAsia="仿宋_GB2312" w:cs="Times New Roman"/>
          <w:sz w:val="28"/>
        </w:rPr>
        <w:t>/</w:t>
      </w:r>
      <w:r>
        <w:rPr>
          <w:rFonts w:hint="eastAsia" w:ascii="Times New Roman" w:hAnsi="Times New Roman" w:eastAsia="仿宋_GB2312" w:cs="Times New Roman"/>
          <w:sz w:val="28"/>
        </w:rPr>
        <w:t>h；</w:t>
      </w:r>
      <w:r>
        <w:rPr>
          <w:rFonts w:hint="eastAsia" w:ascii="Times New Roman" w:hAnsi="Times New Roman" w:eastAsia="仿宋_GB2312" w:cs="宋体"/>
          <w:sz w:val="28"/>
        </w:rPr>
        <w:t>浙江泰亿能源有限公司</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29</w:t>
      </w:r>
      <w:r>
        <w:rPr>
          <w:rFonts w:hint="eastAsia" w:ascii="Times New Roman" w:hAnsi="Times New Roman" w:eastAsia="仿宋_GB2312" w:cs="Times New Roman"/>
          <w:sz w:val="28"/>
        </w:rPr>
        <w:t>家，主要为化工、包装等行业的企业，低压蒸汽平均热负荷</w:t>
      </w:r>
      <w:r>
        <w:rPr>
          <w:rFonts w:ascii="Times New Roman" w:hAnsi="Times New Roman" w:eastAsia="仿宋_GB2312" w:cs="Times New Roman"/>
          <w:sz w:val="28"/>
        </w:rPr>
        <w:t>35.3</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108.3/h</w:t>
      </w:r>
      <w:r>
        <w:rPr>
          <w:rFonts w:hint="eastAsia" w:ascii="Times New Roman" w:hAnsi="Times New Roman" w:eastAsia="仿宋_GB2312" w:cs="Times New Roman"/>
          <w:sz w:val="28"/>
        </w:rPr>
        <w:t>；中压蒸汽平均热负荷</w:t>
      </w:r>
      <w:r>
        <w:rPr>
          <w:rFonts w:ascii="Times New Roman" w:hAnsi="Times New Roman" w:eastAsia="仿宋_GB2312" w:cs="Times New Roman"/>
          <w:sz w:val="28"/>
        </w:rPr>
        <w:t>9.5</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17.6</w:t>
      </w:r>
      <w:r>
        <w:rPr>
          <w:rFonts w:hint="eastAsia" w:ascii="Times New Roman" w:hAnsi="Times New Roman" w:eastAsia="仿宋_GB2312" w:cs="Times New Roman"/>
          <w:sz w:val="28"/>
        </w:rPr>
        <w:t>t</w:t>
      </w:r>
      <w:r>
        <w:rPr>
          <w:rFonts w:ascii="Times New Roman" w:hAnsi="Times New Roman" w:eastAsia="仿宋_GB2312" w:cs="Times New Roman"/>
          <w:sz w:val="28"/>
        </w:rPr>
        <w:t>/</w:t>
      </w:r>
      <w:r>
        <w:rPr>
          <w:rFonts w:hint="eastAsia" w:ascii="Times New Roman" w:hAnsi="Times New Roman" w:eastAsia="仿宋_GB2312" w:cs="Times New Roman"/>
          <w:sz w:val="28"/>
        </w:rPr>
        <w:t>h。综上所述，长安及周边区块低压蒸汽平均热负荷</w:t>
      </w:r>
      <w:r>
        <w:rPr>
          <w:rFonts w:ascii="Times New Roman" w:hAnsi="Times New Roman" w:eastAsia="仿宋_GB2312" w:cs="Times New Roman"/>
          <w:sz w:val="28"/>
        </w:rPr>
        <w:t>157.4</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425.3</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；中压蒸汽平均热负荷</w:t>
      </w:r>
      <w:r>
        <w:rPr>
          <w:rFonts w:ascii="Times New Roman" w:hAnsi="Times New Roman" w:eastAsia="仿宋_GB2312" w:cs="Times New Roman"/>
          <w:sz w:val="28"/>
        </w:rPr>
        <w:t>20.5</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47.6</w:t>
      </w:r>
      <w:r>
        <w:rPr>
          <w:rFonts w:hint="eastAsia" w:ascii="Times New Roman" w:hAnsi="Times New Roman" w:eastAsia="仿宋_GB2312" w:cs="Times New Roman"/>
          <w:sz w:val="28"/>
        </w:rPr>
        <w:t>t</w:t>
      </w:r>
      <w:r>
        <w:rPr>
          <w:rFonts w:ascii="Times New Roman" w:hAnsi="Times New Roman" w:eastAsia="仿宋_GB2312" w:cs="Times New Roman"/>
          <w:sz w:val="28"/>
        </w:rPr>
        <w:t>/</w:t>
      </w:r>
      <w:r>
        <w:rPr>
          <w:rFonts w:hint="eastAsia" w:ascii="Times New Roman" w:hAnsi="Times New Roman" w:eastAsia="仿宋_GB2312" w:cs="Times New Roman"/>
          <w:sz w:val="28"/>
        </w:rPr>
        <w:t>h。</w:t>
      </w:r>
    </w:p>
    <w:p>
      <w:pPr>
        <w:pStyle w:val="4"/>
      </w:pPr>
      <w:bookmarkStart w:id="253" w:name="_Toc144301010"/>
      <w:bookmarkStart w:id="254" w:name="_Toc144301229"/>
      <w:bookmarkStart w:id="255" w:name="_Toc181983768"/>
      <w:bookmarkStart w:id="256" w:name="_Toc171197852"/>
      <w:bookmarkStart w:id="257" w:name="_Toc183631785"/>
      <w:bookmarkStart w:id="258" w:name="_Toc188636908"/>
      <w:r>
        <w:t>4.3.1.4</w:t>
      </w:r>
      <w:r>
        <w:rPr>
          <w:rFonts w:hint="eastAsia"/>
        </w:rPr>
        <w:t>许村区块</w:t>
      </w:r>
      <w:bookmarkEnd w:id="253"/>
      <w:bookmarkEnd w:id="254"/>
      <w:bookmarkEnd w:id="255"/>
      <w:bookmarkEnd w:id="256"/>
      <w:bookmarkEnd w:id="257"/>
      <w:bookmarkEnd w:id="258"/>
    </w:p>
    <w:p>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许村区块主要由</w:t>
      </w:r>
      <w:r>
        <w:rPr>
          <w:rFonts w:hint="eastAsia" w:ascii="Times New Roman" w:hAnsi="Times New Roman" w:eastAsia="仿宋_GB2312" w:cs="宋体"/>
          <w:sz w:val="28"/>
        </w:rPr>
        <w:t>浙江宝峰热电公司进行集中供热，</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125</w:t>
      </w:r>
      <w:r>
        <w:rPr>
          <w:rFonts w:hint="eastAsia" w:ascii="Times New Roman" w:hAnsi="Times New Roman" w:eastAsia="仿宋_GB2312" w:cs="Times New Roman"/>
          <w:sz w:val="28"/>
        </w:rPr>
        <w:t>家，主要为纺织、印染、服装等行业的企业，低压蒸汽平均热负荷</w:t>
      </w:r>
      <w:r>
        <w:rPr>
          <w:rFonts w:ascii="Times New Roman" w:hAnsi="Times New Roman" w:eastAsia="仿宋_GB2312" w:cs="Times New Roman"/>
          <w:sz w:val="28"/>
        </w:rPr>
        <w:t>163</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301.5</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；中压蒸汽平均热负荷</w:t>
      </w:r>
      <w:r>
        <w:rPr>
          <w:rFonts w:ascii="Times New Roman" w:hAnsi="Times New Roman" w:eastAsia="仿宋_GB2312" w:cs="Times New Roman"/>
          <w:sz w:val="28"/>
        </w:rPr>
        <w:t>13.5</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29</w:t>
      </w:r>
      <w:r>
        <w:rPr>
          <w:rFonts w:hint="eastAsia" w:ascii="Times New Roman" w:hAnsi="Times New Roman" w:eastAsia="仿宋_GB2312" w:cs="Times New Roman"/>
          <w:sz w:val="28"/>
        </w:rPr>
        <w:t>t</w:t>
      </w:r>
      <w:r>
        <w:rPr>
          <w:rFonts w:ascii="Times New Roman" w:hAnsi="Times New Roman" w:eastAsia="仿宋_GB2312" w:cs="Times New Roman"/>
          <w:sz w:val="28"/>
        </w:rPr>
        <w:t>/</w:t>
      </w:r>
      <w:r>
        <w:rPr>
          <w:rFonts w:hint="eastAsia" w:ascii="Times New Roman" w:hAnsi="Times New Roman" w:eastAsia="仿宋_GB2312" w:cs="Times New Roman"/>
          <w:sz w:val="28"/>
        </w:rPr>
        <w:t>h。</w:t>
      </w:r>
    </w:p>
    <w:p>
      <w:pPr>
        <w:pStyle w:val="4"/>
      </w:pPr>
      <w:bookmarkStart w:id="259" w:name="_Toc171197853"/>
      <w:bookmarkStart w:id="260" w:name="_Toc188636909"/>
      <w:bookmarkStart w:id="261" w:name="_Toc144301011"/>
      <w:bookmarkStart w:id="262" w:name="_Toc183631786"/>
      <w:bookmarkStart w:id="263" w:name="_Toc144301230"/>
      <w:bookmarkStart w:id="264" w:name="_Toc181983769"/>
      <w:r>
        <w:t>4.3.1.</w:t>
      </w:r>
      <w:bookmarkStart w:id="265" w:name="_Hlk180875085"/>
      <w:r>
        <w:t>5</w:t>
      </w:r>
      <w:r>
        <w:rPr>
          <w:rFonts w:hint="eastAsia"/>
        </w:rPr>
        <w:t>尖山新区及周边区块</w:t>
      </w:r>
      <w:bookmarkEnd w:id="259"/>
      <w:bookmarkEnd w:id="260"/>
      <w:bookmarkEnd w:id="261"/>
      <w:bookmarkEnd w:id="262"/>
      <w:bookmarkEnd w:id="263"/>
      <w:bookmarkEnd w:id="264"/>
      <w:bookmarkEnd w:id="265"/>
    </w:p>
    <w:p>
      <w:pPr>
        <w:spacing w:line="580" w:lineRule="exact"/>
        <w:ind w:firstLine="560" w:firstLineChars="200"/>
        <w:rPr>
          <w:rFonts w:eastAsia="仿宋_GB2312"/>
        </w:rPr>
      </w:pPr>
      <w:r>
        <w:rPr>
          <w:rFonts w:hint="eastAsia" w:ascii="Times New Roman" w:hAnsi="Times New Roman" w:eastAsia="仿宋_GB2312" w:cs="Times New Roman"/>
          <w:sz w:val="28"/>
        </w:rPr>
        <w:t>尖山新区及周边区块由</w:t>
      </w:r>
      <w:r>
        <w:rPr>
          <w:rFonts w:hint="eastAsia" w:ascii="Times New Roman" w:hAnsi="Times New Roman" w:eastAsia="仿宋_GB2312" w:cs="宋体"/>
          <w:sz w:val="28"/>
        </w:rPr>
        <w:t>海宁恒逸热电有限公司进行集中供热，</w:t>
      </w:r>
      <w:r>
        <w:rPr>
          <w:rFonts w:hint="eastAsia" w:ascii="Times New Roman" w:hAnsi="Times New Roman" w:eastAsia="仿宋_GB2312" w:cs="Times New Roman"/>
          <w:sz w:val="28"/>
        </w:rPr>
        <w:t>现有集中供热热用户</w:t>
      </w:r>
      <w:r>
        <w:rPr>
          <w:rFonts w:ascii="Times New Roman" w:hAnsi="Times New Roman" w:eastAsia="仿宋_GB2312" w:cs="Times New Roman"/>
          <w:sz w:val="28"/>
        </w:rPr>
        <w:t>3</w:t>
      </w:r>
      <w:r>
        <w:rPr>
          <w:rFonts w:hint="eastAsia" w:ascii="Times New Roman" w:hAnsi="Times New Roman" w:eastAsia="仿宋_GB2312" w:cs="Times New Roman"/>
          <w:sz w:val="28"/>
        </w:rPr>
        <w:t>家，低压蒸汽平均热负荷</w:t>
      </w:r>
      <w:r>
        <w:rPr>
          <w:rFonts w:ascii="Times New Roman" w:hAnsi="Times New Roman" w:eastAsia="仿宋_GB2312" w:cs="Times New Roman"/>
          <w:sz w:val="28"/>
        </w:rPr>
        <w:t>55.2</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124</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；高压蒸汽平均热负荷</w:t>
      </w:r>
      <w:r>
        <w:rPr>
          <w:rFonts w:ascii="Times New Roman" w:hAnsi="Times New Roman" w:eastAsia="仿宋_GB2312" w:cs="Times New Roman"/>
          <w:sz w:val="28"/>
        </w:rPr>
        <w:t>183</w:t>
      </w:r>
      <w:r>
        <w:rPr>
          <w:rFonts w:hint="eastAsia" w:ascii="Times New Roman" w:hAnsi="Times New Roman" w:eastAsia="仿宋_GB2312" w:cs="Times New Roman"/>
          <w:sz w:val="28"/>
        </w:rPr>
        <w:t>t</w:t>
      </w:r>
      <w:r>
        <w:rPr>
          <w:rFonts w:ascii="Times New Roman" w:hAnsi="Times New Roman" w:eastAsia="仿宋_GB2312" w:cs="Times New Roman"/>
          <w:sz w:val="28"/>
        </w:rPr>
        <w:t>/h</w:t>
      </w:r>
      <w:r>
        <w:rPr>
          <w:rFonts w:hint="eastAsia" w:ascii="Times New Roman" w:hAnsi="Times New Roman" w:eastAsia="仿宋_GB2312" w:cs="Times New Roman"/>
          <w:sz w:val="28"/>
        </w:rPr>
        <w:t>，最大热负荷</w:t>
      </w:r>
      <w:r>
        <w:rPr>
          <w:rFonts w:ascii="Times New Roman" w:hAnsi="Times New Roman" w:eastAsia="仿宋_GB2312" w:cs="Times New Roman"/>
          <w:sz w:val="28"/>
        </w:rPr>
        <w:t>225</w:t>
      </w:r>
      <w:r>
        <w:rPr>
          <w:rFonts w:hint="eastAsia" w:ascii="Times New Roman" w:hAnsi="Times New Roman" w:eastAsia="仿宋_GB2312" w:cs="Times New Roman"/>
          <w:sz w:val="28"/>
        </w:rPr>
        <w:t>t</w:t>
      </w:r>
      <w:r>
        <w:rPr>
          <w:rFonts w:ascii="Times New Roman" w:hAnsi="Times New Roman" w:eastAsia="仿宋_GB2312" w:cs="Times New Roman"/>
          <w:sz w:val="28"/>
        </w:rPr>
        <w:t>/</w:t>
      </w:r>
      <w:r>
        <w:rPr>
          <w:rFonts w:hint="eastAsia" w:ascii="Times New Roman" w:hAnsi="Times New Roman" w:eastAsia="仿宋_GB2312" w:cs="Times New Roman"/>
          <w:sz w:val="28"/>
        </w:rPr>
        <w:t>h。</w:t>
      </w:r>
    </w:p>
    <w:p>
      <w:pPr>
        <w:pStyle w:val="4"/>
      </w:pPr>
      <w:bookmarkStart w:id="266" w:name="_Toc181983770"/>
      <w:bookmarkStart w:id="267" w:name="_Toc171197854"/>
      <w:bookmarkStart w:id="268" w:name="_Toc139379152"/>
      <w:bookmarkStart w:id="269" w:name="_Toc144301012"/>
      <w:bookmarkStart w:id="270" w:name="_Toc136514726"/>
      <w:bookmarkStart w:id="271" w:name="_Toc188636910"/>
      <w:bookmarkStart w:id="272" w:name="_Toc144301231"/>
      <w:bookmarkStart w:id="273" w:name="_Toc183631787"/>
      <w:r>
        <w:t>4.3.2</w:t>
      </w:r>
      <w:r>
        <w:rPr>
          <w:rFonts w:hint="eastAsia"/>
        </w:rPr>
        <w:t>分散供热负荷</w:t>
      </w:r>
      <w:bookmarkEnd w:id="266"/>
      <w:bookmarkEnd w:id="267"/>
      <w:bookmarkEnd w:id="268"/>
      <w:bookmarkEnd w:id="269"/>
      <w:bookmarkEnd w:id="270"/>
      <w:bookmarkEnd w:id="271"/>
      <w:bookmarkEnd w:id="272"/>
      <w:bookmarkEnd w:id="273"/>
    </w:p>
    <w:p>
      <w:pPr>
        <w:spacing w:line="580" w:lineRule="exact"/>
        <w:ind w:firstLine="556"/>
        <w:rPr>
          <w:rFonts w:ascii="Times New Roman" w:hAnsi="Times New Roman" w:eastAsia="仿宋_GB2312" w:cs="宋体"/>
          <w:color w:val="000000" w:themeColor="text1"/>
          <w:sz w:val="28"/>
          <w14:textFill>
            <w14:solidFill>
              <w14:schemeClr w14:val="tx1"/>
            </w14:solidFill>
          </w14:textFill>
        </w:rPr>
      </w:pPr>
      <w:r>
        <w:rPr>
          <w:rFonts w:hint="eastAsia" w:ascii="Times New Roman" w:hAnsi="Times New Roman" w:eastAsia="仿宋_GB2312" w:cs="宋体"/>
          <w:color w:val="000000" w:themeColor="text1"/>
          <w:sz w:val="28"/>
          <w14:textFill>
            <w14:solidFill>
              <w14:schemeClr w14:val="tx1"/>
            </w14:solidFill>
          </w14:textFill>
        </w:rPr>
        <w:t>海宁市除了参与集中供热的热源点，仍有一定数量的企业，由于地域分布、工艺特殊要求等因素，通过配置分散锅炉满足其自身用热需求。截至2</w:t>
      </w:r>
      <w:r>
        <w:rPr>
          <w:rFonts w:ascii="Times New Roman" w:hAnsi="Times New Roman" w:eastAsia="仿宋_GB2312" w:cs="宋体"/>
          <w:color w:val="000000" w:themeColor="text1"/>
          <w:sz w:val="28"/>
          <w14:textFill>
            <w14:solidFill>
              <w14:schemeClr w14:val="tx1"/>
            </w14:solidFill>
          </w14:textFill>
        </w:rPr>
        <w:t>024</w:t>
      </w:r>
      <w:r>
        <w:rPr>
          <w:rFonts w:hint="eastAsia" w:ascii="Times New Roman" w:hAnsi="Times New Roman" w:eastAsia="仿宋_GB2312" w:cs="宋体"/>
          <w:color w:val="000000" w:themeColor="text1"/>
          <w:sz w:val="28"/>
          <w14:textFill>
            <w14:solidFill>
              <w14:schemeClr w14:val="tx1"/>
            </w14:solidFill>
          </w14:textFill>
        </w:rPr>
        <w:t>年底，海宁市注册在</w:t>
      </w:r>
      <w:r>
        <w:rPr>
          <w:rFonts w:hint="eastAsia" w:ascii="Times New Roman" w:hAnsi="Times New Roman" w:eastAsia="仿宋_GB2312" w:cs="宋体"/>
          <w:sz w:val="28"/>
        </w:rPr>
        <w:t>用分散锅炉共</w:t>
      </w:r>
      <w:r>
        <w:rPr>
          <w:rFonts w:ascii="Times New Roman" w:hAnsi="Times New Roman" w:eastAsia="仿宋_GB2312" w:cs="宋体"/>
          <w:sz w:val="28"/>
        </w:rPr>
        <w:t>163</w:t>
      </w:r>
      <w:r>
        <w:rPr>
          <w:rFonts w:hint="eastAsia" w:ascii="Times New Roman" w:hAnsi="Times New Roman" w:eastAsia="仿宋_GB2312" w:cs="宋体"/>
          <w:sz w:val="28"/>
        </w:rPr>
        <w:t>台，燃料种类包含燃煤、天然气、生物质、柴油、余热、电加热等，合计额定蒸发量</w:t>
      </w:r>
      <w:r>
        <w:rPr>
          <w:rFonts w:ascii="Times New Roman" w:hAnsi="Times New Roman" w:eastAsia="仿宋_GB2312" w:cs="宋体"/>
          <w:sz w:val="28"/>
        </w:rPr>
        <w:t>1179.5t/</w:t>
      </w:r>
      <w:r>
        <w:rPr>
          <w:rFonts w:ascii="Times New Roman" w:hAnsi="Times New Roman" w:eastAsia="仿宋_GB2312" w:cs="宋体"/>
          <w:color w:val="000000" w:themeColor="text1"/>
          <w:sz w:val="28"/>
          <w14:textFill>
            <w14:solidFill>
              <w14:schemeClr w14:val="tx1"/>
            </w14:solidFill>
          </w14:textFill>
        </w:rPr>
        <w:t>h</w:t>
      </w:r>
      <w:r>
        <w:rPr>
          <w:rFonts w:hint="eastAsia" w:ascii="Times New Roman" w:hAnsi="Times New Roman" w:eastAsia="仿宋_GB2312" w:cs="宋体"/>
          <w:color w:val="000000" w:themeColor="text1"/>
          <w:sz w:val="28"/>
          <w14:textFill>
            <w14:solidFill>
              <w14:schemeClr w14:val="tx1"/>
            </w14:solidFill>
          </w14:textFill>
        </w:rPr>
        <w:t>，具体清单见附表1。</w:t>
      </w:r>
    </w:p>
    <w:p>
      <w:pPr>
        <w:spacing w:line="580" w:lineRule="exact"/>
        <w:ind w:firstLine="556"/>
        <w:rPr>
          <w:rFonts w:ascii="Times New Roman" w:hAnsi="Times New Roman" w:eastAsia="仿宋_GB2312" w:cs="宋体"/>
          <w:color w:val="000000" w:themeColor="text1"/>
          <w:sz w:val="28"/>
          <w14:textFill>
            <w14:solidFill>
              <w14:schemeClr w14:val="tx1"/>
            </w14:solidFill>
          </w14:textFill>
        </w:rPr>
      </w:pPr>
      <w:r>
        <w:rPr>
          <w:rFonts w:hint="eastAsia" w:ascii="Times New Roman" w:hAnsi="Times New Roman" w:eastAsia="仿宋_GB2312" w:cs="宋体"/>
          <w:color w:val="000000" w:themeColor="text1"/>
          <w:sz w:val="28"/>
          <w14:textFill>
            <w14:solidFill>
              <w14:schemeClr w14:val="tx1"/>
            </w14:solidFill>
          </w14:textFill>
        </w:rPr>
        <w:t>规划期，浙江华德利纺织印染有限公司的</w:t>
      </w:r>
      <w:r>
        <w:rPr>
          <w:rFonts w:ascii="Times New Roman" w:hAnsi="Times New Roman" w:eastAsia="仿宋_GB2312" w:cs="宋体"/>
          <w:color w:val="000000" w:themeColor="text1"/>
          <w:sz w:val="28"/>
          <w14:textFill>
            <w14:solidFill>
              <w14:schemeClr w14:val="tx1"/>
            </w14:solidFill>
          </w14:textFill>
        </w:rPr>
        <w:t>1</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35t/h</w:t>
      </w:r>
      <w:r>
        <w:rPr>
          <w:rFonts w:hint="eastAsia" w:ascii="Times New Roman" w:hAnsi="Times New Roman" w:eastAsia="仿宋_GB2312" w:cs="宋体"/>
          <w:color w:val="000000" w:themeColor="text1"/>
          <w:sz w:val="28"/>
          <w14:textFill>
            <w14:solidFill>
              <w14:schemeClr w14:val="tx1"/>
            </w14:solidFill>
          </w14:textFill>
        </w:rPr>
        <w:t>的燃煤锅炉计划于2</w:t>
      </w:r>
      <w:r>
        <w:rPr>
          <w:rFonts w:ascii="Times New Roman" w:hAnsi="Times New Roman" w:eastAsia="仿宋_GB2312" w:cs="宋体"/>
          <w:color w:val="000000" w:themeColor="text1"/>
          <w:sz w:val="28"/>
          <w14:textFill>
            <w14:solidFill>
              <w14:schemeClr w14:val="tx1"/>
            </w14:solidFill>
          </w14:textFill>
        </w:rPr>
        <w:t>025</w:t>
      </w:r>
      <w:r>
        <w:rPr>
          <w:rFonts w:hint="eastAsia" w:ascii="Times New Roman" w:hAnsi="Times New Roman" w:eastAsia="仿宋_GB2312" w:cs="宋体"/>
          <w:color w:val="000000" w:themeColor="text1"/>
          <w:sz w:val="28"/>
          <w14:textFill>
            <w14:solidFill>
              <w14:schemeClr w14:val="tx1"/>
            </w14:solidFill>
          </w14:textFill>
        </w:rPr>
        <w:t>年关停，关停后其热负荷需求由浙江宝峰热电公司进行保障；浙江恒生印染有限公司的</w:t>
      </w:r>
      <w:r>
        <w:rPr>
          <w:rFonts w:ascii="Times New Roman" w:hAnsi="Times New Roman" w:eastAsia="仿宋_GB2312" w:cs="宋体"/>
          <w:color w:val="000000" w:themeColor="text1"/>
          <w:sz w:val="28"/>
          <w14:textFill>
            <w14:solidFill>
              <w14:schemeClr w14:val="tx1"/>
            </w14:solidFill>
          </w14:textFill>
        </w:rPr>
        <w:t>1</w:t>
      </w:r>
      <w:r>
        <w:rPr>
          <w:rFonts w:hint="eastAsia" w:ascii="Times New Roman" w:hAnsi="Times New Roman" w:eastAsia="仿宋_GB2312" w:cs="宋体"/>
          <w:color w:val="000000" w:themeColor="text1"/>
          <w:sz w:val="28"/>
          <w14:textFill>
            <w14:solidFill>
              <w14:schemeClr w14:val="tx1"/>
            </w14:solidFill>
          </w14:textFill>
        </w:rPr>
        <w:t>台</w:t>
      </w:r>
      <w:r>
        <w:rPr>
          <w:rFonts w:ascii="Times New Roman" w:hAnsi="Times New Roman" w:eastAsia="仿宋_GB2312" w:cs="宋体"/>
          <w:color w:val="000000" w:themeColor="text1"/>
          <w:sz w:val="28"/>
          <w14:textFill>
            <w14:solidFill>
              <w14:schemeClr w14:val="tx1"/>
            </w14:solidFill>
          </w14:textFill>
        </w:rPr>
        <w:t>35t/h</w:t>
      </w:r>
      <w:r>
        <w:rPr>
          <w:rFonts w:hint="eastAsia" w:ascii="Times New Roman" w:hAnsi="Times New Roman" w:eastAsia="仿宋_GB2312" w:cs="宋体"/>
          <w:color w:val="000000" w:themeColor="text1"/>
          <w:sz w:val="28"/>
          <w14:textFill>
            <w14:solidFill>
              <w14:schemeClr w14:val="tx1"/>
            </w14:solidFill>
          </w14:textFill>
        </w:rPr>
        <w:t>的水煤浆锅炉计划于2</w:t>
      </w:r>
      <w:r>
        <w:rPr>
          <w:rFonts w:ascii="Times New Roman" w:hAnsi="Times New Roman" w:eastAsia="仿宋_GB2312" w:cs="宋体"/>
          <w:color w:val="000000" w:themeColor="text1"/>
          <w:sz w:val="28"/>
          <w14:textFill>
            <w14:solidFill>
              <w14:schemeClr w14:val="tx1"/>
            </w14:solidFill>
          </w14:textFill>
        </w:rPr>
        <w:t>025</w:t>
      </w:r>
      <w:r>
        <w:rPr>
          <w:rFonts w:hint="eastAsia" w:ascii="Times New Roman" w:hAnsi="Times New Roman" w:eastAsia="仿宋_GB2312" w:cs="宋体"/>
          <w:color w:val="000000" w:themeColor="text1"/>
          <w:sz w:val="28"/>
          <w14:textFill>
            <w14:solidFill>
              <w14:schemeClr w14:val="tx1"/>
            </w14:solidFill>
          </w14:textFill>
        </w:rPr>
        <w:t>年关停，关停后其热负荷需求改用天然气锅炉保障，其他在用分散锅炉暂无淘汰计划。</w:t>
      </w:r>
    </w:p>
    <w:p>
      <w:pPr>
        <w:pStyle w:val="3"/>
        <w:spacing w:before="156" w:beforeLines="50"/>
      </w:pPr>
      <w:bookmarkStart w:id="274" w:name="_Toc188636911"/>
      <w:r>
        <w:t>4.4</w:t>
      </w:r>
      <w:r>
        <w:rPr>
          <w:rFonts w:hint="eastAsia"/>
        </w:rPr>
        <w:t>近期热负荷预测</w:t>
      </w:r>
      <w:bookmarkEnd w:id="274"/>
    </w:p>
    <w:p>
      <w:pPr>
        <w:pStyle w:val="4"/>
      </w:pPr>
      <w:bookmarkStart w:id="275" w:name="_Toc181983772"/>
      <w:bookmarkStart w:id="276" w:name="_Toc144301233"/>
      <w:bookmarkStart w:id="277" w:name="_Toc183631789"/>
      <w:bookmarkStart w:id="278" w:name="_Toc144301014"/>
      <w:bookmarkStart w:id="279" w:name="_Toc171197856"/>
      <w:bookmarkStart w:id="280" w:name="_Toc188636912"/>
      <w:r>
        <w:t>4.4.1</w:t>
      </w:r>
      <w:r>
        <w:rPr>
          <w:rFonts w:hint="eastAsia"/>
        </w:rPr>
        <w:t>中心城区北部及周边区块</w:t>
      </w:r>
      <w:bookmarkEnd w:id="275"/>
      <w:bookmarkEnd w:id="276"/>
      <w:bookmarkEnd w:id="277"/>
      <w:bookmarkEnd w:id="278"/>
      <w:bookmarkEnd w:id="279"/>
      <w:bookmarkEnd w:id="280"/>
    </w:p>
    <w:p>
      <w:pPr>
        <w:spacing w:line="580" w:lineRule="exact"/>
        <w:ind w:firstLine="560" w:firstLineChars="200"/>
        <w:rPr>
          <w:rFonts w:ascii="Times New Roman" w:hAnsi="Times New Roman" w:eastAsia="仿宋_GB2312" w:cs="Times New Roman"/>
          <w:color w:val="000000" w:themeColor="text1"/>
          <w:sz w:val="28"/>
          <w14:textFill>
            <w14:solidFill>
              <w14:schemeClr w14:val="tx1"/>
            </w14:solidFill>
          </w14:textFill>
        </w:rPr>
      </w:pPr>
      <w:r>
        <w:rPr>
          <w:rFonts w:hint="eastAsia" w:ascii="Times New Roman" w:hAnsi="Times New Roman" w:eastAsia="仿宋_GB2312" w:cs="Times New Roman"/>
          <w:sz w:val="28"/>
        </w:rPr>
        <w:t>近期，中心城区北部及周边区块新增热用户</w:t>
      </w:r>
      <w:r>
        <w:rPr>
          <w:rFonts w:ascii="Times New Roman" w:hAnsi="Times New Roman" w:eastAsia="仿宋_GB2312" w:cs="Times New Roman"/>
          <w:sz w:val="28"/>
        </w:rPr>
        <w:t>2</w:t>
      </w:r>
      <w:r>
        <w:rPr>
          <w:rFonts w:hint="eastAsia" w:ascii="Times New Roman" w:hAnsi="Times New Roman" w:eastAsia="仿宋_GB2312" w:cs="Times New Roman"/>
          <w:sz w:val="28"/>
        </w:rPr>
        <w:t>家，用汽参数均为低压蒸汽，</w:t>
      </w:r>
      <w:r>
        <w:rPr>
          <w:rFonts w:hint="eastAsia" w:ascii="Times New Roman" w:hAnsi="Times New Roman" w:eastAsia="仿宋_GB2312" w:cs="Times New Roman"/>
          <w:sz w:val="28"/>
          <w:szCs w:val="28"/>
        </w:rPr>
        <w:t>平均热负荷合计</w:t>
      </w:r>
      <w:r>
        <w:rPr>
          <w:rFonts w:ascii="Times New Roman" w:hAnsi="Times New Roman" w:eastAsia="仿宋_GB2312" w:cs="Times New Roman"/>
          <w:sz w:val="28"/>
          <w:szCs w:val="28"/>
        </w:rPr>
        <w:t>1.84t/h</w:t>
      </w:r>
      <w:r>
        <w:rPr>
          <w:rFonts w:hint="eastAsia" w:ascii="Times New Roman" w:hAnsi="Times New Roman" w:eastAsia="仿宋_GB2312" w:cs="Times New Roman"/>
          <w:sz w:val="28"/>
          <w:szCs w:val="28"/>
        </w:rPr>
        <w:t>，最大热负荷合计</w:t>
      </w:r>
      <w:r>
        <w:rPr>
          <w:rFonts w:ascii="Times New Roman" w:hAnsi="Times New Roman" w:eastAsia="仿宋_GB2312" w:cs="Times New Roman"/>
          <w:sz w:val="28"/>
          <w:szCs w:val="28"/>
        </w:rPr>
        <w:t>4</w:t>
      </w:r>
      <w:r>
        <w:rPr>
          <w:rFonts w:hint="eastAsia" w:ascii="Times New Roman" w:hAnsi="Times New Roman" w:eastAsia="仿宋_GB2312" w:cs="Times New Roman"/>
          <w:sz w:val="28"/>
          <w:szCs w:val="28"/>
        </w:rPr>
        <w:t>t</w:t>
      </w:r>
      <w:r>
        <w:rPr>
          <w:rFonts w:ascii="Times New Roman" w:hAnsi="Times New Roman" w:eastAsia="仿宋_GB2312" w:cs="Times New Roman"/>
          <w:sz w:val="28"/>
          <w:szCs w:val="28"/>
        </w:rPr>
        <w:t>/h</w:t>
      </w:r>
      <w:r>
        <w:rPr>
          <w:rFonts w:hint="eastAsia"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综上所述，</w:t>
      </w:r>
      <w:r>
        <w:rPr>
          <w:rFonts w:hint="eastAsia" w:ascii="Times New Roman" w:hAnsi="Times New Roman" w:eastAsia="仿宋_GB2312" w:cs="Times New Roman"/>
          <w:sz w:val="28"/>
        </w:rPr>
        <w:t>中心城区北部及周边区块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026</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117.4</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313.3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中心城区北部及周边区块热用户数量多（2</w:t>
      </w:r>
      <w:r>
        <w:rPr>
          <w:rFonts w:ascii="Times New Roman" w:hAnsi="Times New Roman" w:eastAsia="仿宋_GB2312" w:cs="Times New Roman"/>
          <w:sz w:val="28"/>
        </w:rPr>
        <w:t>26</w:t>
      </w:r>
      <w:r>
        <w:rPr>
          <w:rFonts w:hint="eastAsia" w:ascii="Times New Roman" w:hAnsi="Times New Roman" w:eastAsia="仿宋_GB2312" w:cs="Times New Roman"/>
          <w:sz w:val="28"/>
        </w:rPr>
        <w:t>家）且规模小，</w:t>
      </w:r>
      <w:r>
        <w:rPr>
          <w:rFonts w:hint="eastAsia" w:ascii="Times New Roman" w:hAnsi="Times New Roman" w:eastAsia="仿宋_GB2312" w:cs="Times New Roman"/>
          <w:sz w:val="28"/>
          <w:szCs w:val="28"/>
        </w:rPr>
        <w:t>考虑管损系数（取1</w:t>
      </w:r>
      <w:r>
        <w:rPr>
          <w:rFonts w:ascii="Times New Roman" w:hAnsi="Times New Roman" w:eastAsia="仿宋_GB2312" w:cs="Times New Roman"/>
          <w:sz w:val="28"/>
          <w:szCs w:val="28"/>
        </w:rPr>
        <w:t>.05</w:t>
      </w:r>
      <w:r>
        <w:rPr>
          <w:rFonts w:hint="eastAsia" w:ascii="Times New Roman" w:hAnsi="Times New Roman" w:eastAsia="仿宋_GB2312" w:cs="Times New Roman"/>
          <w:sz w:val="28"/>
          <w:szCs w:val="28"/>
        </w:rPr>
        <w:t>）、焓折系数（取0.</w:t>
      </w:r>
      <w:r>
        <w:rPr>
          <w:rFonts w:ascii="Times New Roman" w:hAnsi="Times New Roman" w:eastAsia="仿宋_GB2312" w:cs="Times New Roman"/>
          <w:sz w:val="28"/>
          <w:szCs w:val="28"/>
        </w:rPr>
        <w:t>95</w:t>
      </w:r>
      <w:r>
        <w:rPr>
          <w:rFonts w:hint="eastAsia" w:ascii="Times New Roman" w:hAnsi="Times New Roman" w:eastAsia="仿宋_GB2312" w:cs="Times New Roman"/>
          <w:sz w:val="28"/>
          <w:szCs w:val="28"/>
        </w:rPr>
        <w:t>）和同时系数（最大热负荷同时系数取</w:t>
      </w:r>
      <w:r>
        <w:rPr>
          <w:rFonts w:ascii="Times New Roman" w:hAnsi="Times New Roman" w:eastAsia="仿宋_GB2312" w:cs="Times New Roman"/>
          <w:sz w:val="28"/>
          <w:szCs w:val="28"/>
        </w:rPr>
        <w:t>0.6</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中心城区北部及周边区块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026</w:t>
      </w:r>
      <w:r>
        <w:rPr>
          <w:rFonts w:hint="eastAsia" w:ascii="Times New Roman" w:hAnsi="Times New Roman" w:eastAsia="仿宋_GB2312" w:cs="Times New Roman"/>
          <w:color w:val="000000" w:themeColor="text1"/>
          <w:sz w:val="28"/>
          <w14:textFill>
            <w14:solidFill>
              <w14:schemeClr w14:val="tx1"/>
            </w14:solidFill>
          </w14:textFill>
        </w:rPr>
        <w:t>年低压蒸汽设计平均热负荷</w:t>
      </w:r>
      <w:r>
        <w:rPr>
          <w:rFonts w:ascii="Times New Roman" w:hAnsi="Times New Roman" w:eastAsia="仿宋_GB2312" w:cs="Times New Roman"/>
          <w:color w:val="000000" w:themeColor="text1"/>
          <w:sz w:val="28"/>
          <w14:textFill>
            <w14:solidFill>
              <w14:schemeClr w14:val="tx1"/>
            </w14:solidFill>
          </w14:textFill>
        </w:rPr>
        <w:t>93.7t/h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187.5t/h</w:t>
      </w:r>
      <w:r>
        <w:rPr>
          <w:rFonts w:hint="eastAsia" w:ascii="Times New Roman" w:hAnsi="Times New Roman" w:eastAsia="仿宋_GB2312" w:cs="Times New Roman"/>
          <w:color w:val="000000" w:themeColor="text1"/>
          <w:sz w:val="28"/>
          <w14:textFill>
            <w14:solidFill>
              <w14:schemeClr w14:val="tx1"/>
            </w14:solidFill>
          </w14:textFill>
        </w:rPr>
        <w:t>。</w:t>
      </w:r>
    </w:p>
    <w:p>
      <w:pPr>
        <w:spacing w:line="580" w:lineRule="exact"/>
        <w:ind w:firstLine="560" w:firstLineChars="200"/>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4.4.1-1 </w:t>
      </w:r>
      <w:r>
        <w:rPr>
          <w:rFonts w:hint="eastAsia" w:ascii="黑体" w:hAnsi="黑体" w:eastAsia="黑体" w:cs="Times New Roman"/>
          <w:sz w:val="28"/>
          <w:szCs w:val="28"/>
        </w:rPr>
        <w:t>中心城区北部及周边区块近期新增集中供热热用户</w:t>
      </w:r>
    </w:p>
    <w:tbl>
      <w:tblPr>
        <w:tblStyle w:val="24"/>
        <w:tblW w:w="86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blHeader/>
        </w:trPr>
        <w:tc>
          <w:tcPr>
            <w:tcW w:w="6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52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欣辰食品</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德鸿半导体</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0.34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合计</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1.84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p>
        </w:tc>
      </w:tr>
    </w:tbl>
    <w:p>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4.4.1-2 </w:t>
      </w:r>
      <w:r>
        <w:rPr>
          <w:rFonts w:hint="eastAsia" w:ascii="黑体" w:hAnsi="黑体" w:eastAsia="黑体" w:cs="Times New Roman"/>
          <w:sz w:val="28"/>
          <w:szCs w:val="28"/>
        </w:rPr>
        <w:t>中心城区北部及周边区块近期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1283"/>
        <w:gridCol w:w="1308"/>
        <w:gridCol w:w="1277"/>
        <w:gridCol w:w="957"/>
        <w:gridCol w:w="961"/>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1" w:type="pct"/>
            <w:vMerge w:val="restart"/>
          </w:tcPr>
          <w:p>
            <w:pPr>
              <w:jc w:val="center"/>
              <w:rPr>
                <w:rFonts w:ascii="Times New Roman" w:hAnsi="Times New Roman" w:eastAsia="仿宋_GB2312" w:cs="Times New Roman"/>
                <w:sz w:val="24"/>
                <w:szCs w:val="24"/>
              </w:rPr>
            </w:pPr>
          </w:p>
        </w:tc>
        <w:tc>
          <w:tcPr>
            <w:tcW w:w="2162" w:type="pct"/>
            <w:gridSpan w:val="3"/>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低压蒸汽（</w:t>
            </w:r>
            <w:r>
              <w:rPr>
                <w:rFonts w:ascii="Times New Roman" w:hAnsi="Times New Roman" w:eastAsia="仿宋_GB2312" w:cs="Times New Roman"/>
                <w:b/>
                <w:sz w:val="24"/>
                <w:szCs w:val="24"/>
              </w:rPr>
              <w:t>t/h</w:t>
            </w:r>
            <w:r>
              <w:rPr>
                <w:rFonts w:hint="eastAsia" w:ascii="Times New Roman" w:hAnsi="Times New Roman" w:eastAsia="仿宋_GB2312" w:cs="Times New Roman"/>
                <w:b/>
                <w:sz w:val="24"/>
                <w:szCs w:val="24"/>
              </w:rPr>
              <w:t>）</w:t>
            </w:r>
          </w:p>
        </w:tc>
        <w:tc>
          <w:tcPr>
            <w:tcW w:w="1607" w:type="pct"/>
            <w:gridSpan w:val="3"/>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中压蒸汽（</w:t>
            </w:r>
            <w:r>
              <w:rPr>
                <w:rFonts w:ascii="Times New Roman" w:hAnsi="Times New Roman" w:eastAsia="仿宋_GB2312" w:cs="Times New Roman"/>
                <w:b/>
                <w:sz w:val="24"/>
                <w:szCs w:val="24"/>
              </w:rPr>
              <w:t>t/h</w:t>
            </w:r>
            <w:r>
              <w:rPr>
                <w:rFonts w:hint="eastAsia" w:ascii="Times New Roman" w:hAnsi="Times New Roman" w:eastAsia="仿宋_GB2312" w:cs="Times New Roman"/>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1" w:type="pct"/>
            <w:vMerge w:val="continue"/>
          </w:tcPr>
          <w:p>
            <w:pPr>
              <w:jc w:val="center"/>
              <w:rPr>
                <w:rFonts w:ascii="Times New Roman" w:hAnsi="Times New Roman" w:eastAsia="仿宋_GB2312" w:cs="Times New Roman"/>
                <w:sz w:val="24"/>
                <w:szCs w:val="24"/>
              </w:rPr>
            </w:pPr>
          </w:p>
        </w:tc>
        <w:tc>
          <w:tcPr>
            <w:tcW w:w="717"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平均</w:t>
            </w:r>
          </w:p>
        </w:tc>
        <w:tc>
          <w:tcPr>
            <w:tcW w:w="731"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最大</w:t>
            </w:r>
          </w:p>
        </w:tc>
        <w:tc>
          <w:tcPr>
            <w:tcW w:w="714"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最小</w:t>
            </w:r>
          </w:p>
        </w:tc>
        <w:tc>
          <w:tcPr>
            <w:tcW w:w="535"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平均</w:t>
            </w:r>
          </w:p>
        </w:tc>
        <w:tc>
          <w:tcPr>
            <w:tcW w:w="537"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最大</w:t>
            </w:r>
          </w:p>
        </w:tc>
        <w:tc>
          <w:tcPr>
            <w:tcW w:w="535"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1"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现状热负荷</w:t>
            </w:r>
          </w:p>
        </w:tc>
        <w:tc>
          <w:tcPr>
            <w:tcW w:w="717"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115.6</w:t>
            </w:r>
          </w:p>
        </w:tc>
        <w:tc>
          <w:tcPr>
            <w:tcW w:w="731"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309.3</w:t>
            </w:r>
          </w:p>
        </w:tc>
        <w:tc>
          <w:tcPr>
            <w:tcW w:w="714"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58.1</w:t>
            </w:r>
          </w:p>
        </w:tc>
        <w:tc>
          <w:tcPr>
            <w:tcW w:w="535"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7"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5"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1"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717"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1.8</w:t>
            </w:r>
          </w:p>
        </w:tc>
        <w:tc>
          <w:tcPr>
            <w:tcW w:w="731"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4</w:t>
            </w:r>
          </w:p>
        </w:tc>
        <w:tc>
          <w:tcPr>
            <w:tcW w:w="714"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1.1</w:t>
            </w:r>
          </w:p>
        </w:tc>
        <w:tc>
          <w:tcPr>
            <w:tcW w:w="535"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7"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5"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1"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近期热负荷</w:t>
            </w:r>
          </w:p>
        </w:tc>
        <w:tc>
          <w:tcPr>
            <w:tcW w:w="717"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117.4</w:t>
            </w:r>
          </w:p>
        </w:tc>
        <w:tc>
          <w:tcPr>
            <w:tcW w:w="731"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313.3</w:t>
            </w:r>
          </w:p>
        </w:tc>
        <w:tc>
          <w:tcPr>
            <w:tcW w:w="714"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59.2</w:t>
            </w:r>
          </w:p>
        </w:tc>
        <w:tc>
          <w:tcPr>
            <w:tcW w:w="535"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7"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5"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1" w:type="pct"/>
            <w:vAlign w:val="center"/>
          </w:tcPr>
          <w:p>
            <w:pP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717"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93.7 </w:t>
            </w:r>
          </w:p>
        </w:tc>
        <w:tc>
          <w:tcPr>
            <w:tcW w:w="731"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187.5 </w:t>
            </w:r>
          </w:p>
        </w:tc>
        <w:tc>
          <w:tcPr>
            <w:tcW w:w="71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59.1 </w:t>
            </w:r>
          </w:p>
        </w:tc>
        <w:tc>
          <w:tcPr>
            <w:tcW w:w="535"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7"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c>
          <w:tcPr>
            <w:tcW w:w="535"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p>
        </w:tc>
      </w:tr>
    </w:tbl>
    <w:p>
      <w:pPr>
        <w:pStyle w:val="4"/>
        <w:spacing w:before="156" w:beforeLines="50"/>
      </w:pPr>
      <w:bookmarkStart w:id="281" w:name="_Toc188636913"/>
      <w:bookmarkStart w:id="282" w:name="_Toc181983773"/>
      <w:bookmarkStart w:id="283" w:name="_Toc144301015"/>
      <w:bookmarkStart w:id="284" w:name="_Toc183631790"/>
      <w:bookmarkStart w:id="285" w:name="_Toc171197857"/>
      <w:bookmarkStart w:id="286" w:name="_Toc144301234"/>
      <w:r>
        <w:t>4.4.2</w:t>
      </w:r>
      <w:r>
        <w:rPr>
          <w:rFonts w:hint="eastAsia"/>
        </w:rPr>
        <w:t>中心城区南部及周边区块</w:t>
      </w:r>
      <w:bookmarkEnd w:id="281"/>
      <w:bookmarkEnd w:id="282"/>
      <w:bookmarkEnd w:id="283"/>
      <w:bookmarkEnd w:id="284"/>
      <w:bookmarkEnd w:id="285"/>
      <w:bookmarkEnd w:id="286"/>
    </w:p>
    <w:p>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rPr>
        <w:t>近期，中心城区南部及周边区块新增热用户</w:t>
      </w:r>
      <w:r>
        <w:rPr>
          <w:rFonts w:ascii="Times New Roman" w:hAnsi="Times New Roman" w:eastAsia="仿宋_GB2312" w:cs="Times New Roman"/>
          <w:sz w:val="28"/>
        </w:rPr>
        <w:t>5</w:t>
      </w:r>
      <w:r>
        <w:rPr>
          <w:rFonts w:hint="eastAsia" w:ascii="Times New Roman" w:hAnsi="Times New Roman" w:eastAsia="仿宋_GB2312" w:cs="Times New Roman"/>
          <w:sz w:val="28"/>
        </w:rPr>
        <w:t>家，低压蒸汽</w:t>
      </w:r>
      <w:r>
        <w:rPr>
          <w:rFonts w:hint="eastAsia" w:ascii="Times New Roman" w:hAnsi="Times New Roman" w:eastAsia="仿宋_GB2312" w:cs="Times New Roman"/>
          <w:sz w:val="28"/>
          <w:szCs w:val="28"/>
        </w:rPr>
        <w:t>平均热负荷合计</w:t>
      </w:r>
      <w:r>
        <w:rPr>
          <w:rFonts w:ascii="Times New Roman" w:hAnsi="Times New Roman" w:eastAsia="仿宋_GB2312" w:cs="Times New Roman"/>
          <w:sz w:val="28"/>
          <w:szCs w:val="28"/>
        </w:rPr>
        <w:t>20.7t/h</w:t>
      </w:r>
      <w:r>
        <w:rPr>
          <w:rFonts w:hint="eastAsia" w:ascii="Times New Roman" w:hAnsi="Times New Roman" w:eastAsia="仿宋_GB2312" w:cs="Times New Roman"/>
          <w:sz w:val="28"/>
          <w:szCs w:val="28"/>
        </w:rPr>
        <w:t>，最大热负荷合计</w:t>
      </w:r>
      <w:r>
        <w:rPr>
          <w:rFonts w:ascii="Times New Roman" w:hAnsi="Times New Roman" w:eastAsia="仿宋_GB2312" w:cs="Times New Roman"/>
          <w:sz w:val="28"/>
          <w:szCs w:val="28"/>
        </w:rPr>
        <w:t>26.6t/h</w:t>
      </w:r>
      <w:r>
        <w:rPr>
          <w:rFonts w:hint="eastAsia" w:ascii="Times New Roman" w:hAnsi="Times New Roman" w:eastAsia="仿宋_GB2312" w:cs="Times New Roman"/>
          <w:sz w:val="28"/>
          <w:szCs w:val="28"/>
        </w:rPr>
        <w:t>，中压蒸汽平均热负荷合计</w:t>
      </w:r>
      <w:r>
        <w:rPr>
          <w:rFonts w:ascii="Times New Roman" w:hAnsi="Times New Roman" w:eastAsia="仿宋_GB2312" w:cs="Times New Roman"/>
          <w:sz w:val="28"/>
          <w:szCs w:val="28"/>
        </w:rPr>
        <w:t>4.2t/h</w:t>
      </w:r>
      <w:r>
        <w:rPr>
          <w:rFonts w:hint="eastAsia" w:ascii="Times New Roman" w:hAnsi="Times New Roman" w:eastAsia="仿宋_GB2312" w:cs="Times New Roman"/>
          <w:sz w:val="28"/>
          <w:szCs w:val="28"/>
        </w:rPr>
        <w:t>，最大热负荷合计</w:t>
      </w:r>
      <w:r>
        <w:rPr>
          <w:rFonts w:ascii="Times New Roman" w:hAnsi="Times New Roman" w:eastAsia="仿宋_GB2312" w:cs="Times New Roman"/>
          <w:sz w:val="28"/>
          <w:szCs w:val="28"/>
        </w:rPr>
        <w:t>5.5t/h</w:t>
      </w:r>
      <w:r>
        <w:rPr>
          <w:rFonts w:hint="eastAsia"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综上所述，</w:t>
      </w:r>
      <w:r>
        <w:rPr>
          <w:rFonts w:hint="eastAsia" w:ascii="Times New Roman" w:hAnsi="Times New Roman" w:eastAsia="仿宋_GB2312" w:cs="Times New Roman"/>
          <w:sz w:val="28"/>
        </w:rPr>
        <w:t>中心城区南部及周边区块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026</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271.3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491.8</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，中压蒸汽平均热负荷</w:t>
      </w:r>
      <w:r>
        <w:rPr>
          <w:rFonts w:ascii="Times New Roman" w:hAnsi="Times New Roman" w:eastAsia="仿宋_GB2312" w:cs="Times New Roman"/>
          <w:color w:val="000000" w:themeColor="text1"/>
          <w:sz w:val="28"/>
          <w14:textFill>
            <w14:solidFill>
              <w14:schemeClr w14:val="tx1"/>
            </w14:solidFill>
          </w14:textFill>
        </w:rPr>
        <w:t>60.9</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83.4</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szCs w:val="28"/>
        </w:rPr>
        <w:t>中心城区南部及周边区块热用户数量多</w:t>
      </w:r>
      <w:r>
        <w:rPr>
          <w:rFonts w:ascii="Times New Roman" w:hAnsi="Times New Roman" w:eastAsia="仿宋_GB2312" w:cs="Times New Roman"/>
          <w:sz w:val="28"/>
          <w:szCs w:val="28"/>
        </w:rPr>
        <w:t>且规模小，考虑管损系数（取1.05）、焓折系数（取0.95）和同时系数（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0.6</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中心城区南部及周边区块到</w:t>
      </w:r>
      <w:r>
        <w:rPr>
          <w:rFonts w:ascii="Times New Roman" w:hAnsi="Times New Roman" w:eastAsia="仿宋_GB2312" w:cs="Times New Roman"/>
          <w:sz w:val="28"/>
          <w:szCs w:val="28"/>
        </w:rPr>
        <w:t>2026年低压蒸汽设计平均热负荷216.5t/h，最大热负荷294.3t/h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压蒸汽设计平均热负荷48.6t/h，最大热负荷49.9t/h。</w:t>
      </w:r>
    </w:p>
    <w:p>
      <w:pPr>
        <w:spacing w:line="580" w:lineRule="exact"/>
        <w:jc w:val="center"/>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4.4.2-1 </w:t>
      </w:r>
      <w:r>
        <w:rPr>
          <w:rFonts w:hint="eastAsia" w:ascii="黑体" w:hAnsi="黑体" w:eastAsia="黑体" w:cs="Times New Roman"/>
          <w:sz w:val="28"/>
          <w:szCs w:val="28"/>
        </w:rPr>
        <w:t>中心城区南部及周边区块近期新增集中供热热用户</w:t>
      </w:r>
    </w:p>
    <w:tbl>
      <w:tblPr>
        <w:tblStyle w:val="24"/>
        <w:tblW w:w="86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blHeader/>
        </w:trPr>
        <w:tc>
          <w:tcPr>
            <w:tcW w:w="6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52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00" w:type="dxa"/>
            <w:gridSpan w:val="7"/>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浙江超达新材料股份有限公司</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海宁九鼎纺织有限公司</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海宁鑫诺服装有限公司</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嘉兴傲威半导体有限公司</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b/>
                <w:color w:val="000000"/>
                <w:kern w:val="0"/>
                <w:sz w:val="24"/>
                <w:szCs w:val="24"/>
              </w:rPr>
            </w:pPr>
          </w:p>
        </w:tc>
        <w:tc>
          <w:tcPr>
            <w:tcW w:w="152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低压蒸汽合计</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20.7</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26.6</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4.9</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600" w:type="dxa"/>
            <w:gridSpan w:val="7"/>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中压蒸汽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浙江超达新材料股份有限公司</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0" w:type="dxa"/>
            <w:shd w:val="clear" w:color="auto" w:fill="auto"/>
            <w:vAlign w:val="center"/>
          </w:tcPr>
          <w:p>
            <w:pPr>
              <w:widowControl/>
              <w:jc w:val="center"/>
              <w:rPr>
                <w:rFonts w:ascii="Times New Roman" w:hAnsi="Times New Roman" w:eastAsia="仿宋_GB2312" w:cs="Times New Roman"/>
                <w:b/>
                <w:color w:val="000000"/>
                <w:kern w:val="0"/>
                <w:sz w:val="24"/>
                <w:szCs w:val="24"/>
              </w:rPr>
            </w:pPr>
          </w:p>
        </w:tc>
        <w:tc>
          <w:tcPr>
            <w:tcW w:w="152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中压蒸汽合计</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4.2</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5.5</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1.2</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p>
        </w:tc>
      </w:tr>
    </w:tbl>
    <w:p>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4.4.2-2 </w:t>
      </w:r>
      <w:r>
        <w:rPr>
          <w:rFonts w:hint="eastAsia" w:ascii="黑体" w:hAnsi="黑体" w:eastAsia="黑体" w:cs="Times New Roman"/>
          <w:sz w:val="28"/>
          <w:szCs w:val="28"/>
        </w:rPr>
        <w:t>中心城区南部及周边区块近期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1261"/>
        <w:gridCol w:w="1261"/>
        <w:gridCol w:w="1031"/>
        <w:gridCol w:w="1031"/>
        <w:gridCol w:w="1031"/>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Merge w:val="restart"/>
          </w:tcPr>
          <w:p>
            <w:pPr>
              <w:jc w:val="center"/>
              <w:rPr>
                <w:rFonts w:ascii="Times New Roman" w:hAnsi="Times New Roman" w:eastAsia="仿宋_GB2312" w:cs="Times New Roman"/>
                <w:sz w:val="24"/>
                <w:szCs w:val="24"/>
              </w:rPr>
            </w:pPr>
          </w:p>
        </w:tc>
        <w:tc>
          <w:tcPr>
            <w:tcW w:w="1985" w:type="pct"/>
            <w:gridSpan w:val="3"/>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低压蒸汽（</w:t>
            </w:r>
            <w:r>
              <w:rPr>
                <w:rFonts w:ascii="Times New Roman" w:hAnsi="Times New Roman" w:eastAsia="仿宋_GB2312" w:cs="Times New Roman"/>
                <w:b/>
                <w:sz w:val="24"/>
                <w:szCs w:val="24"/>
              </w:rPr>
              <w:t>t/h</w:t>
            </w:r>
            <w:r>
              <w:rPr>
                <w:rFonts w:hint="eastAsia" w:ascii="Times New Roman" w:hAnsi="Times New Roman" w:eastAsia="仿宋_GB2312" w:cs="Times New Roman"/>
                <w:b/>
                <w:sz w:val="24"/>
                <w:szCs w:val="24"/>
              </w:rPr>
              <w:t>）</w:t>
            </w:r>
          </w:p>
        </w:tc>
        <w:tc>
          <w:tcPr>
            <w:tcW w:w="2075" w:type="pct"/>
            <w:gridSpan w:val="3"/>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中压蒸汽（</w:t>
            </w:r>
            <w:r>
              <w:rPr>
                <w:rFonts w:ascii="Times New Roman" w:hAnsi="Times New Roman" w:eastAsia="仿宋_GB2312" w:cs="Times New Roman"/>
                <w:b/>
                <w:sz w:val="24"/>
                <w:szCs w:val="24"/>
              </w:rPr>
              <w:t>t/h</w:t>
            </w:r>
            <w:r>
              <w:rPr>
                <w:rFonts w:hint="eastAsia" w:ascii="Times New Roman" w:hAnsi="Times New Roman" w:eastAsia="仿宋_GB2312" w:cs="Times New Roman"/>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Merge w:val="continue"/>
          </w:tcPr>
          <w:p>
            <w:pPr>
              <w:jc w:val="center"/>
              <w:rPr>
                <w:rFonts w:ascii="Times New Roman" w:hAnsi="Times New Roman" w:eastAsia="仿宋_GB2312" w:cs="Times New Roman"/>
                <w:sz w:val="24"/>
                <w:szCs w:val="24"/>
              </w:rPr>
            </w:pPr>
          </w:p>
        </w:tc>
        <w:tc>
          <w:tcPr>
            <w:tcW w:w="705"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平均</w:t>
            </w:r>
          </w:p>
        </w:tc>
        <w:tc>
          <w:tcPr>
            <w:tcW w:w="705"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最大</w:t>
            </w:r>
          </w:p>
        </w:tc>
        <w:tc>
          <w:tcPr>
            <w:tcW w:w="576"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最小</w:t>
            </w:r>
          </w:p>
        </w:tc>
        <w:tc>
          <w:tcPr>
            <w:tcW w:w="576"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平均</w:t>
            </w:r>
          </w:p>
        </w:tc>
        <w:tc>
          <w:tcPr>
            <w:tcW w:w="576"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最大</w:t>
            </w:r>
          </w:p>
        </w:tc>
        <w:tc>
          <w:tcPr>
            <w:tcW w:w="923"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现状热负荷</w:t>
            </w:r>
          </w:p>
        </w:tc>
        <w:tc>
          <w:tcPr>
            <w:tcW w:w="705"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bCs/>
                <w:sz w:val="24"/>
                <w:szCs w:val="24"/>
              </w:rPr>
              <w:t>250.6</w:t>
            </w:r>
          </w:p>
        </w:tc>
        <w:tc>
          <w:tcPr>
            <w:tcW w:w="705"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bCs/>
                <w:color w:val="000000"/>
                <w:sz w:val="24"/>
                <w:szCs w:val="24"/>
              </w:rPr>
              <w:t>465.2</w:t>
            </w:r>
          </w:p>
        </w:tc>
        <w:tc>
          <w:tcPr>
            <w:tcW w:w="576"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bCs/>
                <w:color w:val="000000"/>
                <w:sz w:val="24"/>
                <w:szCs w:val="24"/>
              </w:rPr>
              <w:t>66.3</w:t>
            </w:r>
          </w:p>
        </w:tc>
        <w:tc>
          <w:tcPr>
            <w:tcW w:w="576"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bCs/>
                <w:color w:val="000000"/>
                <w:sz w:val="24"/>
                <w:szCs w:val="24"/>
              </w:rPr>
              <w:t>56.7</w:t>
            </w:r>
          </w:p>
        </w:tc>
        <w:tc>
          <w:tcPr>
            <w:tcW w:w="576"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bCs/>
                <w:color w:val="000000"/>
                <w:sz w:val="24"/>
                <w:szCs w:val="24"/>
              </w:rPr>
              <w:t>77.9</w:t>
            </w:r>
          </w:p>
        </w:tc>
        <w:tc>
          <w:tcPr>
            <w:tcW w:w="923"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bCs/>
                <w:color w:val="000000"/>
                <w:sz w:val="24"/>
                <w:szCs w:val="24"/>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705"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20.7</w:t>
            </w:r>
          </w:p>
        </w:tc>
        <w:tc>
          <w:tcPr>
            <w:tcW w:w="705"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26.6</w:t>
            </w:r>
          </w:p>
        </w:tc>
        <w:tc>
          <w:tcPr>
            <w:tcW w:w="576"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4.9</w:t>
            </w:r>
          </w:p>
        </w:tc>
        <w:tc>
          <w:tcPr>
            <w:tcW w:w="576"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4.2</w:t>
            </w:r>
          </w:p>
        </w:tc>
        <w:tc>
          <w:tcPr>
            <w:tcW w:w="576"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5.5</w:t>
            </w:r>
          </w:p>
        </w:tc>
        <w:tc>
          <w:tcPr>
            <w:tcW w:w="923"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近期热负荷</w:t>
            </w:r>
          </w:p>
        </w:tc>
        <w:tc>
          <w:tcPr>
            <w:tcW w:w="705"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271.3</w:t>
            </w:r>
          </w:p>
        </w:tc>
        <w:tc>
          <w:tcPr>
            <w:tcW w:w="705"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491.8</w:t>
            </w:r>
          </w:p>
        </w:tc>
        <w:tc>
          <w:tcPr>
            <w:tcW w:w="576"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71.2</w:t>
            </w:r>
          </w:p>
        </w:tc>
        <w:tc>
          <w:tcPr>
            <w:tcW w:w="576"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60.9</w:t>
            </w:r>
          </w:p>
        </w:tc>
        <w:tc>
          <w:tcPr>
            <w:tcW w:w="576"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83.4</w:t>
            </w:r>
          </w:p>
        </w:tc>
        <w:tc>
          <w:tcPr>
            <w:tcW w:w="923"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705"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216.5 </w:t>
            </w:r>
          </w:p>
        </w:tc>
        <w:tc>
          <w:tcPr>
            <w:tcW w:w="705"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294.3 </w:t>
            </w:r>
          </w:p>
        </w:tc>
        <w:tc>
          <w:tcPr>
            <w:tcW w:w="576"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71.0 </w:t>
            </w:r>
          </w:p>
        </w:tc>
        <w:tc>
          <w:tcPr>
            <w:tcW w:w="576"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48.6 </w:t>
            </w:r>
          </w:p>
        </w:tc>
        <w:tc>
          <w:tcPr>
            <w:tcW w:w="576"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49.9 </w:t>
            </w:r>
          </w:p>
        </w:tc>
        <w:tc>
          <w:tcPr>
            <w:tcW w:w="923"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22.6 </w:t>
            </w:r>
          </w:p>
        </w:tc>
      </w:tr>
    </w:tbl>
    <w:p>
      <w:pPr>
        <w:pStyle w:val="4"/>
        <w:spacing w:before="156" w:beforeLines="50"/>
      </w:pPr>
      <w:bookmarkStart w:id="287" w:name="_Toc144301235"/>
      <w:bookmarkStart w:id="288" w:name="_Toc171197858"/>
      <w:bookmarkStart w:id="289" w:name="_Toc183631791"/>
      <w:bookmarkStart w:id="290" w:name="_Toc181983774"/>
      <w:bookmarkStart w:id="291" w:name="_Toc144301016"/>
      <w:bookmarkStart w:id="292" w:name="_Toc188636914"/>
      <w:r>
        <w:t>4.4.3</w:t>
      </w:r>
      <w:bookmarkEnd w:id="287"/>
      <w:bookmarkEnd w:id="288"/>
      <w:bookmarkEnd w:id="289"/>
      <w:bookmarkEnd w:id="290"/>
      <w:bookmarkEnd w:id="291"/>
      <w:r>
        <w:rPr>
          <w:rFonts w:hint="eastAsia"/>
        </w:rPr>
        <w:t>长安及周边区块</w:t>
      </w:r>
      <w:bookmarkEnd w:id="292"/>
    </w:p>
    <w:p>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rPr>
        <w:t>近期，长安及周边区块新增热用户</w:t>
      </w:r>
      <w:r>
        <w:rPr>
          <w:rFonts w:ascii="Times New Roman" w:hAnsi="Times New Roman" w:eastAsia="仿宋_GB2312" w:cs="Times New Roman"/>
          <w:sz w:val="28"/>
        </w:rPr>
        <w:t>23</w:t>
      </w:r>
      <w:r>
        <w:rPr>
          <w:rFonts w:hint="eastAsia" w:ascii="Times New Roman" w:hAnsi="Times New Roman" w:eastAsia="仿宋_GB2312" w:cs="Times New Roman"/>
          <w:sz w:val="28"/>
        </w:rPr>
        <w:t>家，均为低压蒸汽用户，低压蒸汽</w:t>
      </w:r>
      <w:r>
        <w:rPr>
          <w:rFonts w:hint="eastAsia" w:ascii="Times New Roman" w:hAnsi="Times New Roman" w:eastAsia="仿宋_GB2312" w:cs="Times New Roman"/>
          <w:sz w:val="28"/>
          <w:szCs w:val="28"/>
        </w:rPr>
        <w:t>平均热负荷合计</w:t>
      </w:r>
      <w:r>
        <w:rPr>
          <w:rFonts w:ascii="Times New Roman" w:hAnsi="Times New Roman" w:eastAsia="仿宋_GB2312" w:cs="Times New Roman"/>
          <w:sz w:val="28"/>
          <w:szCs w:val="28"/>
        </w:rPr>
        <w:t>48t/h</w:t>
      </w:r>
      <w:r>
        <w:rPr>
          <w:rFonts w:hint="eastAsia" w:ascii="Times New Roman" w:hAnsi="Times New Roman" w:eastAsia="仿宋_GB2312" w:cs="Times New Roman"/>
          <w:sz w:val="28"/>
          <w:szCs w:val="28"/>
        </w:rPr>
        <w:t>，最大热负荷合计</w:t>
      </w:r>
      <w:r>
        <w:rPr>
          <w:rFonts w:ascii="Times New Roman" w:hAnsi="Times New Roman" w:eastAsia="仿宋_GB2312" w:cs="Times New Roman"/>
          <w:sz w:val="28"/>
          <w:szCs w:val="28"/>
        </w:rPr>
        <w:t>66t/h</w:t>
      </w:r>
      <w:r>
        <w:rPr>
          <w:rFonts w:hint="eastAsia"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综上所述，</w:t>
      </w:r>
      <w:r>
        <w:rPr>
          <w:rFonts w:hint="eastAsia" w:ascii="Times New Roman" w:hAnsi="Times New Roman" w:eastAsia="仿宋_GB2312" w:cs="Times New Roman"/>
          <w:sz w:val="28"/>
        </w:rPr>
        <w:t>长安及周边区块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026</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205.4</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491.3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，中压蒸汽平均热负荷</w:t>
      </w:r>
      <w:r>
        <w:rPr>
          <w:rFonts w:ascii="Times New Roman" w:hAnsi="Times New Roman" w:eastAsia="仿宋_GB2312" w:cs="Times New Roman"/>
          <w:color w:val="000000" w:themeColor="text1"/>
          <w:sz w:val="28"/>
          <w14:textFill>
            <w14:solidFill>
              <w14:schemeClr w14:val="tx1"/>
            </w14:solidFill>
          </w14:textFill>
        </w:rPr>
        <w:t>20.5</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47.6</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长安及周边区块</w:t>
      </w:r>
      <w:r>
        <w:rPr>
          <w:rFonts w:hint="eastAsia" w:ascii="Times New Roman" w:hAnsi="Times New Roman" w:eastAsia="仿宋_GB2312" w:cs="Times New Roman"/>
          <w:sz w:val="28"/>
          <w:szCs w:val="28"/>
        </w:rPr>
        <w:t>热用户数量多</w:t>
      </w:r>
      <w:r>
        <w:rPr>
          <w:rFonts w:ascii="Times New Roman" w:hAnsi="Times New Roman" w:eastAsia="仿宋_GB2312" w:cs="Times New Roman"/>
          <w:sz w:val="28"/>
          <w:szCs w:val="28"/>
        </w:rPr>
        <w:t>且规模小，考虑管损系数（取1.05）、焓折系数（取0.95）和同时系数（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0.6</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sz w:val="28"/>
        </w:rPr>
        <w:t>长安及周边区块</w:t>
      </w:r>
      <w:r>
        <w:rPr>
          <w:rFonts w:hint="eastAsia" w:ascii="Times New Roman" w:hAnsi="Times New Roman" w:eastAsia="仿宋_GB2312" w:cs="Times New Roman"/>
          <w:sz w:val="28"/>
          <w:szCs w:val="28"/>
        </w:rPr>
        <w:t>到</w:t>
      </w:r>
      <w:r>
        <w:rPr>
          <w:rFonts w:ascii="Times New Roman" w:hAnsi="Times New Roman" w:eastAsia="仿宋_GB2312" w:cs="Times New Roman"/>
          <w:sz w:val="28"/>
          <w:szCs w:val="28"/>
        </w:rPr>
        <w:t>2026年低压蒸汽设计平均热负荷163.9t/h，最大热负荷294.0t/h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压蒸汽设计平均热负荷16.4t/h，最大热负荷28.5t/h。</w:t>
      </w:r>
    </w:p>
    <w:p>
      <w:pPr>
        <w:spacing w:line="580" w:lineRule="exact"/>
        <w:jc w:val="center"/>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4.4.3-1 </w:t>
      </w:r>
      <w:r>
        <w:rPr>
          <w:rFonts w:hint="eastAsia" w:ascii="黑体" w:hAnsi="黑体" w:eastAsia="黑体" w:cs="Times New Roman"/>
          <w:sz w:val="28"/>
          <w:szCs w:val="28"/>
        </w:rPr>
        <w:t>长安南部区块近期新增集中供热热用户</w:t>
      </w:r>
    </w:p>
    <w:tbl>
      <w:tblPr>
        <w:tblStyle w:val="24"/>
        <w:tblW w:w="86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6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序号</w:t>
            </w:r>
          </w:p>
        </w:tc>
        <w:tc>
          <w:tcPr>
            <w:tcW w:w="152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热用户名称</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平均负荷(t/h)</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最大负荷(t/h)</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最小负荷(t/h)</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用汽温度(℃)</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海宁市裕丰酿造有限公司</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190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海宁市新世纪皮革纺织有限公司</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6</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海宁德驰经编有限公司长安厂区</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海宁市宏威纺织有限公司</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海宁市上方建材有限公司</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6</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浙江福地农业有限公司</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190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7</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浙江米赛丝绸有限公司</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4</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190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8</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长安镇行政办事中心</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190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9</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海宁市伊仕曼制衣有限公司</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10</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海宁金神五金锁具有限公司</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11</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海宁市长安镇中心小学（镇东小学）</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190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12</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海宁市长安镇中心小学</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13</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海宁市长安镇中心小学分校</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14</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海宁市长安镇辛江中心小学</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15</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海宁中学</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1.5</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16</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海宁市长安镇初级中学</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17</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海宁市宏利蜡业有限公司</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海宁市神工轻纺有限公司</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19</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海宁钱塘海鸿宾馆有限公司</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20</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浙江财经东方学院</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1.5</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21</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浙江机电职业机电学院长安校区</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22</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长安镇体育中心游泳馆</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0.5</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180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23</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海宁市裕丰酿造有限公司</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3</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5</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2</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190</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0" w:type="dxa"/>
            <w:shd w:val="clear" w:color="auto" w:fill="auto"/>
            <w:vAlign w:val="center"/>
          </w:tcPr>
          <w:p>
            <w:pPr>
              <w:widowControl/>
              <w:jc w:val="center"/>
              <w:rPr>
                <w:rFonts w:ascii="Times New Roman" w:hAnsi="Times New Roman" w:eastAsia="仿宋_GB2312" w:cs="Times New Roman"/>
                <w:bCs/>
                <w:color w:val="000000"/>
                <w:kern w:val="0"/>
                <w:sz w:val="24"/>
                <w:szCs w:val="24"/>
              </w:rPr>
            </w:pP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合计</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hint="eastAsia" w:ascii="Times New Roman" w:hAnsi="Times New Roman" w:eastAsia="仿宋_GB2312" w:cs="Times New Roman"/>
                <w:bCs/>
                <w:color w:val="000000"/>
                <w:kern w:val="0"/>
                <w:sz w:val="24"/>
                <w:szCs w:val="24"/>
              </w:rPr>
              <w:t>4</w:t>
            </w:r>
            <w:r>
              <w:rPr>
                <w:rFonts w:ascii="Times New Roman" w:hAnsi="Times New Roman" w:eastAsia="仿宋_GB2312" w:cs="Times New Roman"/>
                <w:bCs/>
                <w:color w:val="000000"/>
                <w:kern w:val="0"/>
                <w:sz w:val="24"/>
                <w:szCs w:val="24"/>
              </w:rPr>
              <w:t>8</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hint="eastAsia" w:ascii="Times New Roman" w:hAnsi="Times New Roman" w:eastAsia="仿宋_GB2312" w:cs="Times New Roman"/>
                <w:bCs/>
                <w:color w:val="000000"/>
                <w:kern w:val="0"/>
                <w:sz w:val="24"/>
                <w:szCs w:val="24"/>
              </w:rPr>
              <w:t>6</w:t>
            </w:r>
            <w:r>
              <w:rPr>
                <w:rFonts w:ascii="Times New Roman" w:hAnsi="Times New Roman" w:eastAsia="仿宋_GB2312" w:cs="Times New Roman"/>
                <w:bCs/>
                <w:color w:val="000000"/>
                <w:kern w:val="0"/>
                <w:sz w:val="24"/>
                <w:szCs w:val="24"/>
              </w:rPr>
              <w:t>6</w:t>
            </w:r>
          </w:p>
        </w:tc>
        <w:tc>
          <w:tcPr>
            <w:tcW w:w="1280" w:type="dxa"/>
            <w:shd w:val="clear" w:color="auto" w:fill="auto"/>
            <w:vAlign w:val="center"/>
          </w:tcPr>
          <w:p>
            <w:pPr>
              <w:widowControl/>
              <w:jc w:val="center"/>
              <w:rPr>
                <w:rFonts w:ascii="Times New Roman" w:hAnsi="Times New Roman" w:eastAsia="仿宋_GB2312" w:cs="Times New Roman"/>
                <w:bCs/>
                <w:color w:val="000000"/>
                <w:kern w:val="0"/>
                <w:sz w:val="24"/>
                <w:szCs w:val="24"/>
              </w:rPr>
            </w:pPr>
            <w:r>
              <w:rPr>
                <w:rFonts w:hint="eastAsia" w:ascii="Times New Roman" w:hAnsi="Times New Roman" w:eastAsia="仿宋_GB2312" w:cs="Times New Roman"/>
                <w:bCs/>
                <w:color w:val="000000"/>
                <w:kern w:val="0"/>
                <w:sz w:val="24"/>
                <w:szCs w:val="24"/>
              </w:rPr>
              <w:t>2</w:t>
            </w:r>
            <w:r>
              <w:rPr>
                <w:rFonts w:ascii="Times New Roman" w:hAnsi="Times New Roman" w:eastAsia="仿宋_GB2312" w:cs="Times New Roman"/>
                <w:bCs/>
                <w:color w:val="000000"/>
                <w:kern w:val="0"/>
                <w:sz w:val="24"/>
                <w:szCs w:val="24"/>
              </w:rPr>
              <w:t>7</w:t>
            </w:r>
          </w:p>
        </w:tc>
        <w:tc>
          <w:tcPr>
            <w:tcW w:w="1280" w:type="dxa"/>
            <w:shd w:val="clear" w:color="auto" w:fill="auto"/>
            <w:noWrap/>
            <w:vAlign w:val="center"/>
          </w:tcPr>
          <w:p>
            <w:pPr>
              <w:widowControl/>
              <w:jc w:val="center"/>
              <w:rPr>
                <w:rFonts w:ascii="Times New Roman" w:hAnsi="Times New Roman" w:eastAsia="仿宋_GB2312" w:cs="Times New Roman"/>
                <w:bCs/>
                <w:color w:val="000000"/>
                <w:kern w:val="0"/>
                <w:sz w:val="24"/>
                <w:szCs w:val="24"/>
              </w:rPr>
            </w:pPr>
          </w:p>
        </w:tc>
        <w:tc>
          <w:tcPr>
            <w:tcW w:w="1280" w:type="dxa"/>
            <w:shd w:val="clear" w:color="auto" w:fill="auto"/>
            <w:vAlign w:val="center"/>
          </w:tcPr>
          <w:p>
            <w:pPr>
              <w:widowControl/>
              <w:jc w:val="center"/>
              <w:rPr>
                <w:rFonts w:ascii="Times New Roman" w:hAnsi="Times New Roman" w:eastAsia="仿宋_GB2312" w:cs="Times New Roman"/>
                <w:kern w:val="0"/>
                <w:sz w:val="24"/>
                <w:szCs w:val="24"/>
              </w:rPr>
            </w:pPr>
          </w:p>
        </w:tc>
      </w:tr>
    </w:tbl>
    <w:p>
      <w:pPr>
        <w:spacing w:before="156" w:beforeLines="50"/>
        <w:jc w:val="center"/>
        <w:rPr>
          <w:rFonts w:ascii="黑体" w:hAnsi="黑体" w:eastAsia="黑体" w:cs="Times New Roman"/>
          <w:sz w:val="28"/>
          <w:szCs w:val="28"/>
        </w:rPr>
      </w:pPr>
    </w:p>
    <w:p>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4.4.3-2 </w:t>
      </w:r>
      <w:r>
        <w:rPr>
          <w:rFonts w:hint="eastAsia" w:ascii="黑体" w:hAnsi="黑体" w:eastAsia="黑体" w:cs="Times New Roman"/>
          <w:sz w:val="28"/>
          <w:szCs w:val="28"/>
        </w:rPr>
        <w:t>长安南部区块近期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1018"/>
        <w:gridCol w:w="1163"/>
        <w:gridCol w:w="1178"/>
        <w:gridCol w:w="1090"/>
        <w:gridCol w:w="1090"/>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8" w:type="pct"/>
            <w:vMerge w:val="restart"/>
          </w:tcPr>
          <w:p>
            <w:pPr>
              <w:jc w:val="center"/>
              <w:rPr>
                <w:rFonts w:ascii="Times New Roman" w:hAnsi="Times New Roman" w:eastAsia="仿宋_GB2312" w:cs="Times New Roman"/>
                <w:sz w:val="24"/>
                <w:szCs w:val="24"/>
              </w:rPr>
            </w:pPr>
          </w:p>
        </w:tc>
        <w:tc>
          <w:tcPr>
            <w:tcW w:w="1877" w:type="pct"/>
            <w:gridSpan w:val="3"/>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低压蒸汽（</w:t>
            </w:r>
            <w:r>
              <w:rPr>
                <w:rFonts w:ascii="Times New Roman" w:hAnsi="Times New Roman" w:eastAsia="仿宋_GB2312" w:cs="Times New Roman"/>
                <w:b/>
                <w:sz w:val="24"/>
                <w:szCs w:val="24"/>
              </w:rPr>
              <w:t>t/h</w:t>
            </w:r>
            <w:r>
              <w:rPr>
                <w:rFonts w:hint="eastAsia" w:ascii="Times New Roman" w:hAnsi="Times New Roman" w:eastAsia="仿宋_GB2312" w:cs="Times New Roman"/>
                <w:b/>
                <w:sz w:val="24"/>
                <w:szCs w:val="24"/>
              </w:rPr>
              <w:t>）</w:t>
            </w:r>
          </w:p>
        </w:tc>
        <w:tc>
          <w:tcPr>
            <w:tcW w:w="1825" w:type="pct"/>
            <w:gridSpan w:val="3"/>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中压蒸汽（</w:t>
            </w:r>
            <w:r>
              <w:rPr>
                <w:rFonts w:ascii="Times New Roman" w:hAnsi="Times New Roman" w:eastAsia="仿宋_GB2312" w:cs="Times New Roman"/>
                <w:b/>
                <w:sz w:val="24"/>
                <w:szCs w:val="24"/>
              </w:rPr>
              <w:t>t/h</w:t>
            </w:r>
            <w:r>
              <w:rPr>
                <w:rFonts w:hint="eastAsia" w:ascii="Times New Roman" w:hAnsi="Times New Roman" w:eastAsia="仿宋_GB2312" w:cs="Times New Roman"/>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8" w:type="pct"/>
            <w:vMerge w:val="continue"/>
          </w:tcPr>
          <w:p>
            <w:pPr>
              <w:jc w:val="center"/>
              <w:rPr>
                <w:rFonts w:ascii="Times New Roman" w:hAnsi="Times New Roman" w:eastAsia="仿宋_GB2312" w:cs="Times New Roman"/>
                <w:sz w:val="24"/>
                <w:szCs w:val="24"/>
              </w:rPr>
            </w:pPr>
          </w:p>
        </w:tc>
        <w:tc>
          <w:tcPr>
            <w:tcW w:w="569"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平均</w:t>
            </w:r>
          </w:p>
        </w:tc>
        <w:tc>
          <w:tcPr>
            <w:tcW w:w="650"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最大</w:t>
            </w:r>
          </w:p>
        </w:tc>
        <w:tc>
          <w:tcPr>
            <w:tcW w:w="658"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最小</w:t>
            </w:r>
          </w:p>
        </w:tc>
        <w:tc>
          <w:tcPr>
            <w:tcW w:w="609"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平均</w:t>
            </w:r>
          </w:p>
        </w:tc>
        <w:tc>
          <w:tcPr>
            <w:tcW w:w="609"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最大</w:t>
            </w:r>
          </w:p>
        </w:tc>
        <w:tc>
          <w:tcPr>
            <w:tcW w:w="607"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b/>
                <w:sz w:val="24"/>
                <w:szCs w:val="24"/>
              </w:rPr>
              <w:t>最小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8"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现状热负荷</w:t>
            </w:r>
          </w:p>
        </w:tc>
        <w:tc>
          <w:tcPr>
            <w:tcW w:w="569"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157.4</w:t>
            </w:r>
          </w:p>
        </w:tc>
        <w:tc>
          <w:tcPr>
            <w:tcW w:w="650"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425.3</w:t>
            </w:r>
          </w:p>
        </w:tc>
        <w:tc>
          <w:tcPr>
            <w:tcW w:w="658"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90.9</w:t>
            </w:r>
          </w:p>
        </w:tc>
        <w:tc>
          <w:tcPr>
            <w:tcW w:w="609"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20.5</w:t>
            </w:r>
          </w:p>
        </w:tc>
        <w:tc>
          <w:tcPr>
            <w:tcW w:w="609"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47.6</w:t>
            </w:r>
          </w:p>
        </w:tc>
        <w:tc>
          <w:tcPr>
            <w:tcW w:w="607"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8"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569"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48</w:t>
            </w:r>
          </w:p>
        </w:tc>
        <w:tc>
          <w:tcPr>
            <w:tcW w:w="650"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66</w:t>
            </w:r>
          </w:p>
        </w:tc>
        <w:tc>
          <w:tcPr>
            <w:tcW w:w="658"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27</w:t>
            </w:r>
          </w:p>
        </w:tc>
        <w:tc>
          <w:tcPr>
            <w:tcW w:w="609"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w:t>
            </w:r>
          </w:p>
        </w:tc>
        <w:tc>
          <w:tcPr>
            <w:tcW w:w="609"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w:t>
            </w:r>
          </w:p>
        </w:tc>
        <w:tc>
          <w:tcPr>
            <w:tcW w:w="607"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8"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近期热负荷</w:t>
            </w:r>
          </w:p>
        </w:tc>
        <w:tc>
          <w:tcPr>
            <w:tcW w:w="569"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205.4 </w:t>
            </w:r>
          </w:p>
        </w:tc>
        <w:tc>
          <w:tcPr>
            <w:tcW w:w="650"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491.3 </w:t>
            </w:r>
          </w:p>
        </w:tc>
        <w:tc>
          <w:tcPr>
            <w:tcW w:w="658"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117.9 </w:t>
            </w:r>
          </w:p>
        </w:tc>
        <w:tc>
          <w:tcPr>
            <w:tcW w:w="609"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20.5 </w:t>
            </w:r>
          </w:p>
        </w:tc>
        <w:tc>
          <w:tcPr>
            <w:tcW w:w="609"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47.6 </w:t>
            </w:r>
          </w:p>
        </w:tc>
        <w:tc>
          <w:tcPr>
            <w:tcW w:w="607"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98"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569"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163.9 </w:t>
            </w:r>
          </w:p>
        </w:tc>
        <w:tc>
          <w:tcPr>
            <w:tcW w:w="650"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294.0 </w:t>
            </w:r>
          </w:p>
        </w:tc>
        <w:tc>
          <w:tcPr>
            <w:tcW w:w="658"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117.6 </w:t>
            </w:r>
          </w:p>
        </w:tc>
        <w:tc>
          <w:tcPr>
            <w:tcW w:w="609"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16.4 </w:t>
            </w:r>
          </w:p>
        </w:tc>
        <w:tc>
          <w:tcPr>
            <w:tcW w:w="609"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28.5 </w:t>
            </w:r>
          </w:p>
        </w:tc>
        <w:tc>
          <w:tcPr>
            <w:tcW w:w="607" w:type="pct"/>
            <w:vAlign w:val="center"/>
          </w:tcPr>
          <w:p>
            <w:pPr>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12.5 </w:t>
            </w:r>
          </w:p>
        </w:tc>
      </w:tr>
    </w:tbl>
    <w:p>
      <w:pPr>
        <w:pStyle w:val="4"/>
        <w:spacing w:before="156" w:beforeLines="50"/>
      </w:pPr>
      <w:bookmarkStart w:id="293" w:name="_Toc171197860"/>
      <w:bookmarkStart w:id="294" w:name="_Toc144301017"/>
      <w:bookmarkStart w:id="295" w:name="_Toc183631793"/>
      <w:bookmarkStart w:id="296" w:name="_Toc144301236"/>
      <w:bookmarkStart w:id="297" w:name="_Toc181983776"/>
      <w:bookmarkStart w:id="298" w:name="_Toc188636915"/>
      <w:r>
        <w:t>4.4.4</w:t>
      </w:r>
      <w:r>
        <w:rPr>
          <w:rFonts w:hint="eastAsia"/>
        </w:rPr>
        <w:t>许村区块</w:t>
      </w:r>
      <w:bookmarkEnd w:id="293"/>
      <w:bookmarkEnd w:id="294"/>
      <w:bookmarkEnd w:id="295"/>
      <w:bookmarkEnd w:id="296"/>
      <w:bookmarkEnd w:id="297"/>
      <w:bookmarkEnd w:id="298"/>
    </w:p>
    <w:p>
      <w:pPr>
        <w:spacing w:line="580" w:lineRule="exact"/>
        <w:ind w:firstLine="560" w:firstLineChars="200"/>
        <w:rPr>
          <w:rFonts w:ascii="Times New Roman" w:hAnsi="Times New Roman" w:eastAsia="仿宋_GB2312" w:cs="Times New Roman"/>
          <w:sz w:val="28"/>
          <w:highlight w:val="yellow"/>
        </w:rPr>
      </w:pPr>
      <w:r>
        <w:rPr>
          <w:rFonts w:hint="eastAsia" w:ascii="Times New Roman" w:hAnsi="Times New Roman" w:eastAsia="仿宋_GB2312" w:cs="Times New Roman"/>
          <w:sz w:val="28"/>
        </w:rPr>
        <w:t>近期，许村区块新增热用户</w:t>
      </w:r>
      <w:r>
        <w:rPr>
          <w:rFonts w:ascii="Times New Roman" w:hAnsi="Times New Roman" w:eastAsia="仿宋_GB2312" w:cs="Times New Roman"/>
          <w:sz w:val="28"/>
        </w:rPr>
        <w:t>5</w:t>
      </w:r>
      <w:r>
        <w:rPr>
          <w:rFonts w:hint="eastAsia" w:ascii="Times New Roman" w:hAnsi="Times New Roman" w:eastAsia="仿宋_GB2312" w:cs="Times New Roman"/>
          <w:sz w:val="28"/>
        </w:rPr>
        <w:t>家，均为低压蒸汽用户，低压蒸汽</w:t>
      </w:r>
      <w:r>
        <w:rPr>
          <w:rFonts w:hint="eastAsia" w:ascii="Times New Roman" w:hAnsi="Times New Roman" w:eastAsia="仿宋_GB2312" w:cs="Times New Roman"/>
          <w:sz w:val="28"/>
          <w:szCs w:val="28"/>
        </w:rPr>
        <w:t>平均热负荷合计</w:t>
      </w:r>
      <w:r>
        <w:rPr>
          <w:rFonts w:ascii="Times New Roman" w:hAnsi="Times New Roman" w:eastAsia="仿宋_GB2312" w:cs="Times New Roman"/>
          <w:sz w:val="28"/>
          <w:szCs w:val="28"/>
        </w:rPr>
        <w:t>86t/h</w:t>
      </w:r>
      <w:r>
        <w:rPr>
          <w:rFonts w:hint="eastAsia" w:ascii="Times New Roman" w:hAnsi="Times New Roman" w:eastAsia="仿宋_GB2312" w:cs="Times New Roman"/>
          <w:sz w:val="28"/>
          <w:szCs w:val="28"/>
        </w:rPr>
        <w:t>，最大热负荷合计</w:t>
      </w:r>
      <w:r>
        <w:rPr>
          <w:rFonts w:ascii="Times New Roman" w:hAnsi="Times New Roman" w:eastAsia="仿宋_GB2312" w:cs="Times New Roman"/>
          <w:sz w:val="28"/>
          <w:szCs w:val="28"/>
        </w:rPr>
        <w:t>138t/h</w:t>
      </w:r>
      <w:r>
        <w:rPr>
          <w:rFonts w:hint="eastAsia"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综上所述，</w:t>
      </w:r>
      <w:r>
        <w:rPr>
          <w:rFonts w:hint="eastAsia" w:ascii="Times New Roman" w:hAnsi="Times New Roman" w:eastAsia="仿宋_GB2312" w:cs="Times New Roman"/>
          <w:sz w:val="28"/>
        </w:rPr>
        <w:t>许村区块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026</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249.0</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439.5</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，中压蒸汽平均热负荷1</w:t>
      </w:r>
      <w:r>
        <w:rPr>
          <w:rFonts w:ascii="Times New Roman" w:hAnsi="Times New Roman" w:eastAsia="仿宋_GB2312" w:cs="Times New Roman"/>
          <w:color w:val="000000" w:themeColor="text1"/>
          <w:sz w:val="28"/>
          <w14:textFill>
            <w14:solidFill>
              <w14:schemeClr w14:val="tx1"/>
            </w14:solidFill>
          </w14:textFill>
        </w:rPr>
        <w:t>3.5</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29.0</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。根据</w:t>
      </w:r>
      <w:r>
        <w:rPr>
          <w:rFonts w:hint="eastAsia" w:ascii="Times New Roman" w:hAnsi="Times New Roman" w:eastAsia="仿宋_GB2312" w:cs="Times New Roman"/>
          <w:sz w:val="28"/>
        </w:rPr>
        <w:t>许村区块</w:t>
      </w:r>
      <w:r>
        <w:rPr>
          <w:rFonts w:hint="eastAsia" w:ascii="Times New Roman" w:hAnsi="Times New Roman" w:eastAsia="仿宋_GB2312" w:cs="Times New Roman"/>
          <w:sz w:val="28"/>
          <w:szCs w:val="28"/>
        </w:rPr>
        <w:t>热用户特性</w:t>
      </w:r>
      <w:r>
        <w:rPr>
          <w:rFonts w:ascii="Times New Roman" w:hAnsi="Times New Roman" w:eastAsia="仿宋_GB2312" w:cs="Times New Roman"/>
          <w:sz w:val="28"/>
          <w:szCs w:val="28"/>
        </w:rPr>
        <w:t>，考虑管损系数（取1.05）、焓折系数（取0.95）和同时系数（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0.7</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sz w:val="28"/>
        </w:rPr>
        <w:t>许村区块</w:t>
      </w:r>
      <w:r>
        <w:rPr>
          <w:rFonts w:hint="eastAsia" w:ascii="Times New Roman" w:hAnsi="Times New Roman" w:eastAsia="仿宋_GB2312" w:cs="Times New Roman"/>
          <w:sz w:val="28"/>
          <w:szCs w:val="28"/>
        </w:rPr>
        <w:t>到</w:t>
      </w:r>
      <w:r>
        <w:rPr>
          <w:rFonts w:ascii="Times New Roman" w:hAnsi="Times New Roman" w:eastAsia="仿宋_GB2312" w:cs="Times New Roman"/>
          <w:sz w:val="28"/>
          <w:szCs w:val="28"/>
        </w:rPr>
        <w:t>2026年低压蒸汽设计平均热负荷198.7t/h，最大热负荷306.9t/h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压蒸汽设计平均热负荷10.8t/h，最大热负荷20.2t/h。</w:t>
      </w:r>
    </w:p>
    <w:p>
      <w:pPr>
        <w:spacing w:line="580" w:lineRule="exact"/>
        <w:jc w:val="center"/>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4.4.4-1 </w:t>
      </w:r>
      <w:r>
        <w:rPr>
          <w:rFonts w:hint="eastAsia" w:ascii="黑体" w:hAnsi="黑体" w:eastAsia="黑体" w:cs="Times New Roman"/>
          <w:sz w:val="28"/>
          <w:szCs w:val="28"/>
        </w:rPr>
        <w:t>许村区块近期新增集中供热热用户</w:t>
      </w:r>
    </w:p>
    <w:tbl>
      <w:tblPr>
        <w:tblStyle w:val="24"/>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序号</w:t>
            </w:r>
          </w:p>
        </w:tc>
        <w:tc>
          <w:tcPr>
            <w:tcW w:w="152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热用户名称</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平均负荷(t/h)</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最大负荷(t/h)</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最小负荷(t/h)</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用汽温度(℃)</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用汽压力(MPa)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西线用户</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伟龙印染</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金能达印染</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52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振海印染</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w:t>
            </w:r>
          </w:p>
        </w:tc>
        <w:tc>
          <w:tcPr>
            <w:tcW w:w="1520" w:type="dxa"/>
            <w:shd w:val="clear" w:color="auto" w:fill="auto"/>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华德利</w:t>
            </w:r>
          </w:p>
        </w:tc>
        <w:tc>
          <w:tcPr>
            <w:tcW w:w="1280"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50</w:t>
            </w:r>
          </w:p>
        </w:tc>
        <w:tc>
          <w:tcPr>
            <w:tcW w:w="1280"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80</w:t>
            </w:r>
          </w:p>
        </w:tc>
        <w:tc>
          <w:tcPr>
            <w:tcW w:w="1280"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40</w:t>
            </w:r>
          </w:p>
        </w:tc>
        <w:tc>
          <w:tcPr>
            <w:tcW w:w="1280"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p>
        </w:tc>
        <w:tc>
          <w:tcPr>
            <w:tcW w:w="1520"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1280"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86</w:t>
            </w:r>
          </w:p>
        </w:tc>
        <w:tc>
          <w:tcPr>
            <w:tcW w:w="1280"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138</w:t>
            </w:r>
          </w:p>
        </w:tc>
        <w:tc>
          <w:tcPr>
            <w:tcW w:w="1280" w:type="dxa"/>
            <w:shd w:val="clear" w:color="auto" w:fill="auto"/>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60</w:t>
            </w:r>
          </w:p>
        </w:tc>
        <w:tc>
          <w:tcPr>
            <w:tcW w:w="1280" w:type="dxa"/>
            <w:shd w:val="clear" w:color="auto" w:fill="auto"/>
            <w:vAlign w:val="center"/>
          </w:tcPr>
          <w:p>
            <w:pPr>
              <w:widowControl/>
              <w:jc w:val="center"/>
              <w:rPr>
                <w:rFonts w:ascii="Times New Roman" w:hAnsi="Times New Roman" w:eastAsia="仿宋_GB2312" w:cs="Times New Roman"/>
                <w:kern w:val="0"/>
                <w:sz w:val="24"/>
                <w:szCs w:val="24"/>
              </w:rPr>
            </w:pP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p>
        </w:tc>
      </w:tr>
    </w:tbl>
    <w:p>
      <w:pPr>
        <w:spacing w:before="156" w:beforeLines="50"/>
        <w:jc w:val="center"/>
        <w:rPr>
          <w:rFonts w:ascii="黑体" w:hAnsi="黑体" w:eastAsia="黑体" w:cs="Times New Roman"/>
          <w:sz w:val="28"/>
          <w:szCs w:val="28"/>
        </w:rPr>
      </w:pPr>
    </w:p>
    <w:p>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4.4.4-2 </w:t>
      </w:r>
      <w:r>
        <w:rPr>
          <w:rFonts w:hint="eastAsia" w:ascii="黑体" w:hAnsi="黑体" w:eastAsia="黑体" w:cs="Times New Roman"/>
          <w:sz w:val="28"/>
          <w:szCs w:val="28"/>
        </w:rPr>
        <w:t>许村区块近期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9"/>
        <w:gridCol w:w="1329"/>
        <w:gridCol w:w="1158"/>
        <w:gridCol w:w="1331"/>
        <w:gridCol w:w="1009"/>
        <w:gridCol w:w="1009"/>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2" w:type="pct"/>
            <w:vMerge w:val="restart"/>
          </w:tcPr>
          <w:p>
            <w:pPr>
              <w:jc w:val="center"/>
              <w:rPr>
                <w:rFonts w:ascii="Times New Roman" w:hAnsi="Times New Roman" w:eastAsia="仿宋_GB2312" w:cs="Times New Roman"/>
                <w:sz w:val="24"/>
                <w:szCs w:val="24"/>
              </w:rPr>
            </w:pPr>
          </w:p>
        </w:tc>
        <w:tc>
          <w:tcPr>
            <w:tcW w:w="2134" w:type="pct"/>
            <w:gridSpan w:val="3"/>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低压蒸汽（t/h）</w:t>
            </w:r>
          </w:p>
        </w:tc>
        <w:tc>
          <w:tcPr>
            <w:tcW w:w="1655" w:type="pct"/>
            <w:gridSpan w:val="3"/>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中压蒸汽（t/h）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212" w:type="pct"/>
            <w:vMerge w:val="continue"/>
          </w:tcPr>
          <w:p>
            <w:pPr>
              <w:jc w:val="center"/>
              <w:rPr>
                <w:rFonts w:ascii="Times New Roman" w:hAnsi="Times New Roman" w:eastAsia="仿宋_GB2312" w:cs="Times New Roman"/>
                <w:sz w:val="24"/>
                <w:szCs w:val="24"/>
              </w:rPr>
            </w:pPr>
          </w:p>
        </w:tc>
        <w:tc>
          <w:tcPr>
            <w:tcW w:w="74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647"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74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c>
          <w:tcPr>
            <w:tcW w:w="56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56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52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2"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现状热负荷</w:t>
            </w:r>
          </w:p>
        </w:tc>
        <w:tc>
          <w:tcPr>
            <w:tcW w:w="74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647"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301.5</w:t>
            </w:r>
          </w:p>
        </w:tc>
        <w:tc>
          <w:tcPr>
            <w:tcW w:w="74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97</w:t>
            </w:r>
          </w:p>
        </w:tc>
        <w:tc>
          <w:tcPr>
            <w:tcW w:w="564"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13.5</w:t>
            </w:r>
          </w:p>
        </w:tc>
        <w:tc>
          <w:tcPr>
            <w:tcW w:w="564"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528"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2"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74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86</w:t>
            </w:r>
          </w:p>
        </w:tc>
        <w:tc>
          <w:tcPr>
            <w:tcW w:w="647"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138</w:t>
            </w:r>
          </w:p>
        </w:tc>
        <w:tc>
          <w:tcPr>
            <w:tcW w:w="74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c>
          <w:tcPr>
            <w:tcW w:w="564" w:type="pct"/>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64" w:type="pct"/>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c>
          <w:tcPr>
            <w:tcW w:w="528" w:type="pct"/>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2"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近期热负荷</w:t>
            </w:r>
          </w:p>
        </w:tc>
        <w:tc>
          <w:tcPr>
            <w:tcW w:w="74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249.0</w:t>
            </w:r>
          </w:p>
        </w:tc>
        <w:tc>
          <w:tcPr>
            <w:tcW w:w="647" w:type="pct"/>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439.5</w:t>
            </w:r>
          </w:p>
        </w:tc>
        <w:tc>
          <w:tcPr>
            <w:tcW w:w="743" w:type="pct"/>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157.0</w:t>
            </w:r>
          </w:p>
        </w:tc>
        <w:tc>
          <w:tcPr>
            <w:tcW w:w="564" w:type="pct"/>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13.5</w:t>
            </w:r>
          </w:p>
        </w:tc>
        <w:tc>
          <w:tcPr>
            <w:tcW w:w="564" w:type="pct"/>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29.0</w:t>
            </w:r>
          </w:p>
        </w:tc>
        <w:tc>
          <w:tcPr>
            <w:tcW w:w="528" w:type="pct"/>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2"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74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198.7 </w:t>
            </w:r>
          </w:p>
        </w:tc>
        <w:tc>
          <w:tcPr>
            <w:tcW w:w="647"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306.9 </w:t>
            </w:r>
          </w:p>
        </w:tc>
        <w:tc>
          <w:tcPr>
            <w:tcW w:w="74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156.6 </w:t>
            </w:r>
          </w:p>
        </w:tc>
        <w:tc>
          <w:tcPr>
            <w:tcW w:w="564"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10.8 </w:t>
            </w:r>
          </w:p>
        </w:tc>
        <w:tc>
          <w:tcPr>
            <w:tcW w:w="564"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20.2 </w:t>
            </w:r>
          </w:p>
        </w:tc>
        <w:tc>
          <w:tcPr>
            <w:tcW w:w="528"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7.7 </w:t>
            </w:r>
          </w:p>
        </w:tc>
      </w:tr>
    </w:tbl>
    <w:p>
      <w:pPr>
        <w:pStyle w:val="4"/>
        <w:spacing w:before="156" w:beforeLines="50"/>
      </w:pPr>
      <w:bookmarkStart w:id="299" w:name="_Toc183631794"/>
      <w:bookmarkStart w:id="300" w:name="_Toc181983777"/>
      <w:bookmarkStart w:id="301" w:name="_Toc144301237"/>
      <w:bookmarkStart w:id="302" w:name="_Toc144301018"/>
      <w:bookmarkStart w:id="303" w:name="_Toc171197861"/>
      <w:bookmarkStart w:id="304" w:name="_Toc188636916"/>
      <w:r>
        <w:t>4.4.5</w:t>
      </w:r>
      <w:r>
        <w:rPr>
          <w:rFonts w:hint="eastAsia"/>
        </w:rPr>
        <w:t>尖山新区及周边区块</w:t>
      </w:r>
      <w:bookmarkEnd w:id="299"/>
      <w:bookmarkEnd w:id="300"/>
      <w:bookmarkEnd w:id="301"/>
      <w:bookmarkEnd w:id="302"/>
      <w:bookmarkEnd w:id="303"/>
      <w:bookmarkEnd w:id="304"/>
    </w:p>
    <w:p>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rPr>
        <w:t>近期，尖山新区将重点聚焦高端装备制造、新能源、新材料等产业，打造半导体基础材料园、智能厨电产业园、外资高新产业园、“万亩千亿”产业平台。近期，尖山新区及周边区块新增热用户</w:t>
      </w:r>
      <w:r>
        <w:rPr>
          <w:rFonts w:ascii="Times New Roman" w:hAnsi="Times New Roman" w:eastAsia="仿宋_GB2312" w:cs="Times New Roman"/>
          <w:sz w:val="28"/>
          <w:szCs w:val="28"/>
        </w:rPr>
        <w:t>29</w:t>
      </w:r>
      <w:r>
        <w:rPr>
          <w:rFonts w:hint="eastAsia" w:ascii="Times New Roman" w:hAnsi="Times New Roman" w:eastAsia="仿宋_GB2312" w:cs="Times New Roman"/>
          <w:sz w:val="28"/>
        </w:rPr>
        <w:t>家，主要为低压蒸汽和高压蒸汽用户，</w:t>
      </w:r>
      <w:r>
        <w:rPr>
          <w:rFonts w:hint="eastAsia" w:ascii="Times New Roman" w:hAnsi="Times New Roman" w:eastAsia="仿宋_GB2312" w:cs="Times New Roman"/>
          <w:sz w:val="28"/>
          <w:szCs w:val="28"/>
        </w:rPr>
        <w:t>低压蒸汽平均热负荷合计</w:t>
      </w:r>
      <w:r>
        <w:rPr>
          <w:rFonts w:ascii="Times New Roman" w:hAnsi="Times New Roman" w:eastAsia="仿宋_GB2312" w:cs="Times New Roman"/>
          <w:sz w:val="28"/>
          <w:szCs w:val="28"/>
        </w:rPr>
        <w:t>151.1t/h</w:t>
      </w:r>
      <w:r>
        <w:rPr>
          <w:rFonts w:hint="eastAsia" w:ascii="Times New Roman" w:hAnsi="Times New Roman" w:eastAsia="仿宋_GB2312" w:cs="Times New Roman"/>
          <w:sz w:val="28"/>
          <w:szCs w:val="28"/>
        </w:rPr>
        <w:t>，最大热负荷合计</w:t>
      </w:r>
      <w:r>
        <w:rPr>
          <w:rFonts w:ascii="Times New Roman" w:hAnsi="Times New Roman" w:eastAsia="仿宋_GB2312" w:cs="Times New Roman"/>
          <w:sz w:val="28"/>
          <w:szCs w:val="28"/>
        </w:rPr>
        <w:t>252.2</w:t>
      </w:r>
      <w:r>
        <w:rPr>
          <w:rFonts w:hint="eastAsia" w:ascii="Times New Roman" w:hAnsi="Times New Roman" w:eastAsia="仿宋_GB2312" w:cs="Times New Roman"/>
          <w:sz w:val="28"/>
          <w:szCs w:val="28"/>
        </w:rPr>
        <w:t>t</w:t>
      </w:r>
      <w:r>
        <w:rPr>
          <w:rFonts w:ascii="Times New Roman" w:hAnsi="Times New Roman" w:eastAsia="仿宋_GB2312" w:cs="Times New Roman"/>
          <w:sz w:val="28"/>
          <w:szCs w:val="28"/>
        </w:rPr>
        <w:t>/h</w:t>
      </w:r>
      <w:r>
        <w:rPr>
          <w:rFonts w:hint="eastAsia" w:ascii="Times New Roman" w:hAnsi="Times New Roman" w:eastAsia="仿宋_GB2312" w:cs="Times New Roman"/>
          <w:sz w:val="28"/>
          <w:szCs w:val="28"/>
        </w:rPr>
        <w:t>，高</w:t>
      </w:r>
      <w:r>
        <w:rPr>
          <w:rFonts w:hint="eastAsia" w:ascii="Times New Roman" w:hAnsi="Times New Roman" w:eastAsia="仿宋_GB2312" w:cs="Times New Roman"/>
          <w:sz w:val="28"/>
        </w:rPr>
        <w:t>压蒸汽</w:t>
      </w:r>
      <w:r>
        <w:rPr>
          <w:rFonts w:hint="eastAsia" w:ascii="Times New Roman" w:hAnsi="Times New Roman" w:eastAsia="仿宋_GB2312" w:cs="Times New Roman"/>
          <w:sz w:val="28"/>
          <w:szCs w:val="28"/>
        </w:rPr>
        <w:t>平均热负荷合计</w:t>
      </w:r>
      <w:r>
        <w:rPr>
          <w:rFonts w:ascii="Times New Roman" w:hAnsi="Times New Roman" w:eastAsia="仿宋_GB2312" w:cs="Times New Roman"/>
          <w:sz w:val="28"/>
          <w:szCs w:val="28"/>
        </w:rPr>
        <w:t>371t/h</w:t>
      </w:r>
      <w:r>
        <w:rPr>
          <w:rFonts w:hint="eastAsia" w:ascii="Times New Roman" w:hAnsi="Times New Roman" w:eastAsia="仿宋_GB2312" w:cs="Times New Roman"/>
          <w:sz w:val="28"/>
          <w:szCs w:val="28"/>
        </w:rPr>
        <w:t>，最大热负荷合计</w:t>
      </w:r>
      <w:r>
        <w:rPr>
          <w:rFonts w:ascii="Times New Roman" w:hAnsi="Times New Roman" w:eastAsia="仿宋_GB2312" w:cs="Times New Roman"/>
          <w:sz w:val="28"/>
          <w:szCs w:val="28"/>
        </w:rPr>
        <w:t>416t/h</w:t>
      </w:r>
      <w:r>
        <w:rPr>
          <w:rFonts w:hint="eastAsia"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综上所述，尖山新区及周边区块到2</w:t>
      </w:r>
      <w:r>
        <w:rPr>
          <w:rFonts w:ascii="Times New Roman" w:hAnsi="Times New Roman" w:eastAsia="仿宋_GB2312" w:cs="Times New Roman"/>
          <w:color w:val="000000" w:themeColor="text1"/>
          <w:sz w:val="28"/>
          <w14:textFill>
            <w14:solidFill>
              <w14:schemeClr w14:val="tx1"/>
            </w14:solidFill>
          </w14:textFill>
        </w:rPr>
        <w:t>026</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206.3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376.2</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，高压蒸汽平均热负荷</w:t>
      </w:r>
      <w:r>
        <w:rPr>
          <w:rFonts w:ascii="Times New Roman" w:hAnsi="Times New Roman" w:eastAsia="仿宋_GB2312" w:cs="Times New Roman"/>
          <w:color w:val="000000" w:themeColor="text1"/>
          <w:sz w:val="28"/>
          <w14:textFill>
            <w14:solidFill>
              <w14:schemeClr w14:val="tx1"/>
            </w14:solidFill>
          </w14:textFill>
        </w:rPr>
        <w:t>554.0</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641.0</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尖山新区及周边区块热用户少但热负荷规模大，</w:t>
      </w:r>
      <w:r>
        <w:rPr>
          <w:rFonts w:hint="eastAsia" w:ascii="Times New Roman" w:hAnsi="Times New Roman" w:eastAsia="仿宋_GB2312" w:cs="Times New Roman"/>
          <w:color w:val="000000" w:themeColor="text1"/>
          <w:sz w:val="28"/>
          <w14:textFill>
            <w14:solidFill>
              <w14:schemeClr w14:val="tx1"/>
            </w14:solidFill>
          </w14:textFill>
        </w:rPr>
        <w:t>根据</w:t>
      </w:r>
      <w:r>
        <w:rPr>
          <w:rFonts w:hint="eastAsia" w:ascii="Times New Roman" w:hAnsi="Times New Roman" w:eastAsia="仿宋_GB2312" w:cs="Times New Roman"/>
          <w:sz w:val="28"/>
        </w:rPr>
        <w:t>尖山新区及周边区块</w:t>
      </w:r>
      <w:r>
        <w:rPr>
          <w:rFonts w:hint="eastAsia" w:ascii="Times New Roman" w:hAnsi="Times New Roman" w:eastAsia="仿宋_GB2312" w:cs="Times New Roman"/>
          <w:sz w:val="28"/>
          <w:szCs w:val="28"/>
        </w:rPr>
        <w:t>热用户特性</w:t>
      </w:r>
      <w:r>
        <w:rPr>
          <w:rFonts w:ascii="Times New Roman" w:hAnsi="Times New Roman" w:eastAsia="仿宋_GB2312" w:cs="Times New Roman"/>
          <w:sz w:val="28"/>
          <w:szCs w:val="28"/>
        </w:rPr>
        <w:t>，考虑管损系数（取1.05）、焓折系数（取0.95）和同时系数（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0.9</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sz w:val="28"/>
        </w:rPr>
        <w:t>尖山新区及周边区块</w:t>
      </w:r>
      <w:r>
        <w:rPr>
          <w:rFonts w:hint="eastAsia" w:ascii="Times New Roman" w:hAnsi="Times New Roman" w:eastAsia="仿宋_GB2312" w:cs="Times New Roman"/>
          <w:sz w:val="28"/>
          <w:szCs w:val="28"/>
        </w:rPr>
        <w:t>到</w:t>
      </w:r>
      <w:r>
        <w:rPr>
          <w:rFonts w:ascii="Times New Roman" w:hAnsi="Times New Roman" w:eastAsia="仿宋_GB2312" w:cs="Times New Roman"/>
          <w:sz w:val="28"/>
          <w:szCs w:val="28"/>
        </w:rPr>
        <w:t>2026年低压蒸汽设计平均热负荷185.2t/h，最大热负荷300.2t/h</w:t>
      </w:r>
      <w:r>
        <w:rPr>
          <w:rFonts w:hint="eastAsia" w:ascii="Times New Roman" w:hAnsi="Times New Roman" w:eastAsia="仿宋_GB2312" w:cs="Times New Roman"/>
          <w:sz w:val="28"/>
          <w:szCs w:val="28"/>
        </w:rPr>
        <w:t>，高</w:t>
      </w:r>
      <w:r>
        <w:rPr>
          <w:rFonts w:ascii="Times New Roman" w:hAnsi="Times New Roman" w:eastAsia="仿宋_GB2312" w:cs="Times New Roman"/>
          <w:sz w:val="28"/>
          <w:szCs w:val="28"/>
        </w:rPr>
        <w:t>压蒸汽设计平均热负荷497.4t/h，最大热负荷511.5t/h。</w:t>
      </w:r>
    </w:p>
    <w:p>
      <w:pPr>
        <w:spacing w:line="580" w:lineRule="exact"/>
        <w:ind w:firstLine="560" w:firstLineChars="200"/>
        <w:rPr>
          <w:rFonts w:ascii="Times New Roman" w:hAnsi="Times New Roman" w:eastAsia="仿宋_GB2312" w:cs="Times New Roman"/>
          <w:sz w:val="28"/>
          <w:szCs w:val="28"/>
        </w:rPr>
      </w:pPr>
    </w:p>
    <w:p>
      <w:pPr>
        <w:spacing w:line="580" w:lineRule="exact"/>
        <w:ind w:firstLine="560" w:firstLineChars="200"/>
        <w:rPr>
          <w:rFonts w:ascii="Times New Roman" w:hAnsi="Times New Roman" w:eastAsia="仿宋_GB2312" w:cs="Times New Roman"/>
          <w:sz w:val="28"/>
          <w:highlight w:val="yellow"/>
        </w:rPr>
      </w:pPr>
    </w:p>
    <w:p>
      <w:pPr>
        <w:spacing w:line="580" w:lineRule="exact"/>
        <w:jc w:val="center"/>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4.4.5-1 </w:t>
      </w:r>
      <w:r>
        <w:rPr>
          <w:rFonts w:hint="eastAsia" w:ascii="黑体" w:hAnsi="黑体" w:eastAsia="黑体" w:cs="Times New Roman"/>
          <w:sz w:val="28"/>
          <w:szCs w:val="28"/>
        </w:rPr>
        <w:t>尖山新区及周边区块近期新增集中供热热用户</w:t>
      </w:r>
    </w:p>
    <w:tbl>
      <w:tblPr>
        <w:tblStyle w:val="24"/>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blHeader/>
          <w:jc w:val="center"/>
        </w:trPr>
        <w:tc>
          <w:tcPr>
            <w:tcW w:w="6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序号</w:t>
            </w:r>
          </w:p>
        </w:tc>
        <w:tc>
          <w:tcPr>
            <w:tcW w:w="152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热用户名称</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平均负荷(t/h)</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最大负荷(t/h)</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最小负荷(t/h)</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用汽温度(℃)</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600" w:type="dxa"/>
            <w:gridSpan w:val="7"/>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晶科能源（海宁）有限公司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20</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30</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10</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浙江光禾智谷生态农业有限公司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8</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15</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浙江亦阳新材料有限公司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8</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远盛沪防（浙江）建筑科技有限公司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海宁恋尚家装饰板材有限公司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浙江钜成新材料股份有限公司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海宁旭扬新材料有限公司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浙江万宝龙胶粘制品有限公司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浙江康豪诺特装饰材料有限公司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4</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4</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4</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浙江艾合新材料有限公司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4</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7</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元颉新材料科技（浙江）有限公司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15</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浙江海大环保科技有限公司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6</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浙江科隆光学新材料有限公司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8</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浙江卡麦隆科技有限公司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5</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7</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浙江博菲电气股份有限公司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6</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海宁合兴包装有限公司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1.5</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0.9</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浙江钱江生物化学股份有限公司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20</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30</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200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浙江陶特半导材料有限公司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180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浙江新胜油脂科技有限公司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180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浙江新创纳电子科技有限公司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4</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7</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3</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180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海宁嘉洲环保科技有限公司</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2</w:t>
            </w:r>
          </w:p>
        </w:tc>
        <w:tc>
          <w:tcPr>
            <w:tcW w:w="1280" w:type="dxa"/>
            <w:shd w:val="clear" w:color="auto" w:fill="auto"/>
            <w:vAlign w:val="center"/>
          </w:tcPr>
          <w:p>
            <w:pPr>
              <w:widowControl/>
              <w:jc w:val="center"/>
              <w:rPr>
                <w:rFonts w:ascii="Times New Roman" w:hAnsi="Times New Roman" w:eastAsia="微软雅黑" w:cs="Times New Roman"/>
                <w:color w:val="000000"/>
                <w:sz w:val="24"/>
                <w:szCs w:val="24"/>
              </w:rPr>
            </w:pPr>
            <w:r>
              <w:rPr>
                <w:rFonts w:ascii="Times New Roman" w:hAnsi="Times New Roman" w:eastAsia="微软雅黑" w:cs="Times New Roman"/>
                <w:color w:val="000000"/>
                <w:sz w:val="24"/>
                <w:szCs w:val="24"/>
              </w:rPr>
              <w:t>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180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微软雅黑" w:cs="Times New Roman"/>
                <w:color w:val="00000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5</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恒逸创新型绿色技术应用示范产业园项目</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20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w:t>
            </w:r>
            <w:r>
              <w:rPr>
                <w:rFonts w:ascii="Times New Roman" w:hAnsi="Times New Roman" w:eastAsia="仿宋_GB2312" w:cs="Times New Roman"/>
                <w:color w:val="000000"/>
                <w:kern w:val="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6</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万凯新材料</w:t>
            </w:r>
            <w:r>
              <w:rPr>
                <w:rFonts w:ascii="Times New Roman" w:hAnsi="Times New Roman" w:eastAsia="仿宋_GB2312" w:cs="Times New Roman"/>
                <w:color w:val="000000"/>
                <w:kern w:val="0"/>
                <w:sz w:val="24"/>
                <w:szCs w:val="24"/>
              </w:rPr>
              <w:t>75</w:t>
            </w:r>
            <w:r>
              <w:rPr>
                <w:rFonts w:hint="eastAsia" w:ascii="Times New Roman" w:hAnsi="Times New Roman" w:eastAsia="仿宋_GB2312" w:cs="Times New Roman"/>
                <w:color w:val="000000"/>
                <w:kern w:val="0"/>
                <w:sz w:val="24"/>
                <w:szCs w:val="24"/>
              </w:rPr>
              <w:t>万吨聚酯切片项目</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6.6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7.2</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p>
        </w:tc>
        <w:tc>
          <w:tcPr>
            <w:tcW w:w="152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低压蒸汽合计</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151.1</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252.2</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93</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600" w:type="dxa"/>
            <w:gridSpan w:val="7"/>
            <w:shd w:val="clear" w:color="auto" w:fill="auto"/>
            <w:noWrap/>
            <w:vAlign w:val="center"/>
          </w:tcPr>
          <w:p>
            <w:pPr>
              <w:widowControl/>
              <w:jc w:val="center"/>
              <w:rPr>
                <w:rFonts w:ascii="Times New Roman" w:hAnsi="Times New Roman" w:eastAsia="微软雅黑" w:cs="Times New Roman"/>
                <w:b/>
                <w:color w:val="FF0000"/>
                <w:sz w:val="24"/>
                <w:szCs w:val="24"/>
              </w:rPr>
            </w:pPr>
            <w:r>
              <w:rPr>
                <w:rFonts w:hint="eastAsia" w:ascii="Times New Roman" w:hAnsi="Times New Roman" w:eastAsia="仿宋_GB2312" w:cs="Times New Roman"/>
                <w:b/>
                <w:kern w:val="0"/>
                <w:sz w:val="24"/>
                <w:szCs w:val="24"/>
              </w:rPr>
              <w:t>高压蒸汽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7</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恒逸创新型绿色技术应用示范产业园项目</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40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8</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万凯新材料</w:t>
            </w:r>
            <w:r>
              <w:rPr>
                <w:rFonts w:ascii="Times New Roman" w:hAnsi="Times New Roman" w:eastAsia="仿宋_GB2312" w:cs="Times New Roman"/>
                <w:color w:val="000000"/>
                <w:kern w:val="0"/>
                <w:sz w:val="24"/>
                <w:szCs w:val="24"/>
              </w:rPr>
              <w:t>75</w:t>
            </w:r>
            <w:r>
              <w:rPr>
                <w:rFonts w:hint="eastAsia" w:ascii="Times New Roman" w:hAnsi="Times New Roman" w:eastAsia="仿宋_GB2312" w:cs="Times New Roman"/>
                <w:color w:val="000000"/>
                <w:kern w:val="0"/>
                <w:sz w:val="24"/>
                <w:szCs w:val="24"/>
              </w:rPr>
              <w:t>万吨聚酯切片项目</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101</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116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8</w:t>
            </w:r>
            <w:r>
              <w:rPr>
                <w:rFonts w:ascii="Times New Roman" w:hAnsi="Times New Roman" w:eastAsia="仿宋_GB2312" w:cs="Times New Roman"/>
                <w:color w:val="000000"/>
                <w:kern w:val="0"/>
                <w:sz w:val="24"/>
                <w:szCs w:val="24"/>
              </w:rPr>
              <w:t>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395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英德赛</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w:t>
            </w:r>
            <w:r>
              <w:rPr>
                <w:rFonts w:ascii="Times New Roman" w:hAnsi="Times New Roman" w:eastAsia="仿宋_GB2312" w:cs="Times New Roman"/>
                <w:color w:val="000000"/>
                <w:kern w:val="0"/>
                <w:sz w:val="24"/>
                <w:szCs w:val="24"/>
              </w:rPr>
              <w:t>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6</w:t>
            </w:r>
            <w:r>
              <w:rPr>
                <w:rFonts w:ascii="Times New Roman" w:hAnsi="Times New Roman" w:eastAsia="仿宋_GB2312" w:cs="Times New Roman"/>
                <w:color w:val="000000"/>
                <w:kern w:val="0"/>
                <w:sz w:val="24"/>
                <w:szCs w:val="24"/>
              </w:rPr>
              <w:t>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w:t>
            </w:r>
            <w:r>
              <w:rPr>
                <w:rFonts w:ascii="Times New Roman" w:hAnsi="Times New Roman" w:eastAsia="仿宋_GB2312" w:cs="Times New Roman"/>
                <w:color w:val="000000"/>
                <w:kern w:val="0"/>
                <w:sz w:val="24"/>
                <w:szCs w:val="24"/>
              </w:rPr>
              <w:t>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w:t>
            </w:r>
            <w:r>
              <w:rPr>
                <w:rFonts w:ascii="Times New Roman" w:hAnsi="Times New Roman" w:eastAsia="仿宋_GB2312" w:cs="Times New Roman"/>
                <w:color w:val="000000"/>
                <w:kern w:val="0"/>
                <w:sz w:val="24"/>
                <w:szCs w:val="24"/>
              </w:rPr>
              <w:t>00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6</w:t>
            </w:r>
            <w:r>
              <w:rPr>
                <w:rFonts w:ascii="Times New Roman" w:hAnsi="Times New Roman" w:eastAsia="仿宋_GB2312" w:cs="Times New Roman"/>
                <w:color w:val="000000"/>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p>
        </w:tc>
        <w:tc>
          <w:tcPr>
            <w:tcW w:w="152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高压蒸汽合计</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371</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416</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320</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p>
        </w:tc>
      </w:tr>
    </w:tbl>
    <w:p>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4.4.5-2 </w:t>
      </w:r>
      <w:r>
        <w:rPr>
          <w:rFonts w:hint="eastAsia" w:ascii="黑体" w:hAnsi="黑体" w:eastAsia="黑体" w:cs="Times New Roman"/>
          <w:sz w:val="28"/>
          <w:szCs w:val="28"/>
        </w:rPr>
        <w:t>尖山新区及周边区块近期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954"/>
        <w:gridCol w:w="857"/>
        <w:gridCol w:w="1050"/>
        <w:gridCol w:w="1050"/>
        <w:gridCol w:w="1050"/>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5" w:type="pct"/>
            <w:vMerge w:val="restart"/>
          </w:tcPr>
          <w:p>
            <w:pPr>
              <w:jc w:val="center"/>
              <w:rPr>
                <w:rFonts w:ascii="Times New Roman" w:hAnsi="Times New Roman" w:eastAsia="仿宋_GB2312" w:cs="Times New Roman"/>
                <w:sz w:val="24"/>
                <w:szCs w:val="24"/>
              </w:rPr>
            </w:pPr>
          </w:p>
        </w:tc>
        <w:tc>
          <w:tcPr>
            <w:tcW w:w="1599" w:type="pct"/>
            <w:gridSpan w:val="3"/>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低压蒸汽（t/h）</w:t>
            </w:r>
          </w:p>
        </w:tc>
        <w:tc>
          <w:tcPr>
            <w:tcW w:w="2166" w:type="pct"/>
            <w:gridSpan w:val="3"/>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高</w:t>
            </w:r>
            <w:r>
              <w:rPr>
                <w:rFonts w:ascii="Times New Roman" w:hAnsi="Times New Roman" w:eastAsia="仿宋_GB2312" w:cs="Times New Roman"/>
                <w:b/>
                <w:sz w:val="24"/>
                <w:szCs w:val="24"/>
              </w:rPr>
              <w:t>压蒸汽（t/h）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5" w:type="pct"/>
            <w:vMerge w:val="continue"/>
          </w:tcPr>
          <w:p>
            <w:pPr>
              <w:jc w:val="center"/>
              <w:rPr>
                <w:rFonts w:ascii="Times New Roman" w:hAnsi="Times New Roman" w:eastAsia="仿宋_GB2312" w:cs="Times New Roman"/>
                <w:sz w:val="24"/>
                <w:szCs w:val="24"/>
              </w:rPr>
            </w:pPr>
          </w:p>
        </w:tc>
        <w:tc>
          <w:tcPr>
            <w:tcW w:w="53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479"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587"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c>
          <w:tcPr>
            <w:tcW w:w="587"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587"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992"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5"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现状热负荷</w:t>
            </w:r>
          </w:p>
        </w:tc>
        <w:tc>
          <w:tcPr>
            <w:tcW w:w="53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55.2</w:t>
            </w:r>
          </w:p>
        </w:tc>
        <w:tc>
          <w:tcPr>
            <w:tcW w:w="479"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124</w:t>
            </w:r>
          </w:p>
        </w:tc>
        <w:tc>
          <w:tcPr>
            <w:tcW w:w="587"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29.3</w:t>
            </w:r>
          </w:p>
        </w:tc>
        <w:tc>
          <w:tcPr>
            <w:tcW w:w="587"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183</w:t>
            </w:r>
          </w:p>
        </w:tc>
        <w:tc>
          <w:tcPr>
            <w:tcW w:w="587"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225</w:t>
            </w:r>
          </w:p>
        </w:tc>
        <w:tc>
          <w:tcPr>
            <w:tcW w:w="992"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5"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53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151.1</w:t>
            </w:r>
          </w:p>
        </w:tc>
        <w:tc>
          <w:tcPr>
            <w:tcW w:w="479"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252.2</w:t>
            </w:r>
          </w:p>
        </w:tc>
        <w:tc>
          <w:tcPr>
            <w:tcW w:w="587"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93</w:t>
            </w:r>
          </w:p>
        </w:tc>
        <w:tc>
          <w:tcPr>
            <w:tcW w:w="587"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371</w:t>
            </w:r>
          </w:p>
        </w:tc>
        <w:tc>
          <w:tcPr>
            <w:tcW w:w="587"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416</w:t>
            </w:r>
          </w:p>
        </w:tc>
        <w:tc>
          <w:tcPr>
            <w:tcW w:w="992"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5"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近期热负荷</w:t>
            </w:r>
          </w:p>
        </w:tc>
        <w:tc>
          <w:tcPr>
            <w:tcW w:w="533" w:type="pct"/>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206.3</w:t>
            </w:r>
          </w:p>
        </w:tc>
        <w:tc>
          <w:tcPr>
            <w:tcW w:w="479" w:type="pct"/>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376.2</w:t>
            </w:r>
          </w:p>
        </w:tc>
        <w:tc>
          <w:tcPr>
            <w:tcW w:w="587" w:type="pct"/>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122.3</w:t>
            </w:r>
          </w:p>
        </w:tc>
        <w:tc>
          <w:tcPr>
            <w:tcW w:w="587" w:type="pct"/>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554.0</w:t>
            </w:r>
          </w:p>
        </w:tc>
        <w:tc>
          <w:tcPr>
            <w:tcW w:w="587" w:type="pct"/>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641.0</w:t>
            </w:r>
          </w:p>
        </w:tc>
        <w:tc>
          <w:tcPr>
            <w:tcW w:w="992" w:type="pct"/>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35"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53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185.2 </w:t>
            </w:r>
          </w:p>
        </w:tc>
        <w:tc>
          <w:tcPr>
            <w:tcW w:w="479"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300.2 </w:t>
            </w:r>
          </w:p>
        </w:tc>
        <w:tc>
          <w:tcPr>
            <w:tcW w:w="587"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122.0 </w:t>
            </w:r>
          </w:p>
        </w:tc>
        <w:tc>
          <w:tcPr>
            <w:tcW w:w="587"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497.4 </w:t>
            </w:r>
          </w:p>
        </w:tc>
        <w:tc>
          <w:tcPr>
            <w:tcW w:w="587"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511.5 </w:t>
            </w:r>
          </w:p>
        </w:tc>
        <w:tc>
          <w:tcPr>
            <w:tcW w:w="992"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 xml:space="preserve">459.8 </w:t>
            </w:r>
          </w:p>
        </w:tc>
      </w:tr>
    </w:tbl>
    <w:p>
      <w:pPr>
        <w:pStyle w:val="3"/>
        <w:spacing w:before="156" w:beforeLines="50"/>
      </w:pPr>
      <w:bookmarkStart w:id="305" w:name="_Toc188636917"/>
      <w:bookmarkStart w:id="306" w:name="_Toc111225950"/>
      <w:bookmarkStart w:id="307" w:name="_Toc68800930"/>
      <w:bookmarkStart w:id="308" w:name="_Toc78117409"/>
      <w:bookmarkStart w:id="309" w:name="_Toc51232975"/>
      <w:bookmarkStart w:id="310" w:name="_Toc110677092"/>
      <w:bookmarkStart w:id="311" w:name="_Toc52265904"/>
      <w:bookmarkStart w:id="312" w:name="_Toc82546924"/>
      <w:bookmarkStart w:id="313" w:name="_Toc110595630"/>
      <w:r>
        <w:t>4.5</w:t>
      </w:r>
      <w:r>
        <w:rPr>
          <w:rFonts w:hint="eastAsia"/>
        </w:rPr>
        <w:t>远期热负荷预测</w:t>
      </w:r>
      <w:bookmarkEnd w:id="305"/>
    </w:p>
    <w:p>
      <w:pPr>
        <w:pStyle w:val="4"/>
      </w:pPr>
      <w:bookmarkStart w:id="314" w:name="_Toc188636918"/>
      <w:r>
        <w:t>4.5.1</w:t>
      </w:r>
      <w:r>
        <w:rPr>
          <w:rFonts w:hint="eastAsia"/>
        </w:rPr>
        <w:t>中心城区北部及周边区块</w:t>
      </w:r>
      <w:bookmarkEnd w:id="314"/>
    </w:p>
    <w:p>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远期，考虑到中心城区北部及周边区块实际情况，暂定远期该区块热负荷不变，考虑管损系数（取1</w:t>
      </w:r>
      <w:r>
        <w:rPr>
          <w:rFonts w:ascii="Times New Roman" w:hAnsi="Times New Roman" w:eastAsia="仿宋_GB2312" w:cs="Times New Roman"/>
          <w:sz w:val="28"/>
          <w:szCs w:val="28"/>
        </w:rPr>
        <w:t>.05</w:t>
      </w:r>
      <w:r>
        <w:rPr>
          <w:rFonts w:hint="eastAsia" w:ascii="Times New Roman" w:hAnsi="Times New Roman" w:eastAsia="仿宋_GB2312" w:cs="Times New Roman"/>
          <w:sz w:val="28"/>
          <w:szCs w:val="28"/>
        </w:rPr>
        <w:t>）、焓折系数（取0.</w:t>
      </w:r>
      <w:r>
        <w:rPr>
          <w:rFonts w:ascii="Times New Roman" w:hAnsi="Times New Roman" w:eastAsia="仿宋_GB2312" w:cs="Times New Roman"/>
          <w:sz w:val="28"/>
          <w:szCs w:val="28"/>
        </w:rPr>
        <w:t>95</w:t>
      </w:r>
      <w:r>
        <w:rPr>
          <w:rFonts w:hint="eastAsia" w:ascii="Times New Roman" w:hAnsi="Times New Roman" w:eastAsia="仿宋_GB2312" w:cs="Times New Roman"/>
          <w:sz w:val="28"/>
          <w:szCs w:val="28"/>
        </w:rPr>
        <w:t>）和同时系数（最大热负荷同时系数取</w:t>
      </w:r>
      <w:r>
        <w:rPr>
          <w:rFonts w:ascii="Times New Roman" w:hAnsi="Times New Roman" w:eastAsia="仿宋_GB2312" w:cs="Times New Roman"/>
          <w:sz w:val="28"/>
          <w:szCs w:val="28"/>
        </w:rPr>
        <w:t>0.6</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szCs w:val="28"/>
        </w:rPr>
        <w:t>预测</w:t>
      </w:r>
      <w:r>
        <w:rPr>
          <w:rFonts w:hint="eastAsia" w:ascii="Times New Roman" w:hAnsi="Times New Roman" w:eastAsia="仿宋_GB2312" w:cs="Times New Roman"/>
          <w:sz w:val="28"/>
        </w:rPr>
        <w:t>中心城区北部及周边区块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030</w:t>
      </w:r>
      <w:r>
        <w:rPr>
          <w:rFonts w:hint="eastAsia" w:ascii="Times New Roman" w:hAnsi="Times New Roman" w:eastAsia="仿宋_GB2312" w:cs="Times New Roman"/>
          <w:color w:val="000000" w:themeColor="text1"/>
          <w:sz w:val="28"/>
          <w14:textFill>
            <w14:solidFill>
              <w14:schemeClr w14:val="tx1"/>
            </w14:solidFill>
          </w14:textFill>
        </w:rPr>
        <w:t>年低压蒸汽设计平均热负荷</w:t>
      </w:r>
      <w:r>
        <w:rPr>
          <w:rFonts w:ascii="Times New Roman" w:hAnsi="Times New Roman" w:eastAsia="仿宋_GB2312" w:cs="Times New Roman"/>
          <w:color w:val="000000" w:themeColor="text1"/>
          <w:sz w:val="28"/>
          <w14:textFill>
            <w14:solidFill>
              <w14:schemeClr w14:val="tx1"/>
            </w14:solidFill>
          </w14:textFill>
        </w:rPr>
        <w:t>70.3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187.5</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p>
    <w:p>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4.5.1-1 </w:t>
      </w:r>
      <w:r>
        <w:rPr>
          <w:rFonts w:hint="eastAsia" w:ascii="黑体" w:hAnsi="黑体" w:eastAsia="黑体" w:cs="Times New Roman"/>
          <w:sz w:val="28"/>
          <w:szCs w:val="28"/>
        </w:rPr>
        <w:t>中心城区北部及周边区块远期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7"/>
        <w:gridCol w:w="1282"/>
        <w:gridCol w:w="1163"/>
        <w:gridCol w:w="1281"/>
        <w:gridCol w:w="902"/>
        <w:gridCol w:w="1163"/>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50" w:type="pct"/>
            <w:vMerge w:val="restart"/>
          </w:tcPr>
          <w:p>
            <w:pPr>
              <w:jc w:val="center"/>
              <w:rPr>
                <w:rFonts w:ascii="Times New Roman" w:hAnsi="Times New Roman" w:eastAsia="仿宋_GB2312" w:cs="Times New Roman"/>
                <w:sz w:val="24"/>
                <w:szCs w:val="24"/>
              </w:rPr>
            </w:pPr>
          </w:p>
        </w:tc>
        <w:tc>
          <w:tcPr>
            <w:tcW w:w="2083" w:type="pct"/>
            <w:gridSpan w:val="3"/>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低压蒸汽（t/h）</w:t>
            </w:r>
          </w:p>
        </w:tc>
        <w:tc>
          <w:tcPr>
            <w:tcW w:w="1767" w:type="pct"/>
            <w:gridSpan w:val="3"/>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w:t>
            </w:r>
            <w:r>
              <w:rPr>
                <w:rFonts w:ascii="Times New Roman" w:hAnsi="Times New Roman" w:eastAsia="仿宋_GB2312" w:cs="Times New Roman"/>
                <w:b/>
                <w:sz w:val="24"/>
                <w:szCs w:val="24"/>
              </w:rPr>
              <w:t>压蒸汽（t/h）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50" w:type="pct"/>
            <w:vMerge w:val="continue"/>
          </w:tcPr>
          <w:p>
            <w:pPr>
              <w:jc w:val="center"/>
              <w:rPr>
                <w:rFonts w:ascii="Times New Roman" w:hAnsi="Times New Roman" w:eastAsia="仿宋_GB2312" w:cs="Times New Roman"/>
                <w:sz w:val="24"/>
                <w:szCs w:val="24"/>
              </w:rPr>
            </w:pPr>
          </w:p>
        </w:tc>
        <w:tc>
          <w:tcPr>
            <w:tcW w:w="717"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650"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716"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c>
          <w:tcPr>
            <w:tcW w:w="5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650"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6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50"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现状热负荷</w:t>
            </w:r>
          </w:p>
        </w:tc>
        <w:tc>
          <w:tcPr>
            <w:tcW w:w="717"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115.6</w:t>
            </w:r>
          </w:p>
        </w:tc>
        <w:tc>
          <w:tcPr>
            <w:tcW w:w="650"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309.3</w:t>
            </w:r>
          </w:p>
        </w:tc>
        <w:tc>
          <w:tcPr>
            <w:tcW w:w="716"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58.1</w:t>
            </w:r>
          </w:p>
        </w:tc>
        <w:tc>
          <w:tcPr>
            <w:tcW w:w="504"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650"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c>
          <w:tcPr>
            <w:tcW w:w="61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50"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717"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1.84</w:t>
            </w:r>
          </w:p>
        </w:tc>
        <w:tc>
          <w:tcPr>
            <w:tcW w:w="650"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w:t>
            </w:r>
          </w:p>
        </w:tc>
        <w:tc>
          <w:tcPr>
            <w:tcW w:w="716"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w:t>
            </w:r>
          </w:p>
        </w:tc>
        <w:tc>
          <w:tcPr>
            <w:tcW w:w="504"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650"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c>
          <w:tcPr>
            <w:tcW w:w="61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50"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远期新增热负荷</w:t>
            </w:r>
          </w:p>
        </w:tc>
        <w:tc>
          <w:tcPr>
            <w:tcW w:w="717"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650"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716"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504"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650"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c>
          <w:tcPr>
            <w:tcW w:w="61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50"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远期热负荷</w:t>
            </w:r>
          </w:p>
        </w:tc>
        <w:tc>
          <w:tcPr>
            <w:tcW w:w="717"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117.4</w:t>
            </w:r>
          </w:p>
        </w:tc>
        <w:tc>
          <w:tcPr>
            <w:tcW w:w="650"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313.3</w:t>
            </w:r>
          </w:p>
        </w:tc>
        <w:tc>
          <w:tcPr>
            <w:tcW w:w="716"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59.2</w:t>
            </w:r>
          </w:p>
        </w:tc>
        <w:tc>
          <w:tcPr>
            <w:tcW w:w="504"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650"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c>
          <w:tcPr>
            <w:tcW w:w="61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50"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717"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93.7 </w:t>
            </w:r>
          </w:p>
        </w:tc>
        <w:tc>
          <w:tcPr>
            <w:tcW w:w="650"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187.5 </w:t>
            </w:r>
          </w:p>
        </w:tc>
        <w:tc>
          <w:tcPr>
            <w:tcW w:w="716"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59.1 </w:t>
            </w:r>
          </w:p>
        </w:tc>
        <w:tc>
          <w:tcPr>
            <w:tcW w:w="504" w:type="pct"/>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0.0</w:t>
            </w:r>
          </w:p>
        </w:tc>
        <w:tc>
          <w:tcPr>
            <w:tcW w:w="650"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c>
          <w:tcPr>
            <w:tcW w:w="61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0.0</w:t>
            </w:r>
          </w:p>
        </w:tc>
      </w:tr>
    </w:tbl>
    <w:p>
      <w:pPr>
        <w:spacing w:line="580" w:lineRule="exact"/>
        <w:ind w:firstLine="560" w:firstLineChars="200"/>
        <w:rPr>
          <w:rFonts w:ascii="Times New Roman" w:hAnsi="Times New Roman" w:eastAsia="仿宋_GB2312" w:cs="Times New Roman"/>
          <w:sz w:val="28"/>
          <w:szCs w:val="28"/>
        </w:rPr>
      </w:pPr>
    </w:p>
    <w:p>
      <w:pPr>
        <w:pStyle w:val="4"/>
      </w:pPr>
      <w:bookmarkStart w:id="315" w:name="_Toc188636919"/>
      <w:r>
        <w:t>4.5.2</w:t>
      </w:r>
      <w:r>
        <w:rPr>
          <w:rFonts w:hint="eastAsia"/>
        </w:rPr>
        <w:t>中心城区南部及周边区块</w:t>
      </w:r>
      <w:bookmarkEnd w:id="315"/>
    </w:p>
    <w:p>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远期，中心城区南部及周边区块暂按</w:t>
      </w:r>
      <w:r>
        <w:rPr>
          <w:rFonts w:ascii="Times New Roman" w:hAnsi="Times New Roman" w:eastAsia="仿宋_GB2312" w:cs="Times New Roman"/>
          <w:sz w:val="28"/>
          <w:szCs w:val="28"/>
        </w:rPr>
        <w:t>1%进行热负荷增长预测，</w:t>
      </w:r>
      <w:r>
        <w:rPr>
          <w:rFonts w:hint="eastAsia" w:ascii="Times New Roman" w:hAnsi="Times New Roman" w:eastAsia="仿宋_GB2312" w:cs="Times New Roman"/>
          <w:sz w:val="28"/>
          <w:szCs w:val="28"/>
        </w:rPr>
        <w:t>预计新增</w:t>
      </w:r>
      <w:r>
        <w:rPr>
          <w:rFonts w:ascii="Times New Roman" w:hAnsi="Times New Roman" w:eastAsia="仿宋_GB2312" w:cs="Times New Roman"/>
          <w:sz w:val="28"/>
          <w:szCs w:val="28"/>
        </w:rPr>
        <w:t>低压蒸汽平均热负荷11.0t/h，最大热负荷20.0t/h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压蒸汽平均热负荷2.5t/h，最大热负荷3.4t/h。</w:t>
      </w:r>
      <w:r>
        <w:rPr>
          <w:rFonts w:hint="eastAsia" w:ascii="Times New Roman" w:hAnsi="Times New Roman" w:eastAsia="仿宋_GB2312" w:cs="Times New Roman"/>
          <w:color w:val="000000" w:themeColor="text1"/>
          <w:sz w:val="28"/>
          <w14:textFill>
            <w14:solidFill>
              <w14:schemeClr w14:val="tx1"/>
            </w14:solidFill>
          </w14:textFill>
        </w:rPr>
        <w:t>综上所述，预测</w:t>
      </w:r>
      <w:r>
        <w:rPr>
          <w:rFonts w:hint="eastAsia" w:ascii="Times New Roman" w:hAnsi="Times New Roman" w:eastAsia="仿宋_GB2312" w:cs="Times New Roman"/>
          <w:sz w:val="28"/>
        </w:rPr>
        <w:t>中心城区南部及周边区块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030</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282.3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511.8</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，中压蒸汽平均热负荷</w:t>
      </w:r>
      <w:r>
        <w:rPr>
          <w:rFonts w:ascii="Times New Roman" w:hAnsi="Times New Roman" w:eastAsia="仿宋_GB2312" w:cs="Times New Roman"/>
          <w:color w:val="000000" w:themeColor="text1"/>
          <w:sz w:val="28"/>
          <w14:textFill>
            <w14:solidFill>
              <w14:schemeClr w14:val="tx1"/>
            </w14:solidFill>
          </w14:textFill>
        </w:rPr>
        <w:t>63.4</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86.8</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szCs w:val="28"/>
        </w:rPr>
        <w:t>中心城区南部及周边区块热用户数量多</w:t>
      </w:r>
      <w:r>
        <w:rPr>
          <w:rFonts w:ascii="Times New Roman" w:hAnsi="Times New Roman" w:eastAsia="仿宋_GB2312" w:cs="Times New Roman"/>
          <w:sz w:val="28"/>
          <w:szCs w:val="28"/>
        </w:rPr>
        <w:t>且规模小，考虑管损系数（取1.05）、焓折系数（取0.95）和同时系数（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0.6</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预测</w:t>
      </w:r>
      <w:r>
        <w:rPr>
          <w:rFonts w:hint="eastAsia" w:ascii="Times New Roman" w:hAnsi="Times New Roman" w:eastAsia="仿宋_GB2312" w:cs="Times New Roman"/>
          <w:sz w:val="28"/>
          <w:szCs w:val="28"/>
        </w:rPr>
        <w:t>中心城区南部及周边区块到</w:t>
      </w:r>
      <w:r>
        <w:rPr>
          <w:rFonts w:ascii="Times New Roman" w:hAnsi="Times New Roman" w:eastAsia="仿宋_GB2312" w:cs="Times New Roman"/>
          <w:sz w:val="28"/>
          <w:szCs w:val="28"/>
        </w:rPr>
        <w:t>2030年低压蒸汽设计平均热负荷225.3t/h，最大热负荷306.3t/h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压蒸汽设计平均热负荷50.6t/h，最大热负荷51.9t/h。</w:t>
      </w:r>
    </w:p>
    <w:p>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4.5.2-1 </w:t>
      </w:r>
      <w:r>
        <w:rPr>
          <w:rFonts w:hint="eastAsia" w:ascii="黑体" w:hAnsi="黑体" w:eastAsia="黑体" w:cs="Times New Roman"/>
          <w:sz w:val="28"/>
          <w:szCs w:val="28"/>
        </w:rPr>
        <w:t>中心城区南部及周边区块远期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1261"/>
        <w:gridCol w:w="1261"/>
        <w:gridCol w:w="1031"/>
        <w:gridCol w:w="1031"/>
        <w:gridCol w:w="1031"/>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Merge w:val="restart"/>
          </w:tcPr>
          <w:p>
            <w:pPr>
              <w:jc w:val="center"/>
              <w:rPr>
                <w:rFonts w:ascii="Times New Roman" w:hAnsi="Times New Roman" w:eastAsia="仿宋_GB2312" w:cs="Times New Roman"/>
                <w:sz w:val="24"/>
                <w:szCs w:val="24"/>
              </w:rPr>
            </w:pPr>
          </w:p>
        </w:tc>
        <w:tc>
          <w:tcPr>
            <w:tcW w:w="1985" w:type="pct"/>
            <w:gridSpan w:val="3"/>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低压蒸汽（t/h）</w:t>
            </w:r>
          </w:p>
        </w:tc>
        <w:tc>
          <w:tcPr>
            <w:tcW w:w="2075" w:type="pct"/>
            <w:gridSpan w:val="3"/>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w:t>
            </w:r>
            <w:r>
              <w:rPr>
                <w:rFonts w:ascii="Times New Roman" w:hAnsi="Times New Roman" w:eastAsia="仿宋_GB2312" w:cs="Times New Roman"/>
                <w:b/>
                <w:sz w:val="24"/>
                <w:szCs w:val="24"/>
              </w:rPr>
              <w:t>压蒸汽（t/h）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Merge w:val="continue"/>
          </w:tcPr>
          <w:p>
            <w:pPr>
              <w:jc w:val="center"/>
              <w:rPr>
                <w:rFonts w:ascii="Times New Roman" w:hAnsi="Times New Roman" w:eastAsia="仿宋_GB2312" w:cs="Times New Roman"/>
                <w:sz w:val="24"/>
                <w:szCs w:val="24"/>
              </w:rPr>
            </w:pPr>
          </w:p>
        </w:tc>
        <w:tc>
          <w:tcPr>
            <w:tcW w:w="705"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705"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576"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c>
          <w:tcPr>
            <w:tcW w:w="576"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576"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92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现状热负荷</w:t>
            </w:r>
          </w:p>
        </w:tc>
        <w:tc>
          <w:tcPr>
            <w:tcW w:w="705"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sz w:val="24"/>
                <w:szCs w:val="24"/>
              </w:rPr>
              <w:t>250.6</w:t>
            </w:r>
          </w:p>
        </w:tc>
        <w:tc>
          <w:tcPr>
            <w:tcW w:w="705"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465.2</w:t>
            </w:r>
          </w:p>
        </w:tc>
        <w:tc>
          <w:tcPr>
            <w:tcW w:w="576"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66.3</w:t>
            </w:r>
          </w:p>
        </w:tc>
        <w:tc>
          <w:tcPr>
            <w:tcW w:w="576"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56.7</w:t>
            </w:r>
          </w:p>
        </w:tc>
        <w:tc>
          <w:tcPr>
            <w:tcW w:w="576"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77.9</w:t>
            </w:r>
          </w:p>
        </w:tc>
        <w:tc>
          <w:tcPr>
            <w:tcW w:w="92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705"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20.7</w:t>
            </w:r>
          </w:p>
        </w:tc>
        <w:tc>
          <w:tcPr>
            <w:tcW w:w="705"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26.6</w:t>
            </w:r>
          </w:p>
        </w:tc>
        <w:tc>
          <w:tcPr>
            <w:tcW w:w="576"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4.9</w:t>
            </w:r>
          </w:p>
        </w:tc>
        <w:tc>
          <w:tcPr>
            <w:tcW w:w="576"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4.2</w:t>
            </w:r>
          </w:p>
        </w:tc>
        <w:tc>
          <w:tcPr>
            <w:tcW w:w="576"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5.5</w:t>
            </w:r>
          </w:p>
        </w:tc>
        <w:tc>
          <w:tcPr>
            <w:tcW w:w="92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远期新增热负荷</w:t>
            </w:r>
          </w:p>
        </w:tc>
        <w:tc>
          <w:tcPr>
            <w:tcW w:w="705"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11.0</w:t>
            </w:r>
          </w:p>
        </w:tc>
        <w:tc>
          <w:tcPr>
            <w:tcW w:w="705"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20.0</w:t>
            </w:r>
          </w:p>
        </w:tc>
        <w:tc>
          <w:tcPr>
            <w:tcW w:w="576"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2.9</w:t>
            </w:r>
          </w:p>
        </w:tc>
        <w:tc>
          <w:tcPr>
            <w:tcW w:w="576"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2.5</w:t>
            </w:r>
          </w:p>
        </w:tc>
        <w:tc>
          <w:tcPr>
            <w:tcW w:w="576"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3.4</w:t>
            </w:r>
          </w:p>
        </w:tc>
        <w:tc>
          <w:tcPr>
            <w:tcW w:w="92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远期热负荷</w:t>
            </w:r>
          </w:p>
        </w:tc>
        <w:tc>
          <w:tcPr>
            <w:tcW w:w="705"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282.3</w:t>
            </w:r>
          </w:p>
        </w:tc>
        <w:tc>
          <w:tcPr>
            <w:tcW w:w="705"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511.8</w:t>
            </w:r>
          </w:p>
        </w:tc>
        <w:tc>
          <w:tcPr>
            <w:tcW w:w="576"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74.1</w:t>
            </w:r>
          </w:p>
        </w:tc>
        <w:tc>
          <w:tcPr>
            <w:tcW w:w="576"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63.4</w:t>
            </w:r>
          </w:p>
        </w:tc>
        <w:tc>
          <w:tcPr>
            <w:tcW w:w="576"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86.8</w:t>
            </w:r>
          </w:p>
        </w:tc>
        <w:tc>
          <w:tcPr>
            <w:tcW w:w="92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0"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705"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 xml:space="preserve">225.3 </w:t>
            </w:r>
          </w:p>
        </w:tc>
        <w:tc>
          <w:tcPr>
            <w:tcW w:w="705"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 xml:space="preserve">306.3 </w:t>
            </w:r>
          </w:p>
        </w:tc>
        <w:tc>
          <w:tcPr>
            <w:tcW w:w="576"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 xml:space="preserve">73.9 </w:t>
            </w:r>
          </w:p>
        </w:tc>
        <w:tc>
          <w:tcPr>
            <w:tcW w:w="576"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 xml:space="preserve">50.6 </w:t>
            </w:r>
          </w:p>
        </w:tc>
        <w:tc>
          <w:tcPr>
            <w:tcW w:w="576"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 xml:space="preserve">51.9 </w:t>
            </w:r>
          </w:p>
        </w:tc>
        <w:tc>
          <w:tcPr>
            <w:tcW w:w="923" w:type="pct"/>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 xml:space="preserve">23.6 </w:t>
            </w:r>
          </w:p>
        </w:tc>
      </w:tr>
    </w:tbl>
    <w:p>
      <w:pPr>
        <w:spacing w:line="580" w:lineRule="exact"/>
        <w:ind w:firstLine="560" w:firstLineChars="200"/>
        <w:rPr>
          <w:rFonts w:ascii="Times New Roman" w:hAnsi="Times New Roman" w:eastAsia="仿宋_GB2312" w:cs="Times New Roman"/>
          <w:sz w:val="28"/>
          <w:szCs w:val="28"/>
        </w:rPr>
      </w:pPr>
    </w:p>
    <w:p>
      <w:pPr>
        <w:pStyle w:val="4"/>
      </w:pPr>
      <w:bookmarkStart w:id="316" w:name="_Toc188636920"/>
      <w:r>
        <w:t>4.5.3</w:t>
      </w:r>
      <w:r>
        <w:rPr>
          <w:rFonts w:hint="eastAsia"/>
        </w:rPr>
        <w:t>长安及周边区块</w:t>
      </w:r>
      <w:bookmarkEnd w:id="316"/>
    </w:p>
    <w:p>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远期，长安及周边区块暂按</w:t>
      </w:r>
      <w:r>
        <w:rPr>
          <w:rFonts w:ascii="Times New Roman" w:hAnsi="Times New Roman" w:eastAsia="仿宋_GB2312" w:cs="Times New Roman"/>
          <w:sz w:val="28"/>
          <w:szCs w:val="28"/>
        </w:rPr>
        <w:t>1%进行热负荷增长预测，</w:t>
      </w:r>
      <w:r>
        <w:rPr>
          <w:rFonts w:hint="eastAsia" w:ascii="Times New Roman" w:hAnsi="Times New Roman" w:eastAsia="仿宋_GB2312" w:cs="Times New Roman"/>
          <w:sz w:val="28"/>
          <w:szCs w:val="28"/>
        </w:rPr>
        <w:t>预计新增</w:t>
      </w:r>
      <w:r>
        <w:rPr>
          <w:rFonts w:ascii="Times New Roman" w:hAnsi="Times New Roman" w:eastAsia="仿宋_GB2312" w:cs="Times New Roman"/>
          <w:sz w:val="28"/>
          <w:szCs w:val="28"/>
        </w:rPr>
        <w:t>低压蒸汽平均热负荷8.3t/h，最大热负荷19.9t/h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压蒸汽平均热负荷0.8t/h，最大热负荷1.9t/h。</w:t>
      </w:r>
      <w:r>
        <w:rPr>
          <w:rFonts w:hint="eastAsia" w:ascii="Times New Roman" w:hAnsi="Times New Roman" w:eastAsia="仿宋_GB2312" w:cs="Times New Roman"/>
          <w:color w:val="000000" w:themeColor="text1"/>
          <w:sz w:val="28"/>
          <w14:textFill>
            <w14:solidFill>
              <w14:schemeClr w14:val="tx1"/>
            </w14:solidFill>
          </w14:textFill>
        </w:rPr>
        <w:t>综上所述，预测</w:t>
      </w:r>
      <w:r>
        <w:rPr>
          <w:rFonts w:hint="eastAsia" w:ascii="Times New Roman" w:hAnsi="Times New Roman" w:eastAsia="仿宋_GB2312" w:cs="Times New Roman"/>
          <w:sz w:val="28"/>
          <w:szCs w:val="28"/>
        </w:rPr>
        <w:t>长安及周边区块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030</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213.7</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511.2</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，中压蒸汽平均热负荷</w:t>
      </w:r>
      <w:r>
        <w:rPr>
          <w:rFonts w:ascii="Times New Roman" w:hAnsi="Times New Roman" w:eastAsia="仿宋_GB2312" w:cs="Times New Roman"/>
          <w:color w:val="000000" w:themeColor="text1"/>
          <w:sz w:val="28"/>
          <w14:textFill>
            <w14:solidFill>
              <w14:schemeClr w14:val="tx1"/>
            </w14:solidFill>
          </w14:textFill>
        </w:rPr>
        <w:t>21.3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49.5</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长安及周边区块</w:t>
      </w:r>
      <w:r>
        <w:rPr>
          <w:rFonts w:hint="eastAsia" w:ascii="Times New Roman" w:hAnsi="Times New Roman" w:eastAsia="仿宋_GB2312" w:cs="Times New Roman"/>
          <w:sz w:val="28"/>
          <w:szCs w:val="28"/>
        </w:rPr>
        <w:t>热用户数量多</w:t>
      </w:r>
      <w:r>
        <w:rPr>
          <w:rFonts w:ascii="Times New Roman" w:hAnsi="Times New Roman" w:eastAsia="仿宋_GB2312" w:cs="Times New Roman"/>
          <w:sz w:val="28"/>
          <w:szCs w:val="28"/>
        </w:rPr>
        <w:t>且规模小，考虑管损系数（取1.05）、焓折系数（取0.95）和同时系数（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0.6</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预测</w:t>
      </w:r>
      <w:r>
        <w:rPr>
          <w:rFonts w:hint="eastAsia" w:ascii="Times New Roman" w:hAnsi="Times New Roman" w:eastAsia="仿宋_GB2312" w:cs="Times New Roman"/>
          <w:sz w:val="28"/>
        </w:rPr>
        <w:t>长安及周边区块</w:t>
      </w:r>
      <w:r>
        <w:rPr>
          <w:rFonts w:hint="eastAsia" w:ascii="Times New Roman" w:hAnsi="Times New Roman" w:eastAsia="仿宋_GB2312" w:cs="Times New Roman"/>
          <w:sz w:val="28"/>
          <w:szCs w:val="28"/>
        </w:rPr>
        <w:t>到</w:t>
      </w:r>
      <w:r>
        <w:rPr>
          <w:rFonts w:ascii="Times New Roman" w:hAnsi="Times New Roman" w:eastAsia="仿宋_GB2312" w:cs="Times New Roman"/>
          <w:sz w:val="28"/>
          <w:szCs w:val="28"/>
        </w:rPr>
        <w:t>2030年低压蒸汽设计平均热负荷170.6t/h，最大热负荷306.0t/h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压蒸汽设计平均热负荷17.0t/h，最大热负荷29.6t/h。</w:t>
      </w:r>
    </w:p>
    <w:p>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4.5.3-1 </w:t>
      </w:r>
      <w:r>
        <w:rPr>
          <w:rFonts w:hint="eastAsia" w:ascii="黑体" w:hAnsi="黑体" w:eastAsia="黑体" w:cs="Times New Roman"/>
          <w:sz w:val="28"/>
          <w:szCs w:val="28"/>
        </w:rPr>
        <w:t>长安及周边区块远期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1091"/>
        <w:gridCol w:w="1134"/>
        <w:gridCol w:w="1134"/>
        <w:gridCol w:w="1134"/>
        <w:gridCol w:w="1134"/>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23" w:type="dxa"/>
            <w:vMerge w:val="restart"/>
          </w:tcPr>
          <w:p>
            <w:pPr>
              <w:jc w:val="center"/>
              <w:rPr>
                <w:rFonts w:ascii="Times New Roman" w:hAnsi="Times New Roman" w:eastAsia="仿宋_GB2312" w:cs="Times New Roman"/>
                <w:sz w:val="24"/>
                <w:szCs w:val="24"/>
              </w:rPr>
            </w:pPr>
          </w:p>
        </w:tc>
        <w:tc>
          <w:tcPr>
            <w:tcW w:w="3359" w:type="dxa"/>
            <w:gridSpan w:val="3"/>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低压蒸汽（t/h）</w:t>
            </w:r>
          </w:p>
        </w:tc>
        <w:tc>
          <w:tcPr>
            <w:tcW w:w="3338" w:type="dxa"/>
            <w:gridSpan w:val="3"/>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w:t>
            </w:r>
            <w:r>
              <w:rPr>
                <w:rFonts w:ascii="Times New Roman" w:hAnsi="Times New Roman" w:eastAsia="仿宋_GB2312" w:cs="Times New Roman"/>
                <w:b/>
                <w:sz w:val="24"/>
                <w:szCs w:val="24"/>
              </w:rPr>
              <w:t>压蒸汽（t/h）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23" w:type="dxa"/>
            <w:vMerge w:val="continue"/>
          </w:tcPr>
          <w:p>
            <w:pPr>
              <w:jc w:val="center"/>
              <w:rPr>
                <w:rFonts w:ascii="Times New Roman" w:hAnsi="Times New Roman" w:eastAsia="仿宋_GB2312" w:cs="Times New Roman"/>
                <w:sz w:val="24"/>
                <w:szCs w:val="24"/>
              </w:rPr>
            </w:pPr>
          </w:p>
        </w:tc>
        <w:tc>
          <w:tcPr>
            <w:tcW w:w="1091"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1134"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1134"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c>
          <w:tcPr>
            <w:tcW w:w="1134"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1134"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1070"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23"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现状热负荷</w:t>
            </w:r>
          </w:p>
        </w:tc>
        <w:tc>
          <w:tcPr>
            <w:tcW w:w="1091"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157.4</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425.3</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90.9</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20.5</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47.6</w:t>
            </w:r>
          </w:p>
        </w:tc>
        <w:tc>
          <w:tcPr>
            <w:tcW w:w="1070"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23"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1091"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48</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66</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27</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w:t>
            </w:r>
          </w:p>
        </w:tc>
        <w:tc>
          <w:tcPr>
            <w:tcW w:w="1070"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23"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远期新增热负荷</w:t>
            </w:r>
          </w:p>
        </w:tc>
        <w:tc>
          <w:tcPr>
            <w:tcW w:w="1091"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8.3</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19.9</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4.8</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0.8</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1.9</w:t>
            </w:r>
          </w:p>
        </w:tc>
        <w:tc>
          <w:tcPr>
            <w:tcW w:w="1070"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23"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远期热负荷</w:t>
            </w:r>
          </w:p>
        </w:tc>
        <w:tc>
          <w:tcPr>
            <w:tcW w:w="1091"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213.7</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511.2</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122.7</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21.3</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49.5</w:t>
            </w:r>
          </w:p>
        </w:tc>
        <w:tc>
          <w:tcPr>
            <w:tcW w:w="1070"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023"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1091"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170.6 </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306.0 </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122.4 </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17.0 </w:t>
            </w:r>
          </w:p>
        </w:tc>
        <w:tc>
          <w:tcPr>
            <w:tcW w:w="1134"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29.6 </w:t>
            </w:r>
          </w:p>
        </w:tc>
        <w:tc>
          <w:tcPr>
            <w:tcW w:w="1070" w:type="dxa"/>
            <w:vAlign w:val="center"/>
          </w:tcPr>
          <w:p>
            <w:pPr>
              <w:widowControl/>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 xml:space="preserve">13.0 </w:t>
            </w:r>
          </w:p>
        </w:tc>
      </w:tr>
    </w:tbl>
    <w:p>
      <w:pPr>
        <w:pStyle w:val="4"/>
      </w:pPr>
      <w:bookmarkStart w:id="317" w:name="_Toc188636921"/>
      <w:r>
        <w:t>4.5.4</w:t>
      </w:r>
      <w:r>
        <w:rPr>
          <w:rFonts w:hint="eastAsia"/>
        </w:rPr>
        <w:t>许村区块</w:t>
      </w:r>
      <w:bookmarkEnd w:id="317"/>
    </w:p>
    <w:p>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远期，许村区块暂按</w:t>
      </w:r>
      <w:r>
        <w:rPr>
          <w:rFonts w:ascii="Times New Roman" w:hAnsi="Times New Roman" w:eastAsia="仿宋_GB2312" w:cs="Times New Roman"/>
          <w:sz w:val="28"/>
          <w:szCs w:val="28"/>
        </w:rPr>
        <w:t>1%进行热负荷增长预测，</w:t>
      </w:r>
      <w:r>
        <w:rPr>
          <w:rFonts w:hint="eastAsia" w:ascii="Times New Roman" w:hAnsi="Times New Roman" w:eastAsia="仿宋_GB2312" w:cs="Times New Roman"/>
          <w:sz w:val="28"/>
          <w:szCs w:val="28"/>
        </w:rPr>
        <w:t>预计新增</w:t>
      </w:r>
      <w:r>
        <w:rPr>
          <w:rFonts w:ascii="Times New Roman" w:hAnsi="Times New Roman" w:eastAsia="仿宋_GB2312" w:cs="Times New Roman"/>
          <w:sz w:val="28"/>
          <w:szCs w:val="28"/>
        </w:rPr>
        <w:t>低压蒸汽平均热负荷10.1t/h，最大热负荷17.8t/h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压蒸汽平均热负荷0.5t/h，最大热负荷1.2t/h。</w:t>
      </w:r>
      <w:r>
        <w:rPr>
          <w:rFonts w:hint="eastAsia" w:ascii="Times New Roman" w:hAnsi="Times New Roman" w:eastAsia="仿宋_GB2312" w:cs="Times New Roman"/>
          <w:color w:val="000000" w:themeColor="text1"/>
          <w:sz w:val="28"/>
          <w14:textFill>
            <w14:solidFill>
              <w14:schemeClr w14:val="tx1"/>
            </w14:solidFill>
          </w14:textFill>
        </w:rPr>
        <w:t>综上所述，预测</w:t>
      </w:r>
      <w:r>
        <w:rPr>
          <w:rFonts w:hint="eastAsia" w:ascii="Times New Roman" w:hAnsi="Times New Roman" w:eastAsia="仿宋_GB2312" w:cs="Times New Roman"/>
          <w:sz w:val="28"/>
          <w:szCs w:val="28"/>
        </w:rPr>
        <w:t>许村区块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030</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259.1</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457.3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，中压蒸汽平均热负荷</w:t>
      </w:r>
      <w:r>
        <w:rPr>
          <w:rFonts w:ascii="Times New Roman" w:hAnsi="Times New Roman" w:eastAsia="仿宋_GB2312" w:cs="Times New Roman"/>
          <w:color w:val="000000" w:themeColor="text1"/>
          <w:sz w:val="28"/>
          <w14:textFill>
            <w14:solidFill>
              <w14:schemeClr w14:val="tx1"/>
            </w14:solidFill>
          </w14:textFill>
        </w:rPr>
        <w:t>14.0</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30.2</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。根据</w:t>
      </w:r>
      <w:r>
        <w:rPr>
          <w:rFonts w:hint="eastAsia" w:ascii="Times New Roman" w:hAnsi="Times New Roman" w:eastAsia="仿宋_GB2312" w:cs="Times New Roman"/>
          <w:sz w:val="28"/>
        </w:rPr>
        <w:t>许村区块</w:t>
      </w:r>
      <w:r>
        <w:rPr>
          <w:rFonts w:hint="eastAsia" w:ascii="Times New Roman" w:hAnsi="Times New Roman" w:eastAsia="仿宋_GB2312" w:cs="Times New Roman"/>
          <w:sz w:val="28"/>
          <w:szCs w:val="28"/>
        </w:rPr>
        <w:t>热用户特性</w:t>
      </w:r>
      <w:r>
        <w:rPr>
          <w:rFonts w:ascii="Times New Roman" w:hAnsi="Times New Roman" w:eastAsia="仿宋_GB2312" w:cs="Times New Roman"/>
          <w:sz w:val="28"/>
          <w:szCs w:val="28"/>
        </w:rPr>
        <w:t>，考虑管损系数（取1.05）、焓折系数（取0.95）和同时系数（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0.7</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预测</w:t>
      </w:r>
      <w:r>
        <w:rPr>
          <w:rFonts w:hint="eastAsia" w:ascii="Times New Roman" w:hAnsi="Times New Roman" w:eastAsia="仿宋_GB2312" w:cs="Times New Roman"/>
          <w:sz w:val="28"/>
          <w:szCs w:val="28"/>
        </w:rPr>
        <w:t>许村区块到</w:t>
      </w:r>
      <w:r>
        <w:rPr>
          <w:rFonts w:ascii="Times New Roman" w:hAnsi="Times New Roman" w:eastAsia="仿宋_GB2312" w:cs="Times New Roman"/>
          <w:sz w:val="28"/>
          <w:szCs w:val="28"/>
        </w:rPr>
        <w:t>2030年低压蒸汽设计平均热负荷206.8t/h，最大热负荷319.3t/h</w:t>
      </w:r>
      <w:r>
        <w:rPr>
          <w:rFonts w:hint="eastAsia" w:ascii="Times New Roman" w:hAnsi="Times New Roman" w:eastAsia="仿宋_GB2312" w:cs="Times New Roman"/>
          <w:sz w:val="28"/>
          <w:szCs w:val="28"/>
        </w:rPr>
        <w:t>，中</w:t>
      </w:r>
      <w:r>
        <w:rPr>
          <w:rFonts w:ascii="Times New Roman" w:hAnsi="Times New Roman" w:eastAsia="仿宋_GB2312" w:cs="Times New Roman"/>
          <w:sz w:val="28"/>
          <w:szCs w:val="28"/>
        </w:rPr>
        <w:t>压蒸汽设计平均热负荷11.2t/h，最大热负荷21.1t/h。</w:t>
      </w:r>
    </w:p>
    <w:p>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4.5.4-1 </w:t>
      </w:r>
      <w:r>
        <w:rPr>
          <w:rFonts w:hint="eastAsia" w:ascii="黑体" w:hAnsi="黑体" w:eastAsia="黑体" w:cs="Times New Roman"/>
          <w:sz w:val="28"/>
          <w:szCs w:val="28"/>
        </w:rPr>
        <w:t>许村区块远期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969"/>
        <w:gridCol w:w="875"/>
        <w:gridCol w:w="1064"/>
        <w:gridCol w:w="1064"/>
        <w:gridCol w:w="1064"/>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94" w:type="dxa"/>
            <w:vMerge w:val="restart"/>
          </w:tcPr>
          <w:p>
            <w:pPr>
              <w:jc w:val="center"/>
              <w:rPr>
                <w:rFonts w:ascii="Times New Roman" w:hAnsi="Times New Roman" w:eastAsia="仿宋_GB2312" w:cs="Times New Roman"/>
                <w:sz w:val="24"/>
                <w:szCs w:val="24"/>
              </w:rPr>
            </w:pPr>
          </w:p>
        </w:tc>
        <w:tc>
          <w:tcPr>
            <w:tcW w:w="2908" w:type="dxa"/>
            <w:gridSpan w:val="3"/>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低压蒸汽（t/h）</w:t>
            </w:r>
          </w:p>
        </w:tc>
        <w:tc>
          <w:tcPr>
            <w:tcW w:w="3618" w:type="dxa"/>
            <w:gridSpan w:val="3"/>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w:t>
            </w:r>
            <w:r>
              <w:rPr>
                <w:rFonts w:ascii="Times New Roman" w:hAnsi="Times New Roman" w:eastAsia="仿宋_GB2312" w:cs="Times New Roman"/>
                <w:b/>
                <w:sz w:val="24"/>
                <w:szCs w:val="24"/>
              </w:rPr>
              <w:t>压蒸汽（t/h）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194" w:type="dxa"/>
            <w:vMerge w:val="continue"/>
          </w:tcPr>
          <w:p>
            <w:pPr>
              <w:jc w:val="center"/>
              <w:rPr>
                <w:rFonts w:ascii="Times New Roman" w:hAnsi="Times New Roman" w:eastAsia="仿宋_GB2312" w:cs="Times New Roman"/>
                <w:sz w:val="24"/>
                <w:szCs w:val="24"/>
              </w:rPr>
            </w:pPr>
          </w:p>
        </w:tc>
        <w:tc>
          <w:tcPr>
            <w:tcW w:w="969"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875"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1064"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c>
          <w:tcPr>
            <w:tcW w:w="1064"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1064"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1490"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94"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现状热负荷</w:t>
            </w:r>
          </w:p>
        </w:tc>
        <w:tc>
          <w:tcPr>
            <w:tcW w:w="969"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163</w:t>
            </w:r>
          </w:p>
        </w:tc>
        <w:tc>
          <w:tcPr>
            <w:tcW w:w="875"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301.5</w:t>
            </w:r>
          </w:p>
        </w:tc>
        <w:tc>
          <w:tcPr>
            <w:tcW w:w="106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97</w:t>
            </w:r>
          </w:p>
        </w:tc>
        <w:tc>
          <w:tcPr>
            <w:tcW w:w="106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13.5</w:t>
            </w:r>
          </w:p>
        </w:tc>
        <w:tc>
          <w:tcPr>
            <w:tcW w:w="106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29</w:t>
            </w:r>
          </w:p>
        </w:tc>
        <w:tc>
          <w:tcPr>
            <w:tcW w:w="1490"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19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969"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86</w:t>
            </w:r>
          </w:p>
        </w:tc>
        <w:tc>
          <w:tcPr>
            <w:tcW w:w="875"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138</w:t>
            </w:r>
          </w:p>
        </w:tc>
        <w:tc>
          <w:tcPr>
            <w:tcW w:w="106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60</w:t>
            </w:r>
          </w:p>
        </w:tc>
        <w:tc>
          <w:tcPr>
            <w:tcW w:w="106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w:t>
            </w:r>
          </w:p>
        </w:tc>
        <w:tc>
          <w:tcPr>
            <w:tcW w:w="106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w:t>
            </w:r>
          </w:p>
        </w:tc>
        <w:tc>
          <w:tcPr>
            <w:tcW w:w="1490"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9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远期新增热负荷</w:t>
            </w:r>
          </w:p>
        </w:tc>
        <w:tc>
          <w:tcPr>
            <w:tcW w:w="969"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10.1</w:t>
            </w:r>
          </w:p>
        </w:tc>
        <w:tc>
          <w:tcPr>
            <w:tcW w:w="875"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17.8</w:t>
            </w:r>
          </w:p>
        </w:tc>
        <w:tc>
          <w:tcPr>
            <w:tcW w:w="1064"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6.4</w:t>
            </w:r>
          </w:p>
        </w:tc>
        <w:tc>
          <w:tcPr>
            <w:tcW w:w="1064"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0.5</w:t>
            </w:r>
          </w:p>
        </w:tc>
        <w:tc>
          <w:tcPr>
            <w:tcW w:w="1064"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1.2</w:t>
            </w:r>
          </w:p>
        </w:tc>
        <w:tc>
          <w:tcPr>
            <w:tcW w:w="1490"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19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远期热负荷</w:t>
            </w:r>
          </w:p>
        </w:tc>
        <w:tc>
          <w:tcPr>
            <w:tcW w:w="969"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259.1</w:t>
            </w:r>
          </w:p>
        </w:tc>
        <w:tc>
          <w:tcPr>
            <w:tcW w:w="875"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457.3</w:t>
            </w:r>
          </w:p>
        </w:tc>
        <w:tc>
          <w:tcPr>
            <w:tcW w:w="1064"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163.4</w:t>
            </w:r>
          </w:p>
        </w:tc>
        <w:tc>
          <w:tcPr>
            <w:tcW w:w="1064"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14.0</w:t>
            </w:r>
          </w:p>
        </w:tc>
        <w:tc>
          <w:tcPr>
            <w:tcW w:w="1064"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30.2</w:t>
            </w:r>
          </w:p>
        </w:tc>
        <w:tc>
          <w:tcPr>
            <w:tcW w:w="1490"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9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969"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 xml:space="preserve">206.8 </w:t>
            </w:r>
          </w:p>
        </w:tc>
        <w:tc>
          <w:tcPr>
            <w:tcW w:w="875"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 xml:space="preserve">319.3 </w:t>
            </w:r>
          </w:p>
        </w:tc>
        <w:tc>
          <w:tcPr>
            <w:tcW w:w="1064"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 xml:space="preserve">163.0 </w:t>
            </w:r>
          </w:p>
        </w:tc>
        <w:tc>
          <w:tcPr>
            <w:tcW w:w="1064"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 xml:space="preserve">11.2 </w:t>
            </w:r>
          </w:p>
        </w:tc>
        <w:tc>
          <w:tcPr>
            <w:tcW w:w="1064"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 xml:space="preserve">21.1 </w:t>
            </w:r>
          </w:p>
        </w:tc>
        <w:tc>
          <w:tcPr>
            <w:tcW w:w="1490" w:type="dxa"/>
            <w:vAlign w:val="center"/>
          </w:tcPr>
          <w:p>
            <w:pPr>
              <w:widowControl/>
              <w:jc w:val="center"/>
              <w:rPr>
                <w:rFonts w:ascii="Times New Roman" w:hAnsi="Times New Roman" w:eastAsia="等线" w:cs="Times New Roman"/>
                <w:bCs/>
                <w:color w:val="000000"/>
                <w:sz w:val="24"/>
                <w:szCs w:val="24"/>
              </w:rPr>
            </w:pPr>
            <w:r>
              <w:rPr>
                <w:rFonts w:ascii="Times New Roman" w:hAnsi="Times New Roman" w:eastAsia="等线" w:cs="Times New Roman"/>
                <w:bCs/>
                <w:color w:val="000000"/>
                <w:sz w:val="24"/>
                <w:szCs w:val="24"/>
              </w:rPr>
              <w:t xml:space="preserve">8.0 </w:t>
            </w:r>
          </w:p>
        </w:tc>
      </w:tr>
    </w:tbl>
    <w:p>
      <w:pPr>
        <w:spacing w:line="580" w:lineRule="exact"/>
        <w:ind w:firstLine="560" w:firstLineChars="200"/>
        <w:rPr>
          <w:rFonts w:ascii="Times New Roman" w:hAnsi="Times New Roman" w:eastAsia="仿宋_GB2312" w:cs="Times New Roman"/>
          <w:sz w:val="28"/>
          <w:szCs w:val="28"/>
        </w:rPr>
      </w:pPr>
    </w:p>
    <w:p>
      <w:pPr>
        <w:pStyle w:val="4"/>
      </w:pPr>
      <w:bookmarkStart w:id="318" w:name="_Toc188636922"/>
      <w:r>
        <w:t>4.5.5</w:t>
      </w:r>
      <w:r>
        <w:rPr>
          <w:rFonts w:hint="eastAsia"/>
        </w:rPr>
        <w:t>尖山新区及周边区块</w:t>
      </w:r>
      <w:bookmarkEnd w:id="318"/>
    </w:p>
    <w:p>
      <w:pPr>
        <w:spacing w:line="58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远期，尖山新区及周边区块低压蒸汽暂按</w:t>
      </w:r>
      <w:r>
        <w:rPr>
          <w:rFonts w:ascii="Times New Roman" w:hAnsi="Times New Roman" w:eastAsia="仿宋_GB2312" w:cs="Times New Roman"/>
          <w:sz w:val="28"/>
          <w:szCs w:val="28"/>
        </w:rPr>
        <w:t>1%进行热负荷增长预测，</w:t>
      </w:r>
      <w:r>
        <w:rPr>
          <w:rFonts w:hint="eastAsia" w:ascii="Times New Roman" w:hAnsi="Times New Roman" w:eastAsia="仿宋_GB2312" w:cs="Times New Roman"/>
          <w:sz w:val="28"/>
          <w:szCs w:val="28"/>
        </w:rPr>
        <w:t>高压蒸汽热负荷较为稳定，暂定现有高压蒸汽热负荷保持不变，预计新增</w:t>
      </w:r>
      <w:r>
        <w:rPr>
          <w:rFonts w:ascii="Times New Roman" w:hAnsi="Times New Roman" w:eastAsia="仿宋_GB2312" w:cs="Times New Roman"/>
          <w:sz w:val="28"/>
          <w:szCs w:val="28"/>
        </w:rPr>
        <w:t>低压蒸汽平均热负荷8.4t/h，最大热负荷15.3t/h。</w:t>
      </w:r>
      <w:r>
        <w:rPr>
          <w:rFonts w:hint="eastAsia" w:ascii="Times New Roman" w:hAnsi="Times New Roman" w:eastAsia="仿宋_GB2312" w:cs="Times New Roman"/>
          <w:sz w:val="28"/>
          <w:szCs w:val="28"/>
        </w:rPr>
        <w:t>此外，远期万凯新材料年新增</w:t>
      </w:r>
      <w:r>
        <w:rPr>
          <w:rFonts w:ascii="Times New Roman" w:hAnsi="Times New Roman" w:eastAsia="仿宋_GB2312" w:cs="Times New Roman"/>
          <w:sz w:val="28"/>
          <w:szCs w:val="28"/>
        </w:rPr>
        <w:t>315万吨PET项目</w:t>
      </w:r>
      <w:r>
        <w:rPr>
          <w:rFonts w:hint="eastAsia" w:ascii="Times New Roman" w:hAnsi="Times New Roman" w:eastAsia="仿宋_GB2312" w:cs="Times New Roman"/>
          <w:sz w:val="28"/>
          <w:szCs w:val="28"/>
        </w:rPr>
        <w:t>投产，预计新增</w:t>
      </w:r>
      <w:r>
        <w:rPr>
          <w:rFonts w:hint="eastAsia" w:ascii="Times New Roman" w:hAnsi="Times New Roman" w:eastAsia="仿宋_GB2312" w:cs="Times New Roman"/>
          <w:color w:val="000000" w:themeColor="text1"/>
          <w:sz w:val="28"/>
          <w14:textFill>
            <w14:solidFill>
              <w14:schemeClr w14:val="tx1"/>
            </w14:solidFill>
          </w14:textFill>
        </w:rPr>
        <w:t>低压蒸汽平均热负荷</w:t>
      </w:r>
      <w:r>
        <w:rPr>
          <w:rFonts w:ascii="Times New Roman" w:hAnsi="Times New Roman" w:eastAsia="仿宋_GB2312" w:cs="Times New Roman"/>
          <w:color w:val="000000" w:themeColor="text1"/>
          <w:sz w:val="28"/>
          <w14:textFill>
            <w14:solidFill>
              <w14:schemeClr w14:val="tx1"/>
            </w14:solidFill>
          </w14:textFill>
        </w:rPr>
        <w:t>27.6</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31.7</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，高压蒸汽平均热负荷4</w:t>
      </w:r>
      <w:r>
        <w:rPr>
          <w:rFonts w:ascii="Times New Roman" w:hAnsi="Times New Roman" w:eastAsia="仿宋_GB2312" w:cs="Times New Roman"/>
          <w:color w:val="000000" w:themeColor="text1"/>
          <w:sz w:val="28"/>
          <w14:textFill>
            <w14:solidFill>
              <w14:schemeClr w14:val="tx1"/>
            </w14:solidFill>
          </w14:textFill>
        </w:rPr>
        <w:t>25.6</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490</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。综上所述，预测</w:t>
      </w:r>
      <w:r>
        <w:rPr>
          <w:rFonts w:hint="eastAsia" w:ascii="Times New Roman" w:hAnsi="Times New Roman" w:eastAsia="仿宋_GB2312" w:cs="Times New Roman"/>
          <w:sz w:val="28"/>
          <w:szCs w:val="28"/>
        </w:rPr>
        <w:t>尖山新区及周边区块</w:t>
      </w:r>
      <w:r>
        <w:rPr>
          <w:rFonts w:hint="eastAsia" w:ascii="Times New Roman" w:hAnsi="Times New Roman" w:eastAsia="仿宋_GB2312" w:cs="Times New Roman"/>
          <w:color w:val="000000" w:themeColor="text1"/>
          <w:sz w:val="28"/>
          <w14:textFill>
            <w14:solidFill>
              <w14:schemeClr w14:val="tx1"/>
            </w14:solidFill>
          </w14:textFill>
        </w:rPr>
        <w:t>到2</w:t>
      </w:r>
      <w:r>
        <w:rPr>
          <w:rFonts w:ascii="Times New Roman" w:hAnsi="Times New Roman" w:eastAsia="仿宋_GB2312" w:cs="Times New Roman"/>
          <w:color w:val="000000" w:themeColor="text1"/>
          <w:sz w:val="28"/>
          <w14:textFill>
            <w14:solidFill>
              <w14:schemeClr w14:val="tx1"/>
            </w14:solidFill>
          </w14:textFill>
        </w:rPr>
        <w:t>030</w:t>
      </w:r>
      <w:r>
        <w:rPr>
          <w:rFonts w:hint="eastAsia" w:ascii="Times New Roman" w:hAnsi="Times New Roman" w:eastAsia="仿宋_GB2312" w:cs="Times New Roman"/>
          <w:color w:val="000000" w:themeColor="text1"/>
          <w:sz w:val="28"/>
          <w14:textFill>
            <w14:solidFill>
              <w14:schemeClr w14:val="tx1"/>
            </w14:solidFill>
          </w14:textFill>
        </w:rPr>
        <w:t>年低压蒸汽平均热负荷</w:t>
      </w:r>
      <w:r>
        <w:rPr>
          <w:rFonts w:ascii="Times New Roman" w:hAnsi="Times New Roman" w:eastAsia="仿宋_GB2312" w:cs="Times New Roman"/>
          <w:color w:val="000000" w:themeColor="text1"/>
          <w:sz w:val="28"/>
          <w14:textFill>
            <w14:solidFill>
              <w14:schemeClr w14:val="tx1"/>
            </w14:solidFill>
          </w14:textFill>
        </w:rPr>
        <w:t>242.3</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423.2</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，高压蒸汽平均热负荷</w:t>
      </w:r>
      <w:r>
        <w:rPr>
          <w:rFonts w:ascii="Times New Roman" w:hAnsi="Times New Roman" w:eastAsia="仿宋_GB2312" w:cs="Times New Roman"/>
          <w:color w:val="000000" w:themeColor="text1"/>
          <w:sz w:val="28"/>
          <w14:textFill>
            <w14:solidFill>
              <w14:schemeClr w14:val="tx1"/>
            </w14:solidFill>
          </w14:textFill>
        </w:rPr>
        <w:t>979.6</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，最大热负荷</w:t>
      </w:r>
      <w:r>
        <w:rPr>
          <w:rFonts w:ascii="Times New Roman" w:hAnsi="Times New Roman" w:eastAsia="仿宋_GB2312" w:cs="Times New Roman"/>
          <w:color w:val="000000" w:themeColor="text1"/>
          <w:sz w:val="28"/>
          <w14:textFill>
            <w14:solidFill>
              <w14:schemeClr w14:val="tx1"/>
            </w14:solidFill>
          </w14:textFill>
        </w:rPr>
        <w:t>1131.0</w:t>
      </w:r>
      <w:r>
        <w:rPr>
          <w:rFonts w:hint="eastAsia" w:ascii="Times New Roman" w:hAnsi="Times New Roman" w:eastAsia="仿宋_GB2312" w:cs="Times New Roman"/>
          <w:color w:val="000000" w:themeColor="text1"/>
          <w:sz w:val="28"/>
          <w14:textFill>
            <w14:solidFill>
              <w14:schemeClr w14:val="tx1"/>
            </w14:solidFill>
          </w14:textFill>
        </w:rPr>
        <w:t>t</w:t>
      </w:r>
      <w:r>
        <w:rPr>
          <w:rFonts w:ascii="Times New Roman" w:hAnsi="Times New Roman" w:eastAsia="仿宋_GB2312" w:cs="Times New Roman"/>
          <w:color w:val="000000" w:themeColor="text1"/>
          <w:sz w:val="28"/>
          <w14:textFill>
            <w14:solidFill>
              <w14:schemeClr w14:val="tx1"/>
            </w14:solidFill>
          </w14:textFill>
        </w:rPr>
        <w:t>/h</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尖山新区及周边区块热用户少但热负荷规模大，</w:t>
      </w:r>
      <w:r>
        <w:rPr>
          <w:rFonts w:hint="eastAsia" w:ascii="Times New Roman" w:hAnsi="Times New Roman" w:eastAsia="仿宋_GB2312" w:cs="Times New Roman"/>
          <w:color w:val="000000" w:themeColor="text1"/>
          <w:sz w:val="28"/>
          <w14:textFill>
            <w14:solidFill>
              <w14:schemeClr w14:val="tx1"/>
            </w14:solidFill>
          </w14:textFill>
        </w:rPr>
        <w:t>根据</w:t>
      </w:r>
      <w:r>
        <w:rPr>
          <w:rFonts w:hint="eastAsia" w:ascii="Times New Roman" w:hAnsi="Times New Roman" w:eastAsia="仿宋_GB2312" w:cs="Times New Roman"/>
          <w:sz w:val="28"/>
        </w:rPr>
        <w:t>尖山新区及周边区块</w:t>
      </w:r>
      <w:r>
        <w:rPr>
          <w:rFonts w:hint="eastAsia" w:ascii="Times New Roman" w:hAnsi="Times New Roman" w:eastAsia="仿宋_GB2312" w:cs="Times New Roman"/>
          <w:sz w:val="28"/>
          <w:szCs w:val="28"/>
        </w:rPr>
        <w:t>热用户特性</w:t>
      </w:r>
      <w:r>
        <w:rPr>
          <w:rFonts w:ascii="Times New Roman" w:hAnsi="Times New Roman" w:eastAsia="仿宋_GB2312" w:cs="Times New Roman"/>
          <w:sz w:val="28"/>
          <w:szCs w:val="28"/>
        </w:rPr>
        <w:t>，考虑管损系数（取1.05）、焓折系数（取0.95）和同时系数（</w:t>
      </w:r>
      <w:r>
        <w:rPr>
          <w:rFonts w:hint="eastAsia" w:ascii="Times New Roman" w:hAnsi="Times New Roman" w:eastAsia="仿宋_GB2312" w:cs="Times New Roman"/>
          <w:sz w:val="28"/>
          <w:szCs w:val="28"/>
        </w:rPr>
        <w:t>最大热负荷同时系数取</w:t>
      </w:r>
      <w:r>
        <w:rPr>
          <w:rFonts w:ascii="Times New Roman" w:hAnsi="Times New Roman" w:eastAsia="仿宋_GB2312" w:cs="Times New Roman"/>
          <w:sz w:val="28"/>
          <w:szCs w:val="28"/>
        </w:rPr>
        <w:t>0.8</w:t>
      </w:r>
      <w:r>
        <w:rPr>
          <w:rFonts w:hint="eastAsia" w:ascii="Times New Roman" w:hAnsi="Times New Roman" w:eastAsia="仿宋_GB2312" w:cs="Times New Roman"/>
          <w:sz w:val="28"/>
          <w:szCs w:val="28"/>
        </w:rPr>
        <w:t>，平均热负荷同时系数取</w:t>
      </w:r>
      <w:r>
        <w:rPr>
          <w:rFonts w:ascii="Times New Roman" w:hAnsi="Times New Roman" w:eastAsia="仿宋_GB2312" w:cs="Times New Roman"/>
          <w:sz w:val="28"/>
          <w:szCs w:val="28"/>
        </w:rPr>
        <w:t>0.9</w:t>
      </w:r>
      <w:r>
        <w:rPr>
          <w:rFonts w:hint="eastAsia" w:ascii="Times New Roman" w:hAnsi="Times New Roman" w:eastAsia="仿宋_GB2312" w:cs="Times New Roman"/>
          <w:sz w:val="28"/>
          <w:szCs w:val="28"/>
        </w:rPr>
        <w:t>，最小热负荷同时系数取1</w:t>
      </w:r>
      <w:r>
        <w:rPr>
          <w:rFonts w:ascii="Times New Roman" w:hAnsi="Times New Roman" w:eastAsia="仿宋_GB2312" w:cs="Times New Roman"/>
          <w:sz w:val="28"/>
          <w:szCs w:val="28"/>
        </w:rPr>
        <w:t>），</w:t>
      </w:r>
      <w:r>
        <w:rPr>
          <w:rFonts w:hint="eastAsia" w:ascii="Times New Roman" w:hAnsi="Times New Roman" w:eastAsia="仿宋_GB2312" w:cs="Times New Roman"/>
          <w:color w:val="000000" w:themeColor="text1"/>
          <w:sz w:val="28"/>
          <w14:textFill>
            <w14:solidFill>
              <w14:schemeClr w14:val="tx1"/>
            </w14:solidFill>
          </w14:textFill>
        </w:rPr>
        <w:t>预测</w:t>
      </w:r>
      <w:r>
        <w:rPr>
          <w:rFonts w:hint="eastAsia" w:ascii="Times New Roman" w:hAnsi="Times New Roman" w:eastAsia="仿宋_GB2312" w:cs="Times New Roman"/>
          <w:sz w:val="28"/>
          <w:szCs w:val="28"/>
        </w:rPr>
        <w:t>尖山新区及周边区块到</w:t>
      </w:r>
      <w:r>
        <w:rPr>
          <w:rFonts w:ascii="Times New Roman" w:hAnsi="Times New Roman" w:eastAsia="仿宋_GB2312" w:cs="Times New Roman"/>
          <w:sz w:val="28"/>
          <w:szCs w:val="28"/>
        </w:rPr>
        <w:t>2030年低压蒸汽设计平均热负荷217.5t/h，最大热负荷337.7t/h</w:t>
      </w:r>
      <w:r>
        <w:rPr>
          <w:rFonts w:hint="eastAsia" w:ascii="Times New Roman" w:hAnsi="Times New Roman" w:eastAsia="仿宋_GB2312" w:cs="Times New Roman"/>
          <w:sz w:val="28"/>
          <w:szCs w:val="28"/>
        </w:rPr>
        <w:t>，高</w:t>
      </w:r>
      <w:r>
        <w:rPr>
          <w:rFonts w:ascii="Times New Roman" w:hAnsi="Times New Roman" w:eastAsia="仿宋_GB2312" w:cs="Times New Roman"/>
          <w:sz w:val="28"/>
          <w:szCs w:val="28"/>
        </w:rPr>
        <w:t>压蒸汽设计平均热负荷879.4t/h，最大热负荷902.5t/h。</w:t>
      </w:r>
    </w:p>
    <w:p>
      <w:pPr>
        <w:spacing w:line="580" w:lineRule="exact"/>
        <w:jc w:val="center"/>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4.5.5-1 </w:t>
      </w:r>
      <w:r>
        <w:rPr>
          <w:rFonts w:hint="eastAsia" w:ascii="黑体" w:hAnsi="黑体" w:eastAsia="黑体" w:cs="Times New Roman"/>
          <w:sz w:val="28"/>
          <w:szCs w:val="28"/>
        </w:rPr>
        <w:t>尖山新区及周边区块远期新增集中供热热用户</w:t>
      </w:r>
    </w:p>
    <w:tbl>
      <w:tblPr>
        <w:tblStyle w:val="24"/>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0"/>
        <w:gridCol w:w="1280"/>
        <w:gridCol w:w="1280"/>
        <w:gridCol w:w="1280"/>
        <w:gridCol w:w="128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blHeader/>
          <w:jc w:val="center"/>
        </w:trPr>
        <w:tc>
          <w:tcPr>
            <w:tcW w:w="6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序号</w:t>
            </w:r>
          </w:p>
        </w:tc>
        <w:tc>
          <w:tcPr>
            <w:tcW w:w="152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热用户名称</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平均负荷(t/h)</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最大负荷(t/h)</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最小负荷(t/h)</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用汽温度(℃)</w:t>
            </w:r>
          </w:p>
        </w:tc>
        <w:tc>
          <w:tcPr>
            <w:tcW w:w="1280"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用汽压力(MPa)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600" w:type="dxa"/>
            <w:gridSpan w:val="7"/>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万凯新材料年新增</w:t>
            </w:r>
            <w:r>
              <w:rPr>
                <w:rFonts w:ascii="Times New Roman" w:hAnsi="Times New Roman" w:eastAsia="仿宋_GB2312" w:cs="Times New Roman"/>
                <w:color w:val="000000"/>
                <w:kern w:val="0"/>
                <w:sz w:val="24"/>
                <w:szCs w:val="24"/>
              </w:rPr>
              <w:t>315</w:t>
            </w:r>
            <w:r>
              <w:rPr>
                <w:rFonts w:hint="eastAsia" w:ascii="Times New Roman" w:hAnsi="Times New Roman" w:eastAsia="仿宋_GB2312" w:cs="Times New Roman"/>
                <w:color w:val="000000"/>
                <w:kern w:val="0"/>
                <w:sz w:val="24"/>
                <w:szCs w:val="24"/>
              </w:rPr>
              <w:t>万吨</w:t>
            </w:r>
            <w:r>
              <w:rPr>
                <w:rFonts w:ascii="Times New Roman" w:hAnsi="Times New Roman" w:eastAsia="仿宋_GB2312" w:cs="Times New Roman"/>
                <w:color w:val="000000"/>
                <w:kern w:val="0"/>
                <w:sz w:val="24"/>
                <w:szCs w:val="24"/>
              </w:rPr>
              <w:t>PET</w:t>
            </w:r>
            <w:r>
              <w:rPr>
                <w:rFonts w:hint="eastAsia" w:ascii="Times New Roman" w:hAnsi="Times New Roman" w:eastAsia="仿宋_GB2312" w:cs="Times New Roman"/>
                <w:color w:val="000000"/>
                <w:kern w:val="0"/>
                <w:sz w:val="24"/>
                <w:szCs w:val="24"/>
              </w:rPr>
              <w:t>项目</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27.6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31.7</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210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p>
        </w:tc>
        <w:tc>
          <w:tcPr>
            <w:tcW w:w="152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低压蒸汽合计</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27.6</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31.7</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2</w:t>
            </w:r>
            <w:r>
              <w:rPr>
                <w:rFonts w:ascii="Times New Roman" w:hAnsi="Times New Roman" w:eastAsia="仿宋_GB2312" w:cs="Times New Roman"/>
                <w:b/>
                <w:color w:val="000000"/>
                <w:kern w:val="0"/>
                <w:sz w:val="24"/>
                <w:szCs w:val="24"/>
              </w:rPr>
              <w:t>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600" w:type="dxa"/>
            <w:gridSpan w:val="7"/>
            <w:shd w:val="clear" w:color="auto" w:fill="auto"/>
            <w:noWrap/>
            <w:vAlign w:val="center"/>
          </w:tcPr>
          <w:p>
            <w:pPr>
              <w:widowControl/>
              <w:jc w:val="center"/>
              <w:rPr>
                <w:rFonts w:ascii="Times New Roman" w:hAnsi="Times New Roman" w:eastAsia="微软雅黑" w:cs="Times New Roman"/>
                <w:b/>
                <w:color w:val="FF0000"/>
                <w:sz w:val="24"/>
                <w:szCs w:val="24"/>
              </w:rPr>
            </w:pPr>
            <w:r>
              <w:rPr>
                <w:rFonts w:hint="eastAsia" w:ascii="Times New Roman" w:hAnsi="Times New Roman" w:eastAsia="仿宋_GB2312" w:cs="Times New Roman"/>
                <w:b/>
                <w:kern w:val="0"/>
                <w:sz w:val="24"/>
                <w:szCs w:val="24"/>
              </w:rPr>
              <w:t>高压蒸汽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1520"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万凯新材料年新增</w:t>
            </w:r>
            <w:r>
              <w:rPr>
                <w:rFonts w:ascii="Times New Roman" w:hAnsi="Times New Roman" w:eastAsia="仿宋_GB2312" w:cs="Times New Roman"/>
                <w:color w:val="000000"/>
                <w:kern w:val="0"/>
                <w:sz w:val="24"/>
                <w:szCs w:val="24"/>
              </w:rPr>
              <w:t>315</w:t>
            </w:r>
            <w:r>
              <w:rPr>
                <w:rFonts w:hint="eastAsia" w:ascii="Times New Roman" w:hAnsi="Times New Roman" w:eastAsia="仿宋_GB2312" w:cs="Times New Roman"/>
                <w:color w:val="000000"/>
                <w:kern w:val="0"/>
                <w:sz w:val="24"/>
                <w:szCs w:val="24"/>
              </w:rPr>
              <w:t>万吨</w:t>
            </w:r>
            <w:r>
              <w:rPr>
                <w:rFonts w:ascii="Times New Roman" w:hAnsi="Times New Roman" w:eastAsia="仿宋_GB2312" w:cs="Times New Roman"/>
                <w:color w:val="000000"/>
                <w:kern w:val="0"/>
                <w:sz w:val="24"/>
                <w:szCs w:val="24"/>
              </w:rPr>
              <w:t>PET</w:t>
            </w:r>
            <w:r>
              <w:rPr>
                <w:rFonts w:hint="eastAsia" w:ascii="Times New Roman" w:hAnsi="Times New Roman" w:eastAsia="仿宋_GB2312" w:cs="Times New Roman"/>
                <w:color w:val="000000"/>
                <w:kern w:val="0"/>
                <w:sz w:val="24"/>
                <w:szCs w:val="24"/>
              </w:rPr>
              <w:t>项目</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425.6</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490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w:t>
            </w:r>
            <w:r>
              <w:rPr>
                <w:rFonts w:ascii="Times New Roman" w:hAnsi="Times New Roman" w:eastAsia="仿宋_GB2312" w:cs="Times New Roman"/>
                <w:color w:val="000000"/>
                <w:kern w:val="0"/>
                <w:sz w:val="24"/>
                <w:szCs w:val="24"/>
              </w:rPr>
              <w:t>50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395</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8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p>
        </w:tc>
        <w:tc>
          <w:tcPr>
            <w:tcW w:w="1520" w:type="dxa"/>
            <w:shd w:val="clear" w:color="auto" w:fill="auto"/>
            <w:noWrap/>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高压蒸汽合计</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425.6</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490</w:t>
            </w:r>
          </w:p>
        </w:tc>
        <w:tc>
          <w:tcPr>
            <w:tcW w:w="1280" w:type="dxa"/>
            <w:shd w:val="clear" w:color="auto" w:fill="auto"/>
            <w:vAlign w:val="center"/>
          </w:tcPr>
          <w:p>
            <w:pPr>
              <w:widowControl/>
              <w:jc w:val="center"/>
              <w:rPr>
                <w:rFonts w:ascii="Times New Roman" w:hAnsi="Times New Roman" w:eastAsia="仿宋_GB2312" w:cs="Times New Roman"/>
                <w:b/>
                <w:color w:val="000000"/>
                <w:kern w:val="0"/>
                <w:sz w:val="24"/>
                <w:szCs w:val="24"/>
              </w:rPr>
            </w:pPr>
            <w:r>
              <w:rPr>
                <w:rFonts w:hint="eastAsia" w:ascii="Times New Roman" w:hAnsi="Times New Roman" w:eastAsia="仿宋_GB2312" w:cs="Times New Roman"/>
                <w:b/>
                <w:color w:val="000000"/>
                <w:kern w:val="0"/>
                <w:sz w:val="24"/>
                <w:szCs w:val="24"/>
              </w:rPr>
              <w:t>3</w:t>
            </w:r>
            <w:r>
              <w:rPr>
                <w:rFonts w:ascii="Times New Roman" w:hAnsi="Times New Roman" w:eastAsia="仿宋_GB2312" w:cs="Times New Roman"/>
                <w:b/>
                <w:color w:val="000000"/>
                <w:kern w:val="0"/>
                <w:sz w:val="24"/>
                <w:szCs w:val="24"/>
              </w:rPr>
              <w:t>50</w:t>
            </w: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p>
        </w:tc>
        <w:tc>
          <w:tcPr>
            <w:tcW w:w="1280" w:type="dxa"/>
            <w:shd w:val="clear" w:color="auto" w:fill="auto"/>
            <w:vAlign w:val="center"/>
          </w:tcPr>
          <w:p>
            <w:pPr>
              <w:widowControl/>
              <w:jc w:val="center"/>
              <w:rPr>
                <w:rFonts w:ascii="Times New Roman" w:hAnsi="Times New Roman" w:eastAsia="仿宋_GB2312" w:cs="Times New Roman"/>
                <w:color w:val="000000"/>
                <w:kern w:val="0"/>
                <w:sz w:val="24"/>
                <w:szCs w:val="24"/>
              </w:rPr>
            </w:pPr>
          </w:p>
        </w:tc>
      </w:tr>
    </w:tbl>
    <w:p>
      <w:pPr>
        <w:spacing w:before="156" w:beforeLines="50"/>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4.5.5-2 </w:t>
      </w:r>
      <w:r>
        <w:rPr>
          <w:rFonts w:hint="eastAsia" w:ascii="黑体" w:hAnsi="黑体" w:eastAsia="黑体" w:cs="Times New Roman"/>
          <w:sz w:val="28"/>
          <w:szCs w:val="28"/>
        </w:rPr>
        <w:t>尖山新区及周边区块远期</w:t>
      </w:r>
      <w:r>
        <w:rPr>
          <w:rFonts w:hint="eastAsia" w:ascii="黑体" w:hAnsi="黑体" w:eastAsia="黑体" w:cs="Times New Roman"/>
          <w:sz w:val="28"/>
        </w:rPr>
        <w:t>集中供热设计负荷</w:t>
      </w:r>
      <w:r>
        <w:rPr>
          <w:rFonts w:hint="eastAsia" w:ascii="黑体" w:hAnsi="黑体" w:eastAsia="黑体" w:cs="Times New Roman"/>
          <w:sz w:val="28"/>
          <w:szCs w:val="28"/>
        </w:rPr>
        <w:t>汇总</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1102"/>
        <w:gridCol w:w="992"/>
        <w:gridCol w:w="992"/>
        <w:gridCol w:w="1134"/>
        <w:gridCol w:w="1134"/>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54" w:type="dxa"/>
            <w:vMerge w:val="restart"/>
          </w:tcPr>
          <w:p>
            <w:pPr>
              <w:jc w:val="center"/>
              <w:rPr>
                <w:rFonts w:ascii="Times New Roman" w:hAnsi="Times New Roman" w:eastAsia="仿宋_GB2312" w:cs="Times New Roman"/>
                <w:sz w:val="24"/>
                <w:szCs w:val="24"/>
              </w:rPr>
            </w:pPr>
          </w:p>
        </w:tc>
        <w:tc>
          <w:tcPr>
            <w:tcW w:w="3086" w:type="dxa"/>
            <w:gridSpan w:val="3"/>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低压蒸汽（t/h）</w:t>
            </w:r>
          </w:p>
        </w:tc>
        <w:tc>
          <w:tcPr>
            <w:tcW w:w="3480" w:type="dxa"/>
            <w:gridSpan w:val="3"/>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中</w:t>
            </w:r>
            <w:r>
              <w:rPr>
                <w:rFonts w:ascii="Times New Roman" w:hAnsi="Times New Roman" w:eastAsia="仿宋_GB2312" w:cs="Times New Roman"/>
                <w:b/>
                <w:sz w:val="24"/>
                <w:szCs w:val="24"/>
              </w:rPr>
              <w:t>压蒸汽（t/h）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54" w:type="dxa"/>
            <w:vMerge w:val="continue"/>
          </w:tcPr>
          <w:p>
            <w:pPr>
              <w:jc w:val="center"/>
              <w:rPr>
                <w:rFonts w:ascii="Times New Roman" w:hAnsi="Times New Roman" w:eastAsia="仿宋_GB2312" w:cs="Times New Roman"/>
                <w:sz w:val="24"/>
                <w:szCs w:val="24"/>
              </w:rPr>
            </w:pPr>
          </w:p>
        </w:tc>
        <w:tc>
          <w:tcPr>
            <w:tcW w:w="1102"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992"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992"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c>
          <w:tcPr>
            <w:tcW w:w="1134"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平均</w:t>
            </w:r>
          </w:p>
        </w:tc>
        <w:tc>
          <w:tcPr>
            <w:tcW w:w="1134"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最大</w:t>
            </w:r>
          </w:p>
        </w:tc>
        <w:tc>
          <w:tcPr>
            <w:tcW w:w="1212"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b/>
                <w:sz w:val="24"/>
                <w:szCs w:val="24"/>
              </w:rPr>
              <w:t>最小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54"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现状热负荷</w:t>
            </w:r>
          </w:p>
        </w:tc>
        <w:tc>
          <w:tcPr>
            <w:tcW w:w="110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55.2</w:t>
            </w:r>
          </w:p>
        </w:tc>
        <w:tc>
          <w:tcPr>
            <w:tcW w:w="99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124</w:t>
            </w:r>
          </w:p>
        </w:tc>
        <w:tc>
          <w:tcPr>
            <w:tcW w:w="99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29.3</w:t>
            </w:r>
          </w:p>
        </w:tc>
        <w:tc>
          <w:tcPr>
            <w:tcW w:w="113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183</w:t>
            </w:r>
          </w:p>
        </w:tc>
        <w:tc>
          <w:tcPr>
            <w:tcW w:w="113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225</w:t>
            </w:r>
          </w:p>
        </w:tc>
        <w:tc>
          <w:tcPr>
            <w:tcW w:w="121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5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近期新增热负荷</w:t>
            </w:r>
          </w:p>
        </w:tc>
        <w:tc>
          <w:tcPr>
            <w:tcW w:w="110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151.1</w:t>
            </w:r>
          </w:p>
        </w:tc>
        <w:tc>
          <w:tcPr>
            <w:tcW w:w="99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252.2</w:t>
            </w:r>
          </w:p>
        </w:tc>
        <w:tc>
          <w:tcPr>
            <w:tcW w:w="99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93</w:t>
            </w:r>
          </w:p>
        </w:tc>
        <w:tc>
          <w:tcPr>
            <w:tcW w:w="113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371</w:t>
            </w:r>
          </w:p>
        </w:tc>
        <w:tc>
          <w:tcPr>
            <w:tcW w:w="113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416</w:t>
            </w:r>
          </w:p>
        </w:tc>
        <w:tc>
          <w:tcPr>
            <w:tcW w:w="121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5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远期新增热负荷</w:t>
            </w:r>
          </w:p>
        </w:tc>
        <w:tc>
          <w:tcPr>
            <w:tcW w:w="110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36.0</w:t>
            </w:r>
          </w:p>
        </w:tc>
        <w:tc>
          <w:tcPr>
            <w:tcW w:w="99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47.0</w:t>
            </w:r>
          </w:p>
        </w:tc>
        <w:tc>
          <w:tcPr>
            <w:tcW w:w="99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25.0</w:t>
            </w:r>
          </w:p>
        </w:tc>
        <w:tc>
          <w:tcPr>
            <w:tcW w:w="113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425.6</w:t>
            </w:r>
          </w:p>
        </w:tc>
        <w:tc>
          <w:tcPr>
            <w:tcW w:w="113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490.0</w:t>
            </w:r>
          </w:p>
        </w:tc>
        <w:tc>
          <w:tcPr>
            <w:tcW w:w="121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bCs/>
                <w:color w:val="000000"/>
                <w:sz w:val="24"/>
                <w:szCs w:val="24"/>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5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远期热负荷</w:t>
            </w:r>
          </w:p>
        </w:tc>
        <w:tc>
          <w:tcPr>
            <w:tcW w:w="110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242.3</w:t>
            </w:r>
          </w:p>
        </w:tc>
        <w:tc>
          <w:tcPr>
            <w:tcW w:w="99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423.2</w:t>
            </w:r>
          </w:p>
        </w:tc>
        <w:tc>
          <w:tcPr>
            <w:tcW w:w="99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147.3</w:t>
            </w:r>
          </w:p>
        </w:tc>
        <w:tc>
          <w:tcPr>
            <w:tcW w:w="113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979.6</w:t>
            </w:r>
          </w:p>
        </w:tc>
        <w:tc>
          <w:tcPr>
            <w:tcW w:w="113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1131.0</w:t>
            </w:r>
          </w:p>
        </w:tc>
        <w:tc>
          <w:tcPr>
            <w:tcW w:w="121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154" w:type="dxa"/>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远期设计热负荷（考虑管损系数</w:t>
            </w:r>
            <w:r>
              <w:rPr>
                <w:rFonts w:ascii="Times New Roman" w:hAnsi="Times New Roman" w:eastAsia="仿宋_GB2312" w:cs="Times New Roman"/>
                <w:sz w:val="24"/>
                <w:szCs w:val="24"/>
              </w:rPr>
              <w:t>、焓折系数和热负荷同时系数</w:t>
            </w:r>
            <w:r>
              <w:rPr>
                <w:rFonts w:hint="eastAsia" w:ascii="Times New Roman" w:hAnsi="Times New Roman" w:eastAsia="仿宋_GB2312" w:cs="Times New Roman"/>
                <w:sz w:val="24"/>
                <w:szCs w:val="24"/>
              </w:rPr>
              <w:t>）</w:t>
            </w:r>
          </w:p>
        </w:tc>
        <w:tc>
          <w:tcPr>
            <w:tcW w:w="110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217.5</w:t>
            </w:r>
          </w:p>
        </w:tc>
        <w:tc>
          <w:tcPr>
            <w:tcW w:w="99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337.7</w:t>
            </w:r>
          </w:p>
        </w:tc>
        <w:tc>
          <w:tcPr>
            <w:tcW w:w="99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146.9</w:t>
            </w:r>
          </w:p>
        </w:tc>
        <w:tc>
          <w:tcPr>
            <w:tcW w:w="113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879.4</w:t>
            </w:r>
          </w:p>
        </w:tc>
        <w:tc>
          <w:tcPr>
            <w:tcW w:w="1134"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902.5</w:t>
            </w:r>
          </w:p>
        </w:tc>
        <w:tc>
          <w:tcPr>
            <w:tcW w:w="1212" w:type="dxa"/>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等线" w:cs="Times New Roman"/>
                <w:color w:val="000000"/>
                <w:sz w:val="24"/>
                <w:szCs w:val="24"/>
              </w:rPr>
              <w:t>809.0</w:t>
            </w:r>
          </w:p>
        </w:tc>
      </w:tr>
    </w:tbl>
    <w:p>
      <w:pPr>
        <w:spacing w:line="580" w:lineRule="exact"/>
        <w:ind w:firstLine="560" w:firstLineChars="200"/>
        <w:rPr>
          <w:rFonts w:ascii="Times New Roman" w:hAnsi="Times New Roman" w:eastAsia="仿宋_GB2312" w:cs="Times New Roman"/>
          <w:sz w:val="28"/>
          <w:szCs w:val="28"/>
        </w:rPr>
      </w:pPr>
    </w:p>
    <w:p>
      <w:pPr>
        <w:pStyle w:val="3"/>
        <w:spacing w:before="156" w:beforeLines="50"/>
      </w:pPr>
      <w:bookmarkStart w:id="319" w:name="_Toc188636923"/>
      <w:r>
        <w:t>4.6</w:t>
      </w:r>
      <w:r>
        <w:rPr>
          <w:rFonts w:hint="eastAsia"/>
        </w:rPr>
        <w:t>热负荷汇总</w:t>
      </w:r>
      <w:bookmarkEnd w:id="306"/>
      <w:bookmarkEnd w:id="307"/>
      <w:bookmarkEnd w:id="308"/>
      <w:bookmarkEnd w:id="309"/>
      <w:bookmarkEnd w:id="310"/>
      <w:bookmarkEnd w:id="311"/>
      <w:bookmarkEnd w:id="312"/>
      <w:bookmarkEnd w:id="313"/>
      <w:bookmarkEnd w:id="319"/>
    </w:p>
    <w:p>
      <w:pPr>
        <w:spacing w:line="580" w:lineRule="exact"/>
        <w:ind w:firstLine="560" w:firstLineChars="200"/>
        <w:rPr>
          <w:rFonts w:ascii="Times New Roman" w:hAnsi="Times New Roman" w:eastAsia="仿宋_GB2312" w:cs="Times New Roman"/>
          <w:sz w:val="28"/>
          <w:szCs w:val="24"/>
        </w:rPr>
      </w:pPr>
      <w:r>
        <w:rPr>
          <w:rFonts w:hint="eastAsia" w:ascii="Times New Roman" w:hAnsi="Times New Roman" w:eastAsia="仿宋_GB2312" w:cs="Times New Roman"/>
          <w:sz w:val="28"/>
          <w:szCs w:val="28"/>
        </w:rPr>
        <w:t>海宁市主要供热区域</w:t>
      </w:r>
      <w:r>
        <w:rPr>
          <w:rFonts w:hint="eastAsia" w:ascii="Times New Roman" w:hAnsi="Times New Roman" w:eastAsia="仿宋_GB2312" w:cs="Times New Roman"/>
          <w:sz w:val="28"/>
          <w:szCs w:val="24"/>
        </w:rPr>
        <w:t>近远期规划热负荷需求见表4</w:t>
      </w:r>
      <w:r>
        <w:rPr>
          <w:rFonts w:ascii="Times New Roman" w:hAnsi="Times New Roman" w:eastAsia="仿宋_GB2312" w:cs="Times New Roman"/>
          <w:sz w:val="28"/>
          <w:szCs w:val="24"/>
        </w:rPr>
        <w:t>.6-1</w:t>
      </w:r>
      <w:r>
        <w:rPr>
          <w:rFonts w:hint="eastAsia" w:ascii="Times New Roman" w:hAnsi="Times New Roman" w:eastAsia="仿宋_GB2312" w:cs="Times New Roman"/>
          <w:sz w:val="28"/>
          <w:szCs w:val="24"/>
        </w:rPr>
        <w:t>，规划设计热负荷情况见表</w:t>
      </w:r>
      <w:r>
        <w:rPr>
          <w:rFonts w:ascii="Times New Roman" w:hAnsi="Times New Roman" w:eastAsia="仿宋_GB2312" w:cs="Times New Roman"/>
          <w:sz w:val="28"/>
          <w:szCs w:val="24"/>
        </w:rPr>
        <w:t>4.6-2</w:t>
      </w:r>
      <w:r>
        <w:rPr>
          <w:rFonts w:hint="eastAsia" w:ascii="Times New Roman" w:hAnsi="Times New Roman" w:eastAsia="仿宋_GB2312" w:cs="Times New Roman"/>
          <w:sz w:val="28"/>
          <w:szCs w:val="24"/>
        </w:rPr>
        <w:t>。</w:t>
      </w:r>
    </w:p>
    <w:p>
      <w:pPr>
        <w:spacing w:before="156" w:beforeLines="50" w:line="360" w:lineRule="auto"/>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4.6-1 </w:t>
      </w:r>
      <w:r>
        <w:rPr>
          <w:rFonts w:hint="eastAsia" w:ascii="黑体" w:hAnsi="黑体" w:eastAsia="黑体" w:cs="Times New Roman"/>
          <w:sz w:val="28"/>
          <w:szCs w:val="28"/>
        </w:rPr>
        <w:t>海宁市</w:t>
      </w:r>
      <w:r>
        <w:rPr>
          <w:rFonts w:hint="eastAsia" w:ascii="黑体" w:hAnsi="黑体" w:eastAsia="黑体" w:cs="宋体"/>
          <w:sz w:val="28"/>
        </w:rPr>
        <w:t>规划期集中</w:t>
      </w:r>
      <w:r>
        <w:rPr>
          <w:rFonts w:hint="eastAsia" w:ascii="黑体" w:hAnsi="黑体" w:eastAsia="黑体" w:cs="Times New Roman"/>
          <w:sz w:val="28"/>
          <w:szCs w:val="28"/>
        </w:rPr>
        <w:t>供热热负荷汇总</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16"/>
        <w:gridCol w:w="2264"/>
        <w:gridCol w:w="1744"/>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55" w:type="dxa"/>
            <w:vAlign w:val="center"/>
          </w:tcPr>
          <w:p>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区域</w:t>
            </w:r>
          </w:p>
        </w:tc>
        <w:tc>
          <w:tcPr>
            <w:tcW w:w="1416" w:type="dxa"/>
            <w:vAlign w:val="center"/>
          </w:tcPr>
          <w:p>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蒸汽类型</w:t>
            </w:r>
          </w:p>
        </w:tc>
        <w:tc>
          <w:tcPr>
            <w:tcW w:w="2264" w:type="dxa"/>
            <w:vAlign w:val="center"/>
          </w:tcPr>
          <w:p>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设计热负荷类型</w:t>
            </w:r>
          </w:p>
        </w:tc>
        <w:tc>
          <w:tcPr>
            <w:tcW w:w="1744" w:type="dxa"/>
            <w:vAlign w:val="center"/>
          </w:tcPr>
          <w:p>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近期</w:t>
            </w:r>
          </w:p>
        </w:tc>
        <w:tc>
          <w:tcPr>
            <w:tcW w:w="1741" w:type="dxa"/>
            <w:vAlign w:val="center"/>
          </w:tcPr>
          <w:p>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中心城区北部及周边区块</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313.3</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313.3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117.4</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59.2</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中心城区南部及周边区块</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491.8</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271.3</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71.2</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83.4</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60.9</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22.7</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长安及周边区块</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491.3</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205.4</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117.9</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47.6</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20.5</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12.5</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许村区块</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439.5</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249.0</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157.0</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29.0</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13.5</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7.7</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尖山新区及周边区块</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376.2</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206.3</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122.3</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高压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641.0</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554.0</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979.6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461.0</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811.0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合计</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2112.1</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2216.8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1049.4</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527.6</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160.0</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94.9</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42.9</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高压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641.0</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1131.0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554.0</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979.6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461.0</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811.0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低压+中压+高压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2913.1</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3514.3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1698.3</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2193.2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1031.5</w:t>
            </w:r>
          </w:p>
        </w:tc>
        <w:tc>
          <w:tcPr>
            <w:tcW w:w="1741" w:type="dxa"/>
            <w:vAlign w:val="center"/>
          </w:tcPr>
          <w:p>
            <w:pPr>
              <w:spacing w:before="156" w:beforeLines="50"/>
              <w:jc w:val="center"/>
              <w:rPr>
                <w:rFonts w:ascii="Times New Roman" w:hAnsi="Times New Roman" w:eastAsia="等线" w:cs="Times New Roman"/>
                <w:color w:val="000000"/>
                <w:sz w:val="24"/>
                <w:szCs w:val="24"/>
              </w:rPr>
            </w:pPr>
            <w:r>
              <w:rPr>
                <w:rFonts w:ascii="Times New Roman" w:hAnsi="Times New Roman" w:eastAsia="等线" w:cs="Times New Roman"/>
                <w:color w:val="000000"/>
                <w:sz w:val="24"/>
                <w:szCs w:val="24"/>
              </w:rPr>
              <w:t>1422.3</w:t>
            </w:r>
          </w:p>
        </w:tc>
      </w:tr>
    </w:tbl>
    <w:p>
      <w:pPr>
        <w:spacing w:line="580" w:lineRule="exact"/>
        <w:ind w:firstLine="560" w:firstLineChars="200"/>
        <w:rPr>
          <w:rFonts w:ascii="Times New Roman" w:hAnsi="Times New Roman" w:eastAsia="仿宋_GB2312" w:cs="Times New Roman"/>
          <w:sz w:val="28"/>
          <w:szCs w:val="24"/>
        </w:rPr>
      </w:pPr>
    </w:p>
    <w:p>
      <w:pPr>
        <w:spacing w:before="156" w:beforeLines="50" w:line="360" w:lineRule="auto"/>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4.6-2 </w:t>
      </w:r>
      <w:r>
        <w:rPr>
          <w:rFonts w:hint="eastAsia" w:ascii="黑体" w:hAnsi="黑体" w:eastAsia="黑体" w:cs="Times New Roman"/>
          <w:sz w:val="28"/>
          <w:szCs w:val="28"/>
        </w:rPr>
        <w:t>海宁市</w:t>
      </w:r>
      <w:r>
        <w:rPr>
          <w:rFonts w:hint="eastAsia" w:ascii="黑体" w:hAnsi="黑体" w:eastAsia="黑体" w:cs="宋体"/>
          <w:sz w:val="28"/>
        </w:rPr>
        <w:t>规划期集中</w:t>
      </w:r>
      <w:r>
        <w:rPr>
          <w:rFonts w:hint="eastAsia" w:ascii="黑体" w:hAnsi="黑体" w:eastAsia="黑体" w:cs="Times New Roman"/>
          <w:sz w:val="28"/>
          <w:szCs w:val="28"/>
        </w:rPr>
        <w:t>供热设计热负荷汇总</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16"/>
        <w:gridCol w:w="2264"/>
        <w:gridCol w:w="1744"/>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55" w:type="dxa"/>
            <w:vAlign w:val="center"/>
          </w:tcPr>
          <w:p>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区域</w:t>
            </w:r>
          </w:p>
        </w:tc>
        <w:tc>
          <w:tcPr>
            <w:tcW w:w="1416" w:type="dxa"/>
            <w:vAlign w:val="center"/>
          </w:tcPr>
          <w:p>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蒸汽类型</w:t>
            </w:r>
          </w:p>
        </w:tc>
        <w:tc>
          <w:tcPr>
            <w:tcW w:w="2264" w:type="dxa"/>
            <w:vAlign w:val="center"/>
          </w:tcPr>
          <w:p>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设计热负荷类型</w:t>
            </w:r>
          </w:p>
        </w:tc>
        <w:tc>
          <w:tcPr>
            <w:tcW w:w="1744" w:type="dxa"/>
            <w:vAlign w:val="center"/>
          </w:tcPr>
          <w:p>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近期</w:t>
            </w:r>
          </w:p>
        </w:tc>
        <w:tc>
          <w:tcPr>
            <w:tcW w:w="1741" w:type="dxa"/>
            <w:vAlign w:val="center"/>
          </w:tcPr>
          <w:p>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中心城区北部及周边区块</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187.5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93.7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59.1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中心城区南部及周边区块</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294.3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216.5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225.3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71.0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49.9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48.6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22.6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长安及周边区块</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294.0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163.9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170.6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117.6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122.4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28.5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16.4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12.5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许村区块</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306.9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319.3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198.7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206.8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156.6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163.0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20.2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10.8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7.7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尖山新区及周边区块</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300.2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337.7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185.2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217.5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122.0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高压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511.5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497.4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879.4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459.8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809.0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合计</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1383.0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1456.8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858.0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913.8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526.3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565.2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98.7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75.7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42.8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高压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511.5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497.4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879.4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459.8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809.0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低压+中压+高压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1993.2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2462.0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1431.1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1872.1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1028.9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1418.7 </w:t>
            </w:r>
          </w:p>
        </w:tc>
      </w:tr>
    </w:tbl>
    <w:p>
      <w:pPr>
        <w:pStyle w:val="53"/>
        <w:spacing w:line="240" w:lineRule="auto"/>
        <w:ind w:firstLine="480"/>
        <w:rPr>
          <w:rFonts w:ascii="Times New Roman" w:hAnsi="Times New Roman" w:eastAsia="仿宋_GB2312" w:cs="Times New Roman"/>
          <w:sz w:val="24"/>
        </w:rPr>
      </w:pPr>
      <w:r>
        <w:rPr>
          <w:rFonts w:hint="eastAsia" w:ascii="Times New Roman" w:hAnsi="Times New Roman" w:eastAsia="仿宋_GB2312" w:cs="Times New Roman"/>
          <w:sz w:val="24"/>
        </w:rPr>
        <w:t>注：1</w:t>
      </w:r>
      <w:r>
        <w:rPr>
          <w:rFonts w:ascii="Times New Roman" w:hAnsi="Times New Roman" w:eastAsia="仿宋_GB2312" w:cs="Times New Roman"/>
          <w:sz w:val="24"/>
        </w:rPr>
        <w:t>.</w:t>
      </w:r>
      <w:r>
        <w:rPr>
          <w:rFonts w:hint="eastAsia" w:ascii="Times New Roman" w:hAnsi="Times New Roman" w:eastAsia="仿宋_GB2312" w:cs="Times New Roman"/>
          <w:sz w:val="24"/>
        </w:rPr>
        <w:t>只考虑参与集中供热的热用户热负荷情况。</w:t>
      </w:r>
    </w:p>
    <w:p>
      <w:pPr>
        <w:pStyle w:val="53"/>
        <w:spacing w:line="240" w:lineRule="auto"/>
        <w:ind w:firstLine="480"/>
      </w:pPr>
      <w:r>
        <w:rPr>
          <w:rFonts w:hint="eastAsia" w:ascii="Times New Roman" w:hAnsi="Times New Roman" w:eastAsia="仿宋_GB2312" w:cs="Times New Roman"/>
          <w:sz w:val="24"/>
        </w:rPr>
        <w:t xml:space="preserve"> </w:t>
      </w:r>
      <w:r>
        <w:rPr>
          <w:rFonts w:ascii="Times New Roman" w:hAnsi="Times New Roman" w:eastAsia="仿宋_GB2312" w:cs="Times New Roman"/>
          <w:sz w:val="24"/>
        </w:rPr>
        <w:t xml:space="preserve">   2.</w:t>
      </w:r>
      <w:r>
        <w:rPr>
          <w:rFonts w:hint="eastAsia" w:ascii="Times New Roman" w:hAnsi="Times New Roman" w:eastAsia="仿宋_GB2312" w:cs="Times New Roman"/>
          <w:sz w:val="24"/>
        </w:rPr>
        <w:t>设计热负荷考虑了管损系数</w:t>
      </w:r>
      <w:r>
        <w:rPr>
          <w:rFonts w:ascii="Times New Roman" w:hAnsi="Times New Roman" w:eastAsia="仿宋_GB2312" w:cs="Times New Roman"/>
          <w:sz w:val="24"/>
        </w:rPr>
        <w:t>、焓折系数和同时系数</w:t>
      </w:r>
      <w:r>
        <w:rPr>
          <w:rFonts w:hint="eastAsia" w:ascii="Times New Roman" w:hAnsi="Times New Roman" w:eastAsia="仿宋_GB2312" w:cs="Times New Roman"/>
          <w:sz w:val="24"/>
        </w:rPr>
        <w:t>。</w:t>
      </w:r>
    </w:p>
    <w:p>
      <w:pPr>
        <w:pStyle w:val="53"/>
        <w:spacing w:line="240" w:lineRule="auto"/>
        <w:ind w:firstLine="560"/>
      </w:pPr>
    </w:p>
    <w:p>
      <w:pPr>
        <w:sectPr>
          <w:pgSz w:w="11906" w:h="16838"/>
          <w:pgMar w:top="1474" w:right="1588" w:bottom="1701" w:left="1588" w:header="851" w:footer="992" w:gutter="0"/>
          <w:cols w:space="425" w:num="1"/>
          <w:docGrid w:type="lines" w:linePitch="312" w:charSpace="0"/>
        </w:sectPr>
      </w:pPr>
    </w:p>
    <w:p>
      <w:pPr>
        <w:pStyle w:val="2"/>
      </w:pPr>
      <w:bookmarkStart w:id="320" w:name="_Toc188636924"/>
      <w:r>
        <w:rPr>
          <w:rFonts w:hint="eastAsia"/>
        </w:rPr>
        <w:t>五、热源点规划建设规模及建设条件</w:t>
      </w:r>
      <w:bookmarkEnd w:id="320"/>
    </w:p>
    <w:p>
      <w:pPr>
        <w:pStyle w:val="3"/>
      </w:pPr>
      <w:bookmarkStart w:id="321" w:name="_Toc188636925"/>
      <w:r>
        <w:t>5.1</w:t>
      </w:r>
      <w:r>
        <w:rPr>
          <w:rFonts w:hint="eastAsia"/>
        </w:rPr>
        <w:t>热源点布局原则</w:t>
      </w:r>
      <w:bookmarkEnd w:id="321"/>
    </w:p>
    <w:p>
      <w:pPr>
        <w:pStyle w:val="4"/>
      </w:pPr>
      <w:bookmarkStart w:id="322" w:name="_Toc183631798"/>
      <w:bookmarkStart w:id="323" w:name="_Toc171197872"/>
      <w:bookmarkStart w:id="324" w:name="_Toc144301028"/>
      <w:bookmarkStart w:id="325" w:name="_Toc136514744"/>
      <w:bookmarkStart w:id="326" w:name="_Toc144301247"/>
      <w:bookmarkStart w:id="327" w:name="_Toc188636926"/>
      <w:bookmarkStart w:id="328" w:name="_Toc139379158"/>
      <w:bookmarkStart w:id="329" w:name="_Toc181983781"/>
      <w:r>
        <w:t>5.1.1</w:t>
      </w:r>
      <w:r>
        <w:rPr>
          <w:rFonts w:hint="eastAsia"/>
        </w:rPr>
        <w:t>选址原则</w:t>
      </w:r>
      <w:bookmarkEnd w:id="322"/>
      <w:bookmarkEnd w:id="323"/>
      <w:bookmarkEnd w:id="324"/>
      <w:bookmarkEnd w:id="325"/>
      <w:bookmarkEnd w:id="326"/>
      <w:bookmarkEnd w:id="327"/>
      <w:bookmarkEnd w:id="328"/>
      <w:bookmarkEnd w:id="329"/>
    </w:p>
    <w:p>
      <w:pPr>
        <w:spacing w:line="580" w:lineRule="exact"/>
        <w:ind w:firstLine="560" w:firstLineChars="200"/>
        <w:rPr>
          <w:rFonts w:ascii="Times New Roman" w:hAnsi="Times New Roman" w:eastAsia="仿宋_GB2312" w:cs="宋体"/>
          <w:sz w:val="28"/>
        </w:rPr>
      </w:pPr>
      <w:r>
        <w:rPr>
          <w:rFonts w:hint="eastAsia" w:ascii="Times New Roman" w:hAnsi="Times New Roman" w:eastAsia="仿宋_GB2312" w:cs="宋体"/>
          <w:sz w:val="28"/>
        </w:rPr>
        <w:t>根据海宁市节能减排要求、现有热源点分布情况和规划热负荷需求，热源点按以下原则进行布局和调整：</w:t>
      </w:r>
    </w:p>
    <w:p>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（1）</w:t>
      </w:r>
      <w:r>
        <w:rPr>
          <w:rFonts w:ascii="Times New Roman" w:hAnsi="Times New Roman" w:eastAsia="仿宋_GB2312" w:cs="Times New Roman"/>
          <w:sz w:val="28"/>
        </w:rPr>
        <w:t>控制新建热源点数量，鼓励热用户向具有供热能力的已有热源点供热范围内集聚，对热用户较集中、热负荷较大、且周边热源点无法满足用热需求的新工业平台，可规划布局新热源点；</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（2）</w:t>
      </w:r>
      <w:r>
        <w:rPr>
          <w:rFonts w:ascii="Times New Roman" w:hAnsi="Times New Roman" w:eastAsia="仿宋_GB2312" w:cs="Times New Roman"/>
          <w:sz w:val="28"/>
        </w:rPr>
        <w:t>目前供热范围内新增热负荷较多，且现有供热规模不能满足热负荷增长需求的热电企业，可视现有装机和建设条件情况进行扩建和改建。</w:t>
      </w:r>
    </w:p>
    <w:p>
      <w:pPr>
        <w:spacing w:line="580" w:lineRule="exact"/>
        <w:ind w:firstLine="556"/>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（3）</w:t>
      </w:r>
      <w:r>
        <w:rPr>
          <w:rFonts w:ascii="Times New Roman" w:hAnsi="Times New Roman" w:eastAsia="仿宋_GB2312" w:cs="Times New Roman"/>
          <w:sz w:val="28"/>
          <w:szCs w:val="28"/>
        </w:rPr>
        <w:t>对已达到供热规模，规划期内基本可以满足周边热负荷需求的热电企业，原则保留热源点，并对现有机组按要求进行改造，</w:t>
      </w:r>
      <w:r>
        <w:rPr>
          <w:rFonts w:hint="eastAsia" w:ascii="Times New Roman" w:hAnsi="Times New Roman" w:eastAsia="仿宋_GB2312" w:cs="Times New Roman"/>
          <w:sz w:val="28"/>
          <w:szCs w:val="28"/>
        </w:rPr>
        <w:t>根据企业周边新增用户情况启动供热能力保证和补充的技改工作</w:t>
      </w:r>
      <w:r>
        <w:rPr>
          <w:rFonts w:ascii="Times New Roman" w:hAnsi="Times New Roman" w:eastAsia="仿宋_GB2312" w:cs="Times New Roman"/>
          <w:sz w:val="28"/>
          <w:szCs w:val="28"/>
        </w:rPr>
        <w:t>。</w:t>
      </w:r>
    </w:p>
    <w:p>
      <w:pPr>
        <w:spacing w:line="580" w:lineRule="exact"/>
        <w:ind w:firstLine="556"/>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（4）</w:t>
      </w:r>
      <w:r>
        <w:rPr>
          <w:rFonts w:ascii="Times New Roman" w:hAnsi="Times New Roman" w:eastAsia="仿宋_GB2312" w:cs="Times New Roman"/>
          <w:sz w:val="28"/>
          <w:szCs w:val="28"/>
        </w:rPr>
        <w:t>在已有热电厂的供热范围内，原则上不重复规划建设企业自备热电厂。</w:t>
      </w:r>
    </w:p>
    <w:p>
      <w:pPr>
        <w:spacing w:line="580" w:lineRule="exact"/>
        <w:ind w:firstLine="57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（5）</w:t>
      </w:r>
      <w:r>
        <w:rPr>
          <w:rFonts w:ascii="Times New Roman" w:hAnsi="Times New Roman" w:eastAsia="仿宋_GB2312" w:cs="Times New Roman"/>
          <w:sz w:val="28"/>
          <w:szCs w:val="28"/>
        </w:rPr>
        <w:t>对供热范围内热用户不断减少，且可以纳入周边区域性热源点的热电企业，鼓励关停，热力管网和剩余热用户就近纳入保留的热电企业。</w:t>
      </w:r>
    </w:p>
    <w:p>
      <w:pPr>
        <w:pStyle w:val="4"/>
      </w:pPr>
      <w:bookmarkStart w:id="330" w:name="_Toc144301029"/>
      <w:bookmarkStart w:id="331" w:name="_Toc183631799"/>
      <w:bookmarkStart w:id="332" w:name="_Toc136514745"/>
      <w:bookmarkStart w:id="333" w:name="_Toc188636927"/>
      <w:bookmarkStart w:id="334" w:name="_Toc144301248"/>
      <w:bookmarkStart w:id="335" w:name="_Toc139379159"/>
      <w:bookmarkStart w:id="336" w:name="_Toc181983782"/>
      <w:bookmarkStart w:id="337" w:name="_Toc171197873"/>
      <w:r>
        <w:t>5.1.2</w:t>
      </w:r>
      <w:r>
        <w:rPr>
          <w:rFonts w:hint="eastAsia"/>
        </w:rPr>
        <w:t>建设方案确定原则</w:t>
      </w:r>
      <w:bookmarkEnd w:id="330"/>
      <w:bookmarkEnd w:id="331"/>
      <w:bookmarkEnd w:id="332"/>
      <w:bookmarkEnd w:id="333"/>
      <w:bookmarkEnd w:id="334"/>
      <w:bookmarkEnd w:id="335"/>
      <w:bookmarkEnd w:id="336"/>
      <w:bookmarkEnd w:id="337"/>
    </w:p>
    <w:p>
      <w:pPr>
        <w:spacing w:line="580" w:lineRule="exact"/>
        <w:ind w:firstLine="556"/>
        <w:rPr>
          <w:rFonts w:ascii="Times New Roman" w:hAnsi="Times New Roman" w:eastAsia="仿宋_GB2312" w:cs="Times New Roman"/>
          <w:sz w:val="28"/>
          <w:szCs w:val="28"/>
        </w:rPr>
      </w:pPr>
      <w:r>
        <w:rPr>
          <w:rFonts w:ascii="Times New Roman" w:hAnsi="Times New Roman" w:eastAsia="仿宋_GB2312" w:cs="Times New Roman"/>
          <w:sz w:val="28"/>
          <w:szCs w:val="28"/>
        </w:rPr>
        <w:t>按照“以热定电”的原则，采用高压高温参数及以上的热电机组，优先选用背压机组，现有抽凝式机组尽快改造成背压式机组，原则上每座热电厂最多保留1台抽凝机组。</w:t>
      </w:r>
    </w:p>
    <w:p>
      <w:pPr>
        <w:pStyle w:val="3"/>
      </w:pPr>
      <w:bookmarkStart w:id="338" w:name="_Toc188636928"/>
      <w:bookmarkStart w:id="339" w:name="_Toc312171465"/>
      <w:bookmarkStart w:id="340" w:name="_Toc265075588"/>
      <w:r>
        <w:t>5.2</w:t>
      </w:r>
      <w:r>
        <w:rPr>
          <w:rFonts w:hint="eastAsia"/>
        </w:rPr>
        <w:t>热源点布局规划</w:t>
      </w:r>
      <w:bookmarkEnd w:id="338"/>
    </w:p>
    <w:p>
      <w:pPr>
        <w:pStyle w:val="4"/>
      </w:pPr>
      <w:bookmarkStart w:id="341" w:name="_Toc181983784"/>
      <w:bookmarkStart w:id="342" w:name="_Toc183631801"/>
      <w:bookmarkStart w:id="343" w:name="_Toc188636929"/>
      <w:bookmarkStart w:id="344" w:name="_Toc139379161"/>
      <w:bookmarkStart w:id="345" w:name="_Toc136514747"/>
      <w:bookmarkStart w:id="346" w:name="_Toc171197875"/>
      <w:bookmarkStart w:id="347" w:name="_Toc144301031"/>
      <w:bookmarkStart w:id="348" w:name="_Toc144301250"/>
      <w:r>
        <w:t>5.2.1</w:t>
      </w:r>
      <w:r>
        <w:rPr>
          <w:rFonts w:hint="eastAsia"/>
        </w:rPr>
        <w:t>热源点类型及规模</w:t>
      </w:r>
      <w:bookmarkEnd w:id="341"/>
      <w:bookmarkEnd w:id="342"/>
      <w:bookmarkEnd w:id="343"/>
      <w:bookmarkEnd w:id="344"/>
      <w:bookmarkEnd w:id="345"/>
      <w:bookmarkEnd w:id="346"/>
      <w:bookmarkEnd w:id="347"/>
      <w:bookmarkEnd w:id="348"/>
    </w:p>
    <w:p>
      <w:pPr>
        <w:pStyle w:val="4"/>
      </w:pPr>
      <w:bookmarkStart w:id="349" w:name="_Toc183631802"/>
      <w:bookmarkStart w:id="350" w:name="_Toc171197876"/>
      <w:bookmarkStart w:id="351" w:name="_Toc144301251"/>
      <w:bookmarkStart w:id="352" w:name="_Toc181983785"/>
      <w:bookmarkStart w:id="353" w:name="_Toc111225955"/>
      <w:bookmarkStart w:id="354" w:name="_Toc144301032"/>
      <w:bookmarkStart w:id="355" w:name="_Toc188636930"/>
      <w:r>
        <w:t>5.2.1</w:t>
      </w:r>
      <w:r>
        <w:rPr>
          <w:rFonts w:hint="eastAsia"/>
        </w:rPr>
        <w:t>.</w:t>
      </w:r>
      <w:r>
        <w:t>1</w:t>
      </w:r>
      <w:bookmarkEnd w:id="349"/>
      <w:bookmarkEnd w:id="350"/>
      <w:bookmarkEnd w:id="351"/>
      <w:bookmarkEnd w:id="352"/>
      <w:bookmarkEnd w:id="353"/>
      <w:bookmarkEnd w:id="354"/>
      <w:r>
        <w:rPr>
          <w:rFonts w:hint="eastAsia"/>
          <w:color w:val="000000" w:themeColor="text1"/>
          <w:szCs w:val="28"/>
          <w14:textFill>
            <w14:solidFill>
              <w14:schemeClr w14:val="tx1"/>
            </w14:solidFill>
          </w14:textFill>
        </w:rPr>
        <w:t>中心城区北部及周边区块</w:t>
      </w:r>
      <w:bookmarkEnd w:id="355"/>
    </w:p>
    <w:p>
      <w:pPr>
        <w:pStyle w:val="53"/>
        <w:spacing w:line="580" w:lineRule="exact"/>
        <w:ind w:firstLine="562"/>
        <w:rPr>
          <w:rFonts w:ascii="Times New Roman" w:hAnsi="Times New Roman" w:eastAsia="仿宋_GB2312" w:cs="宋体"/>
          <w:b/>
        </w:rPr>
      </w:pPr>
      <w:r>
        <w:rPr>
          <w:rFonts w:hint="eastAsia" w:ascii="Times New Roman" w:hAnsi="Times New Roman" w:eastAsia="仿宋_GB2312" w:cs="宋体"/>
          <w:b/>
        </w:rPr>
        <w:t>（1）海宁光耀热电有限公司</w:t>
      </w:r>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海宁光耀热电有限公司下辖</w:t>
      </w:r>
      <w:r>
        <w:rPr>
          <w:rFonts w:ascii="Times New Roman" w:hAnsi="Times New Roman" w:eastAsia="仿宋_GB2312" w:cs="宋体"/>
        </w:rPr>
        <w:t>2个能源站</w:t>
      </w:r>
      <w:r>
        <w:rPr>
          <w:rFonts w:hint="eastAsia" w:ascii="Times New Roman" w:hAnsi="Times New Roman" w:eastAsia="仿宋_GB2312" w:cs="宋体"/>
        </w:rPr>
        <w:t>。海宁光耀热电有限公司</w:t>
      </w:r>
      <w:r>
        <w:rPr>
          <w:rFonts w:ascii="Times New Roman" w:hAnsi="Times New Roman" w:eastAsia="仿宋_GB2312" w:cs="宋体"/>
        </w:rPr>
        <w:t>1号能源站</w:t>
      </w:r>
      <w:r>
        <w:rPr>
          <w:rFonts w:hint="eastAsia" w:ascii="Times New Roman" w:hAnsi="Times New Roman" w:eastAsia="仿宋_GB2312" w:cs="宋体"/>
        </w:rPr>
        <w:t>计划建设</w:t>
      </w:r>
      <w:r>
        <w:rPr>
          <w:rFonts w:ascii="Times New Roman" w:hAnsi="Times New Roman" w:eastAsia="仿宋_GB2312" w:cs="宋体"/>
        </w:rPr>
        <w:t>3套8MW级燃气轮发电机组，配置3台15t/h余热锅炉，并配置3台25t/h天然气燃气锅炉作为供热的调峰和</w:t>
      </w:r>
      <w:r>
        <w:rPr>
          <w:rFonts w:hint="eastAsia" w:ascii="Times New Roman" w:hAnsi="Times New Roman" w:eastAsia="仿宋_GB2312" w:cs="宋体"/>
        </w:rPr>
        <w:t>备用，燃气锅炉是</w:t>
      </w:r>
      <w:r>
        <w:rPr>
          <w:rFonts w:ascii="Times New Roman" w:hAnsi="Times New Roman" w:eastAsia="仿宋_GB2312" w:cs="宋体"/>
        </w:rPr>
        <w:t>2用1备</w:t>
      </w:r>
      <w:r>
        <w:rPr>
          <w:rFonts w:hint="eastAsia" w:ascii="Times New Roman" w:hAnsi="Times New Roman" w:eastAsia="仿宋_GB2312" w:cs="宋体"/>
        </w:rPr>
        <w:t>，由于项目因建设中原材料天然气价格上涨超出生产盈亏平衡点，目前</w:t>
      </w:r>
      <w:r>
        <w:rPr>
          <w:rFonts w:ascii="Times New Roman" w:hAnsi="Times New Roman" w:eastAsia="仿宋_GB2312" w:cs="宋体"/>
        </w:rPr>
        <w:t>仅投运3台25t/h天然气燃气锅炉，</w:t>
      </w:r>
      <w:r>
        <w:rPr>
          <w:rFonts w:hint="eastAsia" w:ascii="Times New Roman" w:hAnsi="Times New Roman" w:eastAsia="仿宋_GB2312" w:cs="宋体"/>
        </w:rPr>
        <w:t>日常供热能力为</w:t>
      </w:r>
      <w:r>
        <w:rPr>
          <w:rFonts w:ascii="Times New Roman" w:hAnsi="Times New Roman" w:eastAsia="仿宋_GB2312" w:cs="宋体"/>
        </w:rPr>
        <w:t>40t/h，最大供热能力为60t/h；燃气轮发电机组和余热锅炉预计</w:t>
      </w:r>
      <w:r>
        <w:rPr>
          <w:rFonts w:hint="eastAsia" w:ascii="Times New Roman" w:hAnsi="Times New Roman" w:eastAsia="仿宋_GB2312" w:cs="宋体"/>
        </w:rPr>
        <w:t>规划期内</w:t>
      </w:r>
      <w:r>
        <w:rPr>
          <w:rFonts w:ascii="Times New Roman" w:hAnsi="Times New Roman" w:eastAsia="仿宋_GB2312" w:cs="宋体"/>
        </w:rPr>
        <w:t>投产，届时最大供热能力达100t/h。</w:t>
      </w:r>
      <w:r>
        <w:rPr>
          <w:rFonts w:hint="eastAsia" w:ascii="Times New Roman" w:hAnsi="Times New Roman" w:eastAsia="仿宋_GB2312" w:cs="宋体"/>
        </w:rPr>
        <w:t>海宁光耀热电有限公司</w:t>
      </w:r>
      <w:r>
        <w:rPr>
          <w:rFonts w:ascii="Times New Roman" w:hAnsi="Times New Roman" w:eastAsia="仿宋_GB2312" w:cs="宋体"/>
        </w:rPr>
        <w:t>2号能源站</w:t>
      </w:r>
      <w:r>
        <w:rPr>
          <w:rFonts w:hint="eastAsia" w:ascii="Times New Roman" w:hAnsi="Times New Roman" w:eastAsia="仿宋_GB2312" w:cs="宋体"/>
        </w:rPr>
        <w:t>计划建设</w:t>
      </w:r>
      <w:r>
        <w:rPr>
          <w:rFonts w:ascii="Times New Roman" w:hAnsi="Times New Roman" w:eastAsia="仿宋_GB2312" w:cs="宋体"/>
        </w:rPr>
        <w:t>2套8MW级燃气轮机组，配置2台15t/h余热锅炉，并配置3台25t/h天然气燃气锅炉作为供热的调峰</w:t>
      </w:r>
      <w:r>
        <w:rPr>
          <w:rFonts w:hint="eastAsia" w:ascii="Times New Roman" w:hAnsi="Times New Roman" w:eastAsia="仿宋_GB2312" w:cs="宋体"/>
        </w:rPr>
        <w:t>，由于项目因建设中原材料天然气价格上涨超出生产盈亏平衡点，目前</w:t>
      </w:r>
      <w:r>
        <w:rPr>
          <w:rFonts w:ascii="Times New Roman" w:hAnsi="Times New Roman" w:eastAsia="仿宋_GB2312" w:cs="宋体"/>
        </w:rPr>
        <w:t>仅投运3台25t/h天然气燃气锅炉，</w:t>
      </w:r>
      <w:r>
        <w:rPr>
          <w:rFonts w:hint="eastAsia" w:ascii="Times New Roman" w:hAnsi="Times New Roman" w:eastAsia="仿宋_GB2312" w:cs="宋体"/>
        </w:rPr>
        <w:t>日常供热能力为</w:t>
      </w:r>
      <w:r>
        <w:rPr>
          <w:rFonts w:ascii="Times New Roman" w:hAnsi="Times New Roman" w:eastAsia="仿宋_GB2312" w:cs="宋体"/>
        </w:rPr>
        <w:t>60t/h；燃气轮发电机组和余热锅炉预计</w:t>
      </w:r>
      <w:r>
        <w:rPr>
          <w:rFonts w:hint="eastAsia" w:ascii="Times New Roman" w:hAnsi="Times New Roman" w:eastAsia="仿宋_GB2312" w:cs="宋体"/>
        </w:rPr>
        <w:t>规划期内</w:t>
      </w:r>
      <w:r>
        <w:rPr>
          <w:rFonts w:ascii="Times New Roman" w:hAnsi="Times New Roman" w:eastAsia="仿宋_GB2312" w:cs="宋体"/>
        </w:rPr>
        <w:t>投产，届时最大供热能力达90t/h。</w:t>
      </w:r>
      <w:r>
        <w:rPr>
          <w:rFonts w:hint="eastAsia" w:ascii="Times New Roman" w:hAnsi="Times New Roman" w:eastAsia="仿宋_GB2312" w:cs="宋体"/>
        </w:rPr>
        <w:t>海宁光耀热电有限公司规划期内暂</w:t>
      </w:r>
      <w:r>
        <w:rPr>
          <w:rFonts w:ascii="Times New Roman" w:hAnsi="Times New Roman" w:eastAsia="仿宋_GB2312" w:cs="宋体"/>
        </w:rPr>
        <w:t>无</w:t>
      </w:r>
      <w:r>
        <w:rPr>
          <w:rFonts w:hint="eastAsia" w:ascii="Times New Roman" w:hAnsi="Times New Roman" w:eastAsia="仿宋_GB2312" w:cs="宋体"/>
        </w:rPr>
        <w:t>进一步改</w:t>
      </w:r>
      <w:r>
        <w:rPr>
          <w:rFonts w:ascii="Times New Roman" w:hAnsi="Times New Roman" w:eastAsia="仿宋_GB2312" w:cs="宋体"/>
        </w:rPr>
        <w:t>扩建</w:t>
      </w:r>
      <w:r>
        <w:rPr>
          <w:rFonts w:hint="eastAsia" w:ascii="Times New Roman" w:hAnsi="Times New Roman" w:eastAsia="仿宋_GB2312" w:cs="宋体"/>
        </w:rPr>
        <w:t>计划。鼓励海宁光耀热电有限公司</w:t>
      </w:r>
      <w:r>
        <w:rPr>
          <w:rFonts w:ascii="Times New Roman" w:hAnsi="Times New Roman" w:eastAsia="仿宋_GB2312" w:cs="宋体"/>
        </w:rPr>
        <w:t>能源站</w:t>
      </w:r>
      <w:r>
        <w:rPr>
          <w:rFonts w:hint="eastAsia" w:ascii="Times New Roman" w:hAnsi="Times New Roman" w:eastAsia="仿宋_GB2312" w:cs="宋体"/>
        </w:rPr>
        <w:t>与周边公共热源点管网互联互通，比如</w:t>
      </w:r>
      <w:r>
        <w:rPr>
          <w:rFonts w:ascii="Times New Roman" w:hAnsi="Times New Roman" w:eastAsia="仿宋_GB2312" w:cs="宋体"/>
        </w:rPr>
        <w:t>海盐</w:t>
      </w:r>
      <w:r>
        <w:rPr>
          <w:rFonts w:hint="eastAsia" w:ascii="Times New Roman" w:hAnsi="Times New Roman" w:eastAsia="仿宋_GB2312" w:cs="宋体"/>
        </w:rPr>
        <w:t>的</w:t>
      </w:r>
      <w:r>
        <w:rPr>
          <w:rFonts w:ascii="Times New Roman" w:hAnsi="Times New Roman" w:eastAsia="仿宋_GB2312" w:cs="宋体"/>
        </w:rPr>
        <w:t>恒洋热电</w:t>
      </w:r>
      <w:r>
        <w:rPr>
          <w:rFonts w:hint="eastAsia" w:ascii="Times New Roman" w:hAnsi="Times New Roman" w:eastAsia="仿宋_GB2312" w:cs="宋体"/>
        </w:rPr>
        <w:t>有限公司，提高该区块供热的安全性、稳定性和经济性。</w:t>
      </w:r>
    </w:p>
    <w:p>
      <w:pPr>
        <w:pStyle w:val="4"/>
      </w:pPr>
      <w:bookmarkStart w:id="356" w:name="_Toc188636931"/>
      <w:r>
        <w:t>5.2.1</w:t>
      </w:r>
      <w:r>
        <w:rPr>
          <w:rFonts w:hint="eastAsia"/>
        </w:rPr>
        <w:t>.</w:t>
      </w:r>
      <w:r>
        <w:t>2</w:t>
      </w:r>
      <w:r>
        <w:rPr>
          <w:rFonts w:hint="eastAsia"/>
          <w:color w:val="000000" w:themeColor="text1"/>
          <w:szCs w:val="28"/>
          <w14:textFill>
            <w14:solidFill>
              <w14:schemeClr w14:val="tx1"/>
            </w14:solidFill>
          </w14:textFill>
        </w:rPr>
        <w:t>中心城区南部及周边区块</w:t>
      </w:r>
      <w:bookmarkEnd w:id="356"/>
    </w:p>
    <w:p>
      <w:pPr>
        <w:pStyle w:val="61"/>
        <w:ind w:firstLine="562"/>
        <w:rPr>
          <w:b/>
          <w:sz w:val="28"/>
          <w:szCs w:val="24"/>
        </w:rPr>
      </w:pPr>
      <w:r>
        <w:rPr>
          <w:rFonts w:hint="eastAsia"/>
          <w:b/>
          <w:sz w:val="28"/>
          <w:szCs w:val="24"/>
        </w:rPr>
        <w:t>（1）海宁马桥大都市热电有限公司</w:t>
      </w:r>
    </w:p>
    <w:p>
      <w:pPr>
        <w:pStyle w:val="61"/>
        <w:ind w:firstLine="560"/>
        <w:rPr>
          <w:color w:val="000000"/>
          <w:sz w:val="28"/>
          <w:szCs w:val="28"/>
        </w:rPr>
      </w:pPr>
      <w:r>
        <w:rPr>
          <w:rFonts w:hint="eastAsia"/>
          <w:sz w:val="28"/>
          <w:szCs w:val="24"/>
        </w:rPr>
        <w:t>海宁马桥大都市热电有限公司</w:t>
      </w:r>
      <w:r>
        <w:rPr>
          <w:sz w:val="28"/>
          <w:szCs w:val="24"/>
        </w:rPr>
        <w:t>目前</w:t>
      </w:r>
      <w:r>
        <w:rPr>
          <w:rFonts w:hint="eastAsia"/>
          <w:sz w:val="28"/>
          <w:szCs w:val="24"/>
        </w:rPr>
        <w:t>装机</w:t>
      </w:r>
      <w:r>
        <w:rPr>
          <w:sz w:val="28"/>
          <w:szCs w:val="24"/>
        </w:rPr>
        <w:t>规模为5炉4</w:t>
      </w:r>
      <w:r>
        <w:rPr>
          <w:rFonts w:hint="eastAsia"/>
          <w:sz w:val="28"/>
          <w:szCs w:val="24"/>
        </w:rPr>
        <w:t>机，锅炉总容量</w:t>
      </w:r>
      <w:r>
        <w:rPr>
          <w:sz w:val="28"/>
          <w:szCs w:val="24"/>
        </w:rPr>
        <w:t>450t/h，装机总容量45MW</w:t>
      </w:r>
      <w:r>
        <w:rPr>
          <w:rFonts w:hint="eastAsia"/>
          <w:sz w:val="28"/>
          <w:szCs w:val="24"/>
        </w:rPr>
        <w:t>。</w:t>
      </w:r>
      <w:r>
        <w:rPr>
          <w:sz w:val="28"/>
          <w:szCs w:val="24"/>
        </w:rPr>
        <w:t>日常供热能力280t/h，最大供热能力360t/h</w:t>
      </w:r>
      <w:r>
        <w:rPr>
          <w:rFonts w:hint="eastAsia"/>
          <w:sz w:val="28"/>
          <w:szCs w:val="24"/>
        </w:rPr>
        <w:t>。马桥大都市热电有限公司暂</w:t>
      </w:r>
      <w:r>
        <w:rPr>
          <w:sz w:val="28"/>
          <w:szCs w:val="24"/>
        </w:rPr>
        <w:t>无</w:t>
      </w:r>
      <w:r>
        <w:rPr>
          <w:rFonts w:hint="eastAsia"/>
          <w:sz w:val="28"/>
          <w:szCs w:val="24"/>
        </w:rPr>
        <w:t>改</w:t>
      </w:r>
      <w:r>
        <w:rPr>
          <w:sz w:val="28"/>
          <w:szCs w:val="24"/>
        </w:rPr>
        <w:t>扩建</w:t>
      </w:r>
      <w:r>
        <w:rPr>
          <w:rFonts w:hint="eastAsia"/>
          <w:sz w:val="28"/>
          <w:szCs w:val="24"/>
        </w:rPr>
        <w:t>计划</w:t>
      </w:r>
      <w:r>
        <w:rPr>
          <w:sz w:val="28"/>
          <w:szCs w:val="24"/>
        </w:rPr>
        <w:t>。</w:t>
      </w:r>
      <w:r>
        <w:rPr>
          <w:rFonts w:hint="eastAsia"/>
          <w:sz w:val="28"/>
          <w:szCs w:val="24"/>
        </w:rPr>
        <w:t>为进一步响应国家节能减排号召，建设节能高效机组，提高企业供热能力，鼓励公司将对次高温次高压锅炉和次高温次高压机组进行升级提效改造。</w:t>
      </w:r>
    </w:p>
    <w:p>
      <w:pPr>
        <w:pStyle w:val="4"/>
      </w:pPr>
      <w:bookmarkStart w:id="357" w:name="_Toc188636932"/>
      <w:r>
        <w:t>5.2.1</w:t>
      </w:r>
      <w:r>
        <w:rPr>
          <w:rFonts w:hint="eastAsia"/>
        </w:rPr>
        <w:t>.</w:t>
      </w:r>
      <w:r>
        <w:t>3</w:t>
      </w:r>
      <w:r>
        <w:rPr>
          <w:rFonts w:hint="eastAsia"/>
          <w:color w:val="000000" w:themeColor="text1"/>
          <w:szCs w:val="28"/>
          <w14:textFill>
            <w14:solidFill>
              <w14:schemeClr w14:val="tx1"/>
            </w14:solidFill>
          </w14:textFill>
        </w:rPr>
        <w:t>长安及周边区块</w:t>
      </w:r>
      <w:bookmarkEnd w:id="357"/>
    </w:p>
    <w:p>
      <w:pPr>
        <w:pStyle w:val="61"/>
        <w:ind w:firstLine="562"/>
        <w:rPr>
          <w:b/>
          <w:sz w:val="28"/>
          <w:szCs w:val="24"/>
        </w:rPr>
      </w:pPr>
      <w:r>
        <w:rPr>
          <w:rFonts w:hint="eastAsia"/>
          <w:b/>
          <w:sz w:val="28"/>
          <w:szCs w:val="24"/>
        </w:rPr>
        <w:t>（1）海宁红宝热电有限公司</w:t>
      </w:r>
    </w:p>
    <w:p>
      <w:pPr>
        <w:pStyle w:val="61"/>
        <w:ind w:firstLine="560"/>
        <w:rPr>
          <w:color w:val="000000"/>
          <w:sz w:val="28"/>
          <w:szCs w:val="28"/>
        </w:rPr>
      </w:pPr>
      <w:r>
        <w:rPr>
          <w:rFonts w:hint="eastAsia"/>
          <w:sz w:val="28"/>
          <w:szCs w:val="24"/>
        </w:rPr>
        <w:t>海宁红宝热电有限公司</w:t>
      </w:r>
      <w:r>
        <w:rPr>
          <w:sz w:val="28"/>
          <w:szCs w:val="24"/>
        </w:rPr>
        <w:t>目前</w:t>
      </w:r>
      <w:r>
        <w:rPr>
          <w:rFonts w:hint="eastAsia"/>
          <w:sz w:val="28"/>
          <w:szCs w:val="24"/>
        </w:rPr>
        <w:t>装机</w:t>
      </w:r>
      <w:r>
        <w:rPr>
          <w:sz w:val="28"/>
          <w:szCs w:val="24"/>
        </w:rPr>
        <w:t>规模为3炉3机</w:t>
      </w:r>
      <w:r>
        <w:rPr>
          <w:rFonts w:hint="eastAsia"/>
          <w:sz w:val="28"/>
          <w:szCs w:val="24"/>
        </w:rPr>
        <w:t>，锅炉总容量</w:t>
      </w:r>
      <w:r>
        <w:rPr>
          <w:sz w:val="28"/>
          <w:szCs w:val="24"/>
        </w:rPr>
        <w:t>390t/h，装机总容量42.5MW，日常供热能力220t/h，最大供热能力260t/h。</w:t>
      </w:r>
    </w:p>
    <w:p>
      <w:pPr>
        <w:pStyle w:val="61"/>
        <w:ind w:firstLine="560"/>
        <w:rPr>
          <w:sz w:val="28"/>
          <w:szCs w:val="24"/>
        </w:rPr>
      </w:pPr>
      <w:r>
        <w:rPr>
          <w:rFonts w:hint="eastAsia"/>
          <w:sz w:val="28"/>
          <w:szCs w:val="24"/>
        </w:rPr>
        <w:t>海宁高新技术产业园区发布海宁钱塘国际新城城市设计，其中重点片区“钱塘之眼”，将打造创新型城市</w:t>
      </w:r>
      <w:r>
        <w:rPr>
          <w:sz w:val="28"/>
          <w:szCs w:val="24"/>
        </w:rPr>
        <w:t>CBD</w:t>
      </w:r>
      <w:r>
        <w:rPr>
          <w:rFonts w:hint="eastAsia"/>
          <w:color w:val="000000"/>
          <w:sz w:val="28"/>
          <w:szCs w:val="28"/>
        </w:rPr>
        <w:t>。而海宁红宝热电有限公司现厂址位于</w:t>
      </w:r>
      <w:r>
        <w:rPr>
          <w:rFonts w:hint="eastAsia"/>
          <w:sz w:val="28"/>
          <w:szCs w:val="24"/>
        </w:rPr>
        <w:t>“钱塘之眼”，因此，计划按照</w:t>
      </w:r>
      <w:r>
        <w:rPr>
          <w:rFonts w:hint="eastAsia"/>
          <w:color w:val="000000"/>
          <w:sz w:val="28"/>
          <w:szCs w:val="28"/>
        </w:rPr>
        <w:t>高新技术产业园区规划要求，搬迁至高新区东北端，拟在海宁高新技术产业园区（长安镇）紧挨杭州湾环线高速胡家兜出入口收费站、仰山路西侧、杭州湾环线高速公路北侧，建设智慧型热电厂。规划建设规模为</w:t>
      </w:r>
      <w:r>
        <w:rPr>
          <w:sz w:val="28"/>
          <w:szCs w:val="24"/>
        </w:rPr>
        <w:t>3炉3机</w:t>
      </w:r>
      <w:r>
        <w:rPr>
          <w:rFonts w:hint="eastAsia"/>
          <w:sz w:val="28"/>
          <w:szCs w:val="24"/>
        </w:rPr>
        <w:t>，即</w:t>
      </w:r>
      <w:r>
        <w:rPr>
          <w:sz w:val="28"/>
          <w:szCs w:val="24"/>
        </w:rPr>
        <w:t>3台130t/h高温超高压</w:t>
      </w:r>
      <w:r>
        <w:rPr>
          <w:rFonts w:hint="eastAsia"/>
          <w:sz w:val="28"/>
          <w:szCs w:val="24"/>
        </w:rPr>
        <w:t>燃煤</w:t>
      </w:r>
      <w:r>
        <w:rPr>
          <w:sz w:val="28"/>
          <w:szCs w:val="24"/>
        </w:rPr>
        <w:t>循环流化床锅炉、</w:t>
      </w:r>
      <w:r>
        <w:rPr>
          <w:rFonts w:hint="eastAsia"/>
          <w:sz w:val="28"/>
          <w:szCs w:val="24"/>
        </w:rPr>
        <w:t>1套2</w:t>
      </w:r>
      <w:r>
        <w:rPr>
          <w:sz w:val="28"/>
          <w:szCs w:val="24"/>
        </w:rPr>
        <w:t>4</w:t>
      </w:r>
      <w:r>
        <w:rPr>
          <w:rFonts w:hint="eastAsia"/>
          <w:sz w:val="28"/>
          <w:szCs w:val="24"/>
        </w:rPr>
        <w:t>.5</w:t>
      </w:r>
      <w:r>
        <w:rPr>
          <w:sz w:val="28"/>
          <w:szCs w:val="24"/>
        </w:rPr>
        <w:t>MW高温超高压</w:t>
      </w:r>
      <w:r>
        <w:rPr>
          <w:rFonts w:hint="eastAsia"/>
          <w:sz w:val="28"/>
          <w:szCs w:val="24"/>
        </w:rPr>
        <w:t>背压机组、1套</w:t>
      </w:r>
      <w:r>
        <w:rPr>
          <w:sz w:val="28"/>
          <w:szCs w:val="24"/>
        </w:rPr>
        <w:t>6MW高温超高压</w:t>
      </w:r>
      <w:r>
        <w:rPr>
          <w:rFonts w:hint="eastAsia"/>
          <w:sz w:val="28"/>
          <w:szCs w:val="24"/>
        </w:rPr>
        <w:t>背压机组、1套1</w:t>
      </w:r>
      <w:r>
        <w:rPr>
          <w:sz w:val="28"/>
          <w:szCs w:val="24"/>
        </w:rPr>
        <w:t>2MW高温超高压</w:t>
      </w:r>
      <w:r>
        <w:rPr>
          <w:rFonts w:hint="eastAsia"/>
          <w:sz w:val="28"/>
          <w:szCs w:val="24"/>
        </w:rPr>
        <w:t>抽背机组，锅炉总容量</w:t>
      </w:r>
      <w:r>
        <w:rPr>
          <w:sz w:val="28"/>
          <w:szCs w:val="24"/>
        </w:rPr>
        <w:t>390</w:t>
      </w:r>
      <w:r>
        <w:rPr>
          <w:rFonts w:hint="eastAsia"/>
          <w:sz w:val="28"/>
          <w:szCs w:val="24"/>
        </w:rPr>
        <w:t>t</w:t>
      </w:r>
      <w:r>
        <w:rPr>
          <w:sz w:val="28"/>
          <w:szCs w:val="24"/>
        </w:rPr>
        <w:t>/h，装机总容量42.5MW</w:t>
      </w:r>
      <w:r>
        <w:rPr>
          <w:rFonts w:hint="eastAsia"/>
          <w:sz w:val="28"/>
          <w:szCs w:val="24"/>
        </w:rPr>
        <w:t>，预计2</w:t>
      </w:r>
      <w:r>
        <w:rPr>
          <w:sz w:val="28"/>
          <w:szCs w:val="24"/>
        </w:rPr>
        <w:t>026</w:t>
      </w:r>
      <w:r>
        <w:rPr>
          <w:rFonts w:hint="eastAsia"/>
          <w:sz w:val="28"/>
          <w:szCs w:val="24"/>
        </w:rPr>
        <w:t>年投产。迁建后通过采用抽背机组扩大供热能力，</w:t>
      </w:r>
      <w:r>
        <w:rPr>
          <w:sz w:val="28"/>
          <w:szCs w:val="24"/>
        </w:rPr>
        <w:t>日常供热能力280t/h，最大供热能力342t/h</w:t>
      </w:r>
      <w:r>
        <w:rPr>
          <w:rFonts w:hint="eastAsia"/>
          <w:sz w:val="28"/>
          <w:szCs w:val="24"/>
        </w:rPr>
        <w:t>。公司主要提供低压、中压蒸汽，其中低压蒸汽温度为</w:t>
      </w:r>
      <w:r>
        <w:rPr>
          <w:sz w:val="28"/>
          <w:szCs w:val="24"/>
        </w:rPr>
        <w:t>250℃，压力0.98MPa；中压蒸汽温度为350℃，压力3.0MPa。</w:t>
      </w:r>
      <w:r>
        <w:rPr>
          <w:rFonts w:hint="eastAsia"/>
          <w:sz w:val="28"/>
          <w:szCs w:val="24"/>
        </w:rPr>
        <w:t>搬迁后的海宁红宝热电有限公司仍将负责长安南部区块的集中供热。考虑到浙江泰亿能源有限公司将于规划期内关停，搬迁后的海宁红宝热电有限公司将在浙江泰亿能源有限公司关停后负责浙江泰亿能源有限公司现有的热用户进行集中供热，对浙江泰亿能源有限公司供热管网采用租赁或收购的模式，尽可能利用原有管路进行集中供热，保障浙江泰亿能源有限公司关停后的热用户蒸汽需求。</w:t>
      </w:r>
    </w:p>
    <w:p>
      <w:pPr>
        <w:pStyle w:val="53"/>
        <w:spacing w:line="580" w:lineRule="exact"/>
        <w:ind w:firstLine="562"/>
        <w:rPr>
          <w:rFonts w:ascii="Times New Roman" w:hAnsi="Times New Roman" w:eastAsia="仿宋_GB2312" w:cs="宋体"/>
          <w:b/>
        </w:rPr>
      </w:pPr>
      <w:r>
        <w:rPr>
          <w:rFonts w:hint="eastAsia" w:ascii="Times New Roman" w:hAnsi="Times New Roman" w:eastAsia="仿宋_GB2312" w:cs="宋体"/>
          <w:b/>
        </w:rPr>
        <w:t>（2）浙江泰亿能源有限公司</w:t>
      </w:r>
    </w:p>
    <w:p>
      <w:pPr>
        <w:pStyle w:val="53"/>
        <w:spacing w:line="580" w:lineRule="exact"/>
        <w:ind w:firstLine="560"/>
        <w:rPr>
          <w:rFonts w:ascii="Times New Roman" w:hAnsi="Times New Roman" w:eastAsia="仿宋_GB2312" w:cs="宋体"/>
        </w:rPr>
      </w:pPr>
      <w:r>
        <w:rPr>
          <w:rFonts w:hint="eastAsia" w:ascii="Times New Roman" w:hAnsi="Times New Roman" w:eastAsia="仿宋_GB2312" w:cs="宋体"/>
        </w:rPr>
        <w:t>浙江泰亿能源有限公司</w:t>
      </w:r>
      <w:r>
        <w:rPr>
          <w:rFonts w:ascii="Times New Roman" w:hAnsi="Times New Roman" w:eastAsia="仿宋_GB2312" w:cs="宋体"/>
        </w:rPr>
        <w:t>目前</w:t>
      </w:r>
      <w:r>
        <w:rPr>
          <w:rFonts w:hint="eastAsia" w:ascii="Times New Roman" w:hAnsi="Times New Roman" w:eastAsia="仿宋_GB2312" w:cs="宋体"/>
        </w:rPr>
        <w:t>装机</w:t>
      </w:r>
      <w:r>
        <w:rPr>
          <w:rFonts w:ascii="Times New Roman" w:hAnsi="Times New Roman" w:eastAsia="仿宋_GB2312" w:cs="宋体"/>
        </w:rPr>
        <w:t>规模为2炉1机，锅炉总容量180t/h，</w:t>
      </w:r>
      <w:r>
        <w:rPr>
          <w:rFonts w:hint="eastAsia" w:ascii="Times New Roman" w:hAnsi="Times New Roman" w:eastAsia="仿宋_GB2312" w:cs="宋体"/>
        </w:rPr>
        <w:t>装机总容量</w:t>
      </w:r>
      <w:r>
        <w:rPr>
          <w:rFonts w:ascii="Times New Roman" w:hAnsi="Times New Roman" w:eastAsia="仿宋_GB2312" w:cs="宋体"/>
        </w:rPr>
        <w:t>9MW</w:t>
      </w:r>
      <w:r>
        <w:rPr>
          <w:rFonts w:hint="eastAsia" w:ascii="Times New Roman" w:hAnsi="Times New Roman" w:eastAsia="仿宋_GB2312" w:cs="宋体"/>
        </w:rPr>
        <w:t>。</w:t>
      </w:r>
      <w:r>
        <w:rPr>
          <w:rFonts w:ascii="Times New Roman" w:hAnsi="Times New Roman" w:eastAsia="仿宋_GB2312" w:cs="宋体"/>
        </w:rPr>
        <w:t>日常供热能力70t/h，最大供热能力150t/h。</w:t>
      </w:r>
      <w:r>
        <w:rPr>
          <w:rFonts w:hint="eastAsia" w:ascii="Times New Roman" w:hAnsi="Times New Roman" w:eastAsia="仿宋_GB2312" w:cs="宋体"/>
        </w:rPr>
        <w:t>由于周王庙镇产业发展调整，公司供热范围内的热负荷现状及未来增长预期大幅低于设计供热能力，且昼夜热负荷波动大，导致管损较大，公司亏损严重，计划规划期内关停，其现供热范围内热用户由迁建后的海宁红宝热电有限公司承担蒸汽供应。</w:t>
      </w:r>
    </w:p>
    <w:p>
      <w:pPr>
        <w:pStyle w:val="4"/>
      </w:pPr>
      <w:bookmarkStart w:id="358" w:name="_Toc188636933"/>
      <w:r>
        <w:t>5.2.1</w:t>
      </w:r>
      <w:r>
        <w:rPr>
          <w:rFonts w:hint="eastAsia"/>
        </w:rPr>
        <w:t>.</w:t>
      </w:r>
      <w:r>
        <w:t>4</w:t>
      </w:r>
      <w:r>
        <w:rPr>
          <w:rFonts w:hint="eastAsia"/>
          <w:color w:val="000000" w:themeColor="text1"/>
          <w:szCs w:val="28"/>
          <w14:textFill>
            <w14:solidFill>
              <w14:schemeClr w14:val="tx1"/>
            </w14:solidFill>
          </w14:textFill>
        </w:rPr>
        <w:t>许村区块</w:t>
      </w:r>
      <w:bookmarkEnd w:id="358"/>
    </w:p>
    <w:p>
      <w:pPr>
        <w:pStyle w:val="61"/>
        <w:ind w:firstLine="562"/>
        <w:rPr>
          <w:b/>
          <w:sz w:val="28"/>
          <w:szCs w:val="24"/>
        </w:rPr>
      </w:pPr>
      <w:r>
        <w:rPr>
          <w:rFonts w:hint="eastAsia"/>
          <w:b/>
          <w:sz w:val="28"/>
          <w:szCs w:val="24"/>
        </w:rPr>
        <w:t>（1）浙江宝峰热电有限公司</w:t>
      </w:r>
    </w:p>
    <w:p>
      <w:pPr>
        <w:pStyle w:val="61"/>
        <w:ind w:firstLine="560"/>
        <w:rPr>
          <w:sz w:val="28"/>
          <w:szCs w:val="24"/>
        </w:rPr>
      </w:pPr>
      <w:r>
        <w:rPr>
          <w:rFonts w:hint="eastAsia"/>
          <w:sz w:val="28"/>
          <w:szCs w:val="24"/>
        </w:rPr>
        <w:t>浙江宝峰热电有限公司</w:t>
      </w:r>
      <w:r>
        <w:rPr>
          <w:sz w:val="28"/>
          <w:szCs w:val="24"/>
        </w:rPr>
        <w:t>目前</w:t>
      </w:r>
      <w:r>
        <w:rPr>
          <w:rFonts w:hint="eastAsia"/>
          <w:sz w:val="28"/>
          <w:szCs w:val="24"/>
        </w:rPr>
        <w:t>装机</w:t>
      </w:r>
      <w:r>
        <w:rPr>
          <w:sz w:val="28"/>
          <w:szCs w:val="24"/>
        </w:rPr>
        <w:t>规模为5炉4机，</w:t>
      </w:r>
      <w:r>
        <w:rPr>
          <w:rFonts w:hint="eastAsia"/>
          <w:sz w:val="28"/>
          <w:szCs w:val="24"/>
        </w:rPr>
        <w:t>锅炉总容量</w:t>
      </w:r>
      <w:r>
        <w:rPr>
          <w:sz w:val="28"/>
          <w:szCs w:val="24"/>
        </w:rPr>
        <w:t>430/h，装机总容量40MW，日常供热能力220t/h，最大供热能力360t/h。</w:t>
      </w:r>
      <w:r>
        <w:rPr>
          <w:rFonts w:hint="eastAsia"/>
          <w:color w:val="000000"/>
          <w:sz w:val="28"/>
          <w:szCs w:val="28"/>
        </w:rPr>
        <w:t>规划期内</w:t>
      </w:r>
      <w:r>
        <w:rPr>
          <w:rFonts w:hint="eastAsia"/>
          <w:sz w:val="28"/>
          <w:szCs w:val="24"/>
        </w:rPr>
        <w:t>宝峰热电有限公司暂</w:t>
      </w:r>
      <w:r>
        <w:rPr>
          <w:sz w:val="28"/>
          <w:szCs w:val="24"/>
        </w:rPr>
        <w:t>无</w:t>
      </w:r>
      <w:r>
        <w:rPr>
          <w:rFonts w:hint="eastAsia"/>
          <w:sz w:val="28"/>
          <w:szCs w:val="24"/>
        </w:rPr>
        <w:t>改</w:t>
      </w:r>
      <w:r>
        <w:rPr>
          <w:sz w:val="28"/>
          <w:szCs w:val="24"/>
        </w:rPr>
        <w:t>扩建</w:t>
      </w:r>
      <w:r>
        <w:rPr>
          <w:rFonts w:hint="eastAsia"/>
          <w:sz w:val="28"/>
          <w:szCs w:val="24"/>
        </w:rPr>
        <w:t>计划。为进一步响应国家节能减排号召，建设节能高效机组，提高企业供热能力，鼓励公司将对次高温次高压锅炉和机组进行升级提效改造。</w:t>
      </w:r>
    </w:p>
    <w:p>
      <w:pPr>
        <w:pStyle w:val="4"/>
      </w:pPr>
      <w:bookmarkStart w:id="359" w:name="_Toc188636934"/>
      <w:r>
        <w:t>5.2.1</w:t>
      </w:r>
      <w:r>
        <w:rPr>
          <w:rFonts w:hint="eastAsia"/>
        </w:rPr>
        <w:t>.</w:t>
      </w:r>
      <w:r>
        <w:t>5</w:t>
      </w:r>
      <w:r>
        <w:rPr>
          <w:rFonts w:hint="eastAsia"/>
          <w:color w:val="000000" w:themeColor="text1"/>
          <w:szCs w:val="28"/>
          <w14:textFill>
            <w14:solidFill>
              <w14:schemeClr w14:val="tx1"/>
            </w14:solidFill>
          </w14:textFill>
        </w:rPr>
        <w:t>尖山新区及周边区块</w:t>
      </w:r>
      <w:bookmarkEnd w:id="359"/>
    </w:p>
    <w:p>
      <w:pPr>
        <w:pStyle w:val="61"/>
        <w:ind w:firstLine="562"/>
        <w:rPr>
          <w:b/>
          <w:sz w:val="28"/>
          <w:szCs w:val="24"/>
        </w:rPr>
      </w:pPr>
      <w:r>
        <w:rPr>
          <w:rFonts w:hint="eastAsia"/>
          <w:b/>
          <w:sz w:val="28"/>
          <w:szCs w:val="24"/>
        </w:rPr>
        <w:t>（1）海宁恒逸</w:t>
      </w:r>
      <w:r>
        <w:rPr>
          <w:b/>
          <w:sz w:val="28"/>
          <w:szCs w:val="24"/>
        </w:rPr>
        <w:t>热电</w:t>
      </w:r>
      <w:r>
        <w:rPr>
          <w:rFonts w:hint="eastAsia"/>
          <w:b/>
          <w:sz w:val="28"/>
          <w:szCs w:val="24"/>
        </w:rPr>
        <w:t>有限</w:t>
      </w:r>
      <w:r>
        <w:rPr>
          <w:b/>
          <w:sz w:val="28"/>
          <w:szCs w:val="24"/>
        </w:rPr>
        <w:t>公司</w:t>
      </w:r>
    </w:p>
    <w:p>
      <w:pPr>
        <w:pStyle w:val="61"/>
        <w:ind w:firstLine="560"/>
        <w:rPr>
          <w:color w:val="000000"/>
          <w:sz w:val="28"/>
          <w:szCs w:val="28"/>
        </w:rPr>
      </w:pPr>
      <w:r>
        <w:rPr>
          <w:rFonts w:hint="eastAsia"/>
          <w:sz w:val="28"/>
          <w:szCs w:val="24"/>
        </w:rPr>
        <w:t>海宁恒逸</w:t>
      </w:r>
      <w:r>
        <w:rPr>
          <w:sz w:val="28"/>
          <w:szCs w:val="24"/>
        </w:rPr>
        <w:t>热电</w:t>
      </w:r>
      <w:r>
        <w:rPr>
          <w:rFonts w:hint="eastAsia"/>
          <w:sz w:val="28"/>
          <w:szCs w:val="24"/>
        </w:rPr>
        <w:t>有限</w:t>
      </w:r>
      <w:r>
        <w:rPr>
          <w:sz w:val="28"/>
          <w:szCs w:val="24"/>
        </w:rPr>
        <w:t>公司目前</w:t>
      </w:r>
      <w:r>
        <w:rPr>
          <w:rFonts w:hint="eastAsia"/>
          <w:sz w:val="28"/>
          <w:szCs w:val="24"/>
        </w:rPr>
        <w:t>装机</w:t>
      </w:r>
      <w:r>
        <w:rPr>
          <w:sz w:val="28"/>
          <w:szCs w:val="24"/>
        </w:rPr>
        <w:t>规模为</w:t>
      </w:r>
      <w:r>
        <w:rPr>
          <w:rFonts w:hint="eastAsia"/>
          <w:sz w:val="28"/>
          <w:szCs w:val="24"/>
        </w:rPr>
        <w:t>3</w:t>
      </w:r>
      <w:r>
        <w:rPr>
          <w:sz w:val="28"/>
          <w:szCs w:val="24"/>
        </w:rPr>
        <w:t>炉</w:t>
      </w:r>
      <w:r>
        <w:rPr>
          <w:rFonts w:hint="eastAsia"/>
          <w:sz w:val="28"/>
          <w:szCs w:val="24"/>
        </w:rPr>
        <w:t>2</w:t>
      </w:r>
      <w:r>
        <w:rPr>
          <w:sz w:val="28"/>
          <w:szCs w:val="24"/>
        </w:rPr>
        <w:t>机</w:t>
      </w:r>
      <w:r>
        <w:rPr>
          <w:rFonts w:hint="eastAsia"/>
          <w:sz w:val="28"/>
          <w:szCs w:val="24"/>
        </w:rPr>
        <w:t>，锅炉总容量4</w:t>
      </w:r>
      <w:r>
        <w:rPr>
          <w:sz w:val="28"/>
          <w:szCs w:val="24"/>
        </w:rPr>
        <w:t>80t/h</w:t>
      </w:r>
      <w:r>
        <w:rPr>
          <w:rFonts w:hint="eastAsia"/>
          <w:sz w:val="28"/>
          <w:szCs w:val="24"/>
        </w:rPr>
        <w:t>，锅炉</w:t>
      </w:r>
      <w:r>
        <w:rPr>
          <w:sz w:val="28"/>
          <w:szCs w:val="24"/>
        </w:rPr>
        <w:t>2用1备，装机总容量30MW</w:t>
      </w:r>
      <w:r>
        <w:rPr>
          <w:rFonts w:hint="eastAsia"/>
          <w:sz w:val="28"/>
          <w:szCs w:val="24"/>
        </w:rPr>
        <w:t>，汽机</w:t>
      </w:r>
      <w:r>
        <w:rPr>
          <w:sz w:val="28"/>
          <w:szCs w:val="24"/>
        </w:rPr>
        <w:t>1用1备，日常供热能力250t/h，最大供热能力352t/h。</w:t>
      </w:r>
      <w:r>
        <w:rPr>
          <w:rFonts w:hint="eastAsia"/>
          <w:sz w:val="28"/>
          <w:szCs w:val="24"/>
        </w:rPr>
        <w:t>恒逸</w:t>
      </w:r>
      <w:r>
        <w:rPr>
          <w:sz w:val="28"/>
          <w:szCs w:val="24"/>
        </w:rPr>
        <w:t>热电公司</w:t>
      </w:r>
      <w:bookmarkStart w:id="360" w:name="_Hlk180876765"/>
      <w:r>
        <w:rPr>
          <w:rFonts w:hint="eastAsia"/>
          <w:sz w:val="28"/>
          <w:szCs w:val="24"/>
        </w:rPr>
        <w:t>规划期内</w:t>
      </w:r>
      <w:bookmarkEnd w:id="360"/>
      <w:r>
        <w:rPr>
          <w:rFonts w:hint="eastAsia"/>
          <w:color w:val="000000" w:themeColor="text1"/>
          <w:sz w:val="28"/>
          <w:szCs w:val="28"/>
          <w14:textFill>
            <w14:solidFill>
              <w14:schemeClr w14:val="tx1"/>
            </w14:solidFill>
          </w14:textFill>
        </w:rPr>
        <w:t>规划在厂区内开展二期扩建，规划新建1台2</w:t>
      </w:r>
      <w:r>
        <w:rPr>
          <w:color w:val="000000" w:themeColor="text1"/>
          <w:sz w:val="28"/>
          <w:szCs w:val="28"/>
          <w14:textFill>
            <w14:solidFill>
              <w14:schemeClr w14:val="tx1"/>
            </w14:solidFill>
          </w14:textFill>
        </w:rPr>
        <w:t>60t/h</w:t>
      </w:r>
      <w:r>
        <w:rPr>
          <w:rFonts w:hint="eastAsia"/>
          <w:color w:val="000000" w:themeColor="text1"/>
          <w:sz w:val="28"/>
          <w:szCs w:val="28"/>
          <w14:textFill>
            <w14:solidFill>
              <w14:schemeClr w14:val="tx1"/>
            </w14:solidFill>
          </w14:textFill>
        </w:rPr>
        <w:t>燃煤高温超高压</w:t>
      </w:r>
      <w:r>
        <w:rPr>
          <w:color w:val="000000" w:themeColor="text1"/>
          <w:sz w:val="28"/>
          <w:szCs w:val="28"/>
          <w14:textFill>
            <w14:solidFill>
              <w14:schemeClr w14:val="tx1"/>
            </w14:solidFill>
          </w14:textFill>
        </w:rPr>
        <w:t>循环流化床锅炉</w:t>
      </w:r>
      <w:r>
        <w:rPr>
          <w:rFonts w:hint="eastAsia"/>
          <w:color w:val="000000" w:themeColor="text1"/>
          <w:sz w:val="28"/>
          <w:szCs w:val="28"/>
          <w14:textFill>
            <w14:solidFill>
              <w14:schemeClr w14:val="tx1"/>
            </w14:solidFill>
          </w14:textFill>
        </w:rPr>
        <w:t>，重新启用公司1台8</w:t>
      </w:r>
      <w:r>
        <w:rPr>
          <w:color w:val="000000" w:themeColor="text1"/>
          <w:sz w:val="28"/>
          <w:szCs w:val="28"/>
          <w14:textFill>
            <w14:solidFill>
              <w14:schemeClr w14:val="tx1"/>
            </w14:solidFill>
          </w14:textFill>
        </w:rPr>
        <w:t>0t/h</w:t>
      </w:r>
      <w:r>
        <w:rPr>
          <w:rFonts w:hint="eastAsia"/>
          <w:color w:val="000000" w:themeColor="text1"/>
          <w:sz w:val="28"/>
          <w:szCs w:val="28"/>
          <w14:textFill>
            <w14:solidFill>
              <w14:schemeClr w14:val="tx1"/>
            </w14:solidFill>
          </w14:textFill>
        </w:rPr>
        <w:t>燃煤高温超高压</w:t>
      </w:r>
      <w:r>
        <w:rPr>
          <w:color w:val="000000" w:themeColor="text1"/>
          <w:sz w:val="28"/>
          <w:szCs w:val="28"/>
          <w14:textFill>
            <w14:solidFill>
              <w14:schemeClr w14:val="tx1"/>
            </w14:solidFill>
          </w14:textFill>
        </w:rPr>
        <w:t>循环流化床锅炉</w:t>
      </w:r>
      <w:r>
        <w:rPr>
          <w:rFonts w:hint="eastAsia"/>
          <w:color w:val="000000" w:themeColor="text1"/>
          <w:sz w:val="28"/>
          <w:szCs w:val="28"/>
          <w14:textFill>
            <w14:solidFill>
              <w14:schemeClr w14:val="tx1"/>
            </w14:solidFill>
          </w14:textFill>
        </w:rPr>
        <w:t>（该炉原定位为启动炉，已于2</w:t>
      </w:r>
      <w:r>
        <w:rPr>
          <w:color w:val="000000" w:themeColor="text1"/>
          <w:sz w:val="28"/>
          <w:szCs w:val="28"/>
          <w14:textFill>
            <w14:solidFill>
              <w14:schemeClr w14:val="tx1"/>
            </w14:solidFill>
          </w14:textFill>
        </w:rPr>
        <w:t>021</w:t>
      </w:r>
      <w:r>
        <w:rPr>
          <w:rFonts w:hint="eastAsia"/>
          <w:color w:val="000000" w:themeColor="text1"/>
          <w:sz w:val="28"/>
          <w:szCs w:val="28"/>
          <w14:textFill>
            <w14:solidFill>
              <w14:schemeClr w14:val="tx1"/>
            </w14:solidFill>
          </w14:textFill>
        </w:rPr>
        <w:t>年停用注销，暂未拆除），锅炉蒸汽设计参数均为</w:t>
      </w:r>
      <w:r>
        <w:rPr>
          <w:color w:val="000000" w:themeColor="text1"/>
          <w:sz w:val="28"/>
          <w:szCs w:val="28"/>
          <w14:textFill>
            <w14:solidFill>
              <w14:schemeClr w14:val="tx1"/>
            </w14:solidFill>
          </w14:textFill>
        </w:rPr>
        <w:t>13.7MPa</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540℃</w:t>
      </w:r>
      <w:r>
        <w:rPr>
          <w:rFonts w:hint="eastAsia"/>
          <w:color w:val="000000" w:themeColor="text1"/>
          <w:sz w:val="28"/>
          <w:szCs w:val="28"/>
          <w14:textFill>
            <w14:solidFill>
              <w14:schemeClr w14:val="tx1"/>
            </w14:solidFill>
          </w14:textFill>
        </w:rPr>
        <w:t>，</w:t>
      </w:r>
      <w:r>
        <w:rPr>
          <w:rFonts w:hint="eastAsia"/>
          <w:sz w:val="28"/>
          <w:szCs w:val="24"/>
        </w:rPr>
        <w:t>锅炉总容量</w:t>
      </w:r>
      <w:r>
        <w:rPr>
          <w:sz w:val="28"/>
          <w:szCs w:val="24"/>
        </w:rPr>
        <w:t>340</w:t>
      </w:r>
      <w:r>
        <w:rPr>
          <w:color w:val="000000" w:themeColor="text1"/>
          <w:sz w:val="28"/>
          <w:szCs w:val="28"/>
          <w14:textFill>
            <w14:solidFill>
              <w14:schemeClr w14:val="tx1"/>
            </w14:solidFill>
          </w14:textFill>
        </w:rPr>
        <w:t>t/h</w:t>
      </w:r>
      <w:r>
        <w:rPr>
          <w:rFonts w:hint="eastAsia"/>
          <w:color w:val="000000" w:themeColor="text1"/>
          <w:sz w:val="28"/>
          <w:szCs w:val="28"/>
          <w14:textFill>
            <w14:solidFill>
              <w14:schemeClr w14:val="tx1"/>
            </w14:solidFill>
          </w14:textFill>
        </w:rPr>
        <w:t>，</w:t>
      </w:r>
      <w:r>
        <w:rPr>
          <w:rFonts w:hint="eastAsia"/>
          <w:sz w:val="28"/>
          <w:szCs w:val="24"/>
        </w:rPr>
        <w:t>把一期备用的1</w:t>
      </w:r>
      <w:r>
        <w:rPr>
          <w:sz w:val="28"/>
          <w:szCs w:val="24"/>
        </w:rPr>
        <w:t>5MW</w:t>
      </w:r>
      <w:r>
        <w:rPr>
          <w:rFonts w:hint="eastAsia"/>
          <w:sz w:val="28"/>
          <w:szCs w:val="24"/>
        </w:rPr>
        <w:t>高温超高压背压式汽轮发电机组转为日常使用，配套二期新建锅炉，</w:t>
      </w:r>
      <w:r>
        <w:rPr>
          <w:sz w:val="28"/>
          <w:szCs w:val="24"/>
        </w:rPr>
        <w:t>日常供热能力260t/h，最大供热能力320t/h</w:t>
      </w:r>
      <w:r>
        <w:rPr>
          <w:rFonts w:hint="eastAsia"/>
          <w:sz w:val="28"/>
          <w:szCs w:val="24"/>
        </w:rPr>
        <w:t>，其中高压蒸汽采用锅炉主蒸汽喷水减温后直供，供热能力</w:t>
      </w:r>
      <w:r>
        <w:rPr>
          <w:sz w:val="28"/>
          <w:szCs w:val="24"/>
        </w:rPr>
        <w:t>245t/h，蒸汽供热温度为400℃，供热压力12.5MPa；低压蒸汽供热能力75t/h，蒸汽供热温度为220℃，供热压力0.8MPa。</w:t>
      </w:r>
      <w:r>
        <w:rPr>
          <w:rFonts w:hint="eastAsia"/>
          <w:sz w:val="28"/>
          <w:szCs w:val="28"/>
        </w:rPr>
        <w:t>建成后，</w:t>
      </w:r>
      <w:r>
        <w:rPr>
          <w:rFonts w:hint="eastAsia"/>
          <w:sz w:val="28"/>
          <w:szCs w:val="24"/>
        </w:rPr>
        <w:t>恒逸</w:t>
      </w:r>
      <w:r>
        <w:rPr>
          <w:sz w:val="28"/>
          <w:szCs w:val="24"/>
        </w:rPr>
        <w:t>热电公司</w:t>
      </w:r>
      <w:r>
        <w:rPr>
          <w:rFonts w:hint="eastAsia"/>
          <w:sz w:val="28"/>
          <w:szCs w:val="24"/>
        </w:rPr>
        <w:t>锅炉总数4用1备，</w:t>
      </w:r>
      <w:r>
        <w:rPr>
          <w:sz w:val="28"/>
          <w:szCs w:val="24"/>
        </w:rPr>
        <w:t>日常供热能力</w:t>
      </w:r>
      <w:r>
        <w:rPr>
          <w:rFonts w:hint="eastAsia"/>
          <w:sz w:val="28"/>
          <w:szCs w:val="24"/>
        </w:rPr>
        <w:t>达</w:t>
      </w:r>
      <w:r>
        <w:rPr>
          <w:sz w:val="28"/>
          <w:szCs w:val="24"/>
        </w:rPr>
        <w:t>510t/h，最大供热能力672t/h</w:t>
      </w:r>
      <w:r>
        <w:rPr>
          <w:rFonts w:hint="eastAsia"/>
          <w:sz w:val="28"/>
        </w:rPr>
        <w:t>。</w:t>
      </w:r>
    </w:p>
    <w:p>
      <w:pPr>
        <w:pStyle w:val="61"/>
        <w:ind w:firstLine="562"/>
        <w:rPr>
          <w:b/>
          <w:sz w:val="28"/>
          <w:szCs w:val="24"/>
        </w:rPr>
      </w:pPr>
      <w:r>
        <w:rPr>
          <w:rFonts w:hint="eastAsia"/>
          <w:b/>
          <w:sz w:val="28"/>
          <w:szCs w:val="24"/>
        </w:rPr>
        <w:t>（2）尖山新区第二公共热源点</w:t>
      </w:r>
    </w:p>
    <w:p>
      <w:pPr>
        <w:pStyle w:val="61"/>
        <w:ind w:firstLine="560"/>
        <w:rPr>
          <w:sz w:val="28"/>
          <w:szCs w:val="24"/>
        </w:rPr>
      </w:pPr>
      <w:r>
        <w:rPr>
          <w:rFonts w:hint="eastAsia"/>
          <w:sz w:val="28"/>
          <w:szCs w:val="24"/>
        </w:rPr>
        <w:t>考虑到扩建后的海宁恒逸热电有限公司供热能力无法满足规划期内尖山新区及周边区块热负荷需求，且海宁恒逸热电有限公司扩建后已无空余土地，不具备进一步扩建的条件，同时高温高压蒸汽不宜长距离传输且跨越常台高速公路，海宁恒逸热电有限公司无法保障万凯新材料年新增万凯新材料</w:t>
      </w:r>
      <w:r>
        <w:rPr>
          <w:sz w:val="28"/>
          <w:szCs w:val="24"/>
        </w:rPr>
        <w:t>75万吨聚酯切片项目</w:t>
      </w:r>
      <w:r>
        <w:rPr>
          <w:rFonts w:hint="eastAsia"/>
          <w:sz w:val="28"/>
          <w:szCs w:val="24"/>
        </w:rPr>
        <w:t>和</w:t>
      </w:r>
      <w:r>
        <w:rPr>
          <w:sz w:val="28"/>
          <w:szCs w:val="24"/>
        </w:rPr>
        <w:t>315万吨PET项目</w:t>
      </w:r>
      <w:r>
        <w:rPr>
          <w:rFonts w:hint="eastAsia"/>
          <w:sz w:val="28"/>
          <w:szCs w:val="24"/>
        </w:rPr>
        <w:t>高温高压蒸汽需求，因此规划在尖山新区及周边区块新增公共热源点（暂命名为尖山新区第二公共热源点）。</w:t>
      </w:r>
    </w:p>
    <w:p>
      <w:pPr>
        <w:pStyle w:val="61"/>
        <w:ind w:firstLine="560"/>
        <w:rPr>
          <w:sz w:val="28"/>
          <w:szCs w:val="24"/>
        </w:rPr>
      </w:pPr>
      <w:r>
        <w:rPr>
          <w:rFonts w:hint="eastAsia"/>
          <w:sz w:val="28"/>
          <w:szCs w:val="24"/>
        </w:rPr>
        <w:t>尖山新区第二公共热源点暂定由由万凯新材料股份有限公司与黄湾镇国资公司合资成立的新公司投资建设，选址于静安南路西侧、滨海路北侧，用地面积</w:t>
      </w:r>
      <w:r>
        <w:rPr>
          <w:sz w:val="28"/>
          <w:szCs w:val="24"/>
        </w:rPr>
        <w:t>113413平方米，距离</w:t>
      </w:r>
      <w:r>
        <w:rPr>
          <w:rFonts w:hint="eastAsia"/>
          <w:sz w:val="28"/>
          <w:szCs w:val="24"/>
        </w:rPr>
        <w:t>海宁恒逸</w:t>
      </w:r>
      <w:r>
        <w:rPr>
          <w:sz w:val="28"/>
          <w:szCs w:val="24"/>
        </w:rPr>
        <w:t>热电</w:t>
      </w:r>
      <w:r>
        <w:rPr>
          <w:rFonts w:hint="eastAsia"/>
          <w:sz w:val="28"/>
          <w:szCs w:val="24"/>
        </w:rPr>
        <w:t>有限</w:t>
      </w:r>
      <w:r>
        <w:rPr>
          <w:sz w:val="28"/>
          <w:szCs w:val="24"/>
        </w:rPr>
        <w:t>公司</w:t>
      </w:r>
      <w:r>
        <w:rPr>
          <w:rFonts w:hint="eastAsia"/>
          <w:sz w:val="28"/>
          <w:szCs w:val="24"/>
        </w:rPr>
        <w:t>约</w:t>
      </w:r>
      <w:r>
        <w:rPr>
          <w:sz w:val="28"/>
          <w:szCs w:val="24"/>
        </w:rPr>
        <w:t>2.45公里。</w:t>
      </w:r>
      <w:r>
        <w:rPr>
          <w:rFonts w:hint="eastAsia"/>
          <w:sz w:val="28"/>
          <w:szCs w:val="24"/>
        </w:rPr>
        <w:t>项目规划新建</w:t>
      </w:r>
      <w:r>
        <w:rPr>
          <w:color w:val="000000" w:themeColor="text1"/>
          <w:sz w:val="28"/>
          <w:szCs w:val="28"/>
          <w14:textFill>
            <w14:solidFill>
              <w14:schemeClr w14:val="tx1"/>
            </w14:solidFill>
          </w14:textFill>
        </w:rPr>
        <w:t>5</w:t>
      </w:r>
      <w:r>
        <w:rPr>
          <w:rFonts w:hint="eastAsia"/>
          <w:color w:val="000000" w:themeColor="text1"/>
          <w:sz w:val="28"/>
          <w:szCs w:val="28"/>
          <w14:textFill>
            <w14:solidFill>
              <w14:schemeClr w14:val="tx1"/>
            </w14:solidFill>
          </w14:textFill>
        </w:rPr>
        <w:t>台</w:t>
      </w:r>
      <w:r>
        <w:rPr>
          <w:color w:val="000000" w:themeColor="text1"/>
          <w:sz w:val="28"/>
          <w:szCs w:val="28"/>
          <w14:textFill>
            <w14:solidFill>
              <w14:schemeClr w14:val="tx1"/>
            </w14:solidFill>
          </w14:textFill>
        </w:rPr>
        <w:t>150t/h</w:t>
      </w:r>
      <w:r>
        <w:rPr>
          <w:rFonts w:hint="eastAsia"/>
          <w:color w:val="000000" w:themeColor="text1"/>
          <w:sz w:val="28"/>
          <w:szCs w:val="28"/>
          <w14:textFill>
            <w14:solidFill>
              <w14:schemeClr w14:val="tx1"/>
            </w14:solidFill>
          </w14:textFill>
        </w:rPr>
        <w:t>燃煤高温超高压</w:t>
      </w:r>
      <w:r>
        <w:rPr>
          <w:color w:val="000000" w:themeColor="text1"/>
          <w:sz w:val="28"/>
          <w:szCs w:val="28"/>
          <w14:textFill>
            <w14:solidFill>
              <w14:schemeClr w14:val="tx1"/>
            </w14:solidFill>
          </w14:textFill>
        </w:rPr>
        <w:t>循环流化床锅炉</w:t>
      </w:r>
      <w:r>
        <w:rPr>
          <w:rFonts w:hint="eastAsia"/>
          <w:color w:val="000000" w:themeColor="text1"/>
          <w:sz w:val="28"/>
          <w:szCs w:val="28"/>
          <w14:textFill>
            <w14:solidFill>
              <w14:schemeClr w14:val="tx1"/>
            </w14:solidFill>
          </w14:textFill>
        </w:rPr>
        <w:t>，锅炉蒸汽设计参数均为</w:t>
      </w:r>
      <w:r>
        <w:rPr>
          <w:color w:val="000000" w:themeColor="text1"/>
          <w:sz w:val="28"/>
          <w:szCs w:val="28"/>
          <w14:textFill>
            <w14:solidFill>
              <w14:schemeClr w14:val="tx1"/>
            </w14:solidFill>
          </w14:textFill>
        </w:rPr>
        <w:t>13.8MPa</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540℃</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4</w:t>
      </w:r>
      <w:r>
        <w:rPr>
          <w:rFonts w:hint="eastAsia"/>
          <w:color w:val="000000" w:themeColor="text1"/>
          <w:sz w:val="28"/>
          <w:szCs w:val="28"/>
          <w14:textFill>
            <w14:solidFill>
              <w14:schemeClr w14:val="tx1"/>
            </w14:solidFill>
          </w14:textFill>
        </w:rPr>
        <w:t>用1备，其中</w:t>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台1</w:t>
      </w:r>
      <w:r>
        <w:rPr>
          <w:color w:val="000000" w:themeColor="text1"/>
          <w:sz w:val="28"/>
          <w:szCs w:val="28"/>
          <w14:textFill>
            <w14:solidFill>
              <w14:schemeClr w14:val="tx1"/>
            </w14:solidFill>
          </w14:textFill>
        </w:rPr>
        <w:t>50t/h</w:t>
      </w:r>
      <w:r>
        <w:rPr>
          <w:rFonts w:hint="eastAsia"/>
          <w:color w:val="000000" w:themeColor="text1"/>
          <w:sz w:val="28"/>
          <w:szCs w:val="28"/>
          <w14:textFill>
            <w14:solidFill>
              <w14:schemeClr w14:val="tx1"/>
            </w14:solidFill>
          </w14:textFill>
        </w:rPr>
        <w:t>燃煤高温超高压</w:t>
      </w:r>
      <w:r>
        <w:rPr>
          <w:color w:val="000000" w:themeColor="text1"/>
          <w:sz w:val="28"/>
          <w:szCs w:val="28"/>
          <w14:textFill>
            <w14:solidFill>
              <w14:schemeClr w14:val="tx1"/>
            </w14:solidFill>
          </w14:textFill>
        </w:rPr>
        <w:t>循环流化床锅炉</w:t>
      </w:r>
      <w:r>
        <w:rPr>
          <w:rFonts w:hint="eastAsia"/>
          <w:color w:val="000000" w:themeColor="text1"/>
          <w:sz w:val="28"/>
          <w:szCs w:val="28"/>
          <w14:textFill>
            <w14:solidFill>
              <w14:schemeClr w14:val="tx1"/>
            </w14:solidFill>
          </w14:textFill>
        </w:rPr>
        <w:t>为备用锅炉，配套</w:t>
      </w:r>
      <w:r>
        <w:rPr>
          <w:color w:val="000000" w:themeColor="text1"/>
          <w:sz w:val="28"/>
          <w:szCs w:val="28"/>
          <w14:textFill>
            <w14:solidFill>
              <w14:schemeClr w14:val="tx1"/>
            </w14:solidFill>
          </w14:textFill>
        </w:rPr>
        <w:t>1</w:t>
      </w:r>
      <w:r>
        <w:rPr>
          <w:rFonts w:hint="eastAsia"/>
          <w:color w:val="000000" w:themeColor="text1"/>
          <w:sz w:val="28"/>
          <w:szCs w:val="28"/>
          <w14:textFill>
            <w14:solidFill>
              <w14:schemeClr w14:val="tx1"/>
            </w14:solidFill>
          </w14:textFill>
        </w:rPr>
        <w:t>台</w:t>
      </w:r>
      <w:r>
        <w:rPr>
          <w:rFonts w:hint="eastAsia"/>
          <w:sz w:val="28"/>
          <w:szCs w:val="24"/>
        </w:rPr>
        <w:t>6</w:t>
      </w:r>
      <w:r>
        <w:rPr>
          <w:sz w:val="28"/>
          <w:szCs w:val="24"/>
        </w:rPr>
        <w:t>MW</w:t>
      </w:r>
      <w:r>
        <w:rPr>
          <w:rFonts w:hint="eastAsia"/>
          <w:sz w:val="28"/>
          <w:szCs w:val="24"/>
        </w:rPr>
        <w:t>背压机组和1台1</w:t>
      </w:r>
      <w:r>
        <w:rPr>
          <w:sz w:val="28"/>
          <w:szCs w:val="24"/>
        </w:rPr>
        <w:t>2MW</w:t>
      </w:r>
      <w:r>
        <w:rPr>
          <w:rFonts w:hint="eastAsia"/>
          <w:sz w:val="28"/>
          <w:szCs w:val="24"/>
        </w:rPr>
        <w:t>背压机组，锅炉总容量</w:t>
      </w:r>
      <w:r>
        <w:rPr>
          <w:sz w:val="28"/>
          <w:szCs w:val="24"/>
        </w:rPr>
        <w:t>750</w:t>
      </w:r>
      <w:r>
        <w:rPr>
          <w:color w:val="000000" w:themeColor="text1"/>
          <w:sz w:val="28"/>
          <w:szCs w:val="28"/>
          <w14:textFill>
            <w14:solidFill>
              <w14:schemeClr w14:val="tx1"/>
            </w14:solidFill>
          </w14:textFill>
        </w:rPr>
        <w:t>t/h</w:t>
      </w:r>
      <w:r>
        <w:rPr>
          <w:rFonts w:hint="eastAsia"/>
          <w:color w:val="000000" w:themeColor="text1"/>
          <w:sz w:val="28"/>
          <w:szCs w:val="28"/>
          <w14:textFill>
            <w14:solidFill>
              <w14:schemeClr w14:val="tx1"/>
            </w14:solidFill>
          </w14:textFill>
        </w:rPr>
        <w:t>，</w:t>
      </w:r>
      <w:r>
        <w:rPr>
          <w:sz w:val="28"/>
          <w:szCs w:val="24"/>
        </w:rPr>
        <w:t>装机总容量18MW</w:t>
      </w:r>
      <w:r>
        <w:rPr>
          <w:rFonts w:hint="eastAsia"/>
          <w:sz w:val="28"/>
          <w:szCs w:val="24"/>
        </w:rPr>
        <w:t>。</w:t>
      </w:r>
    </w:p>
    <w:p>
      <w:pPr>
        <w:pStyle w:val="61"/>
        <w:ind w:firstLine="560"/>
        <w:rPr>
          <w:sz w:val="28"/>
          <w:szCs w:val="24"/>
        </w:rPr>
      </w:pPr>
      <w:r>
        <w:rPr>
          <w:rFonts w:hint="eastAsia"/>
          <w:sz w:val="28"/>
          <w:szCs w:val="24"/>
        </w:rPr>
        <w:t>日常供热运行时（4台锅炉运行），锅炉日常运行总蒸发量（</w:t>
      </w:r>
      <w:r>
        <w:rPr>
          <w:sz w:val="28"/>
          <w:szCs w:val="24"/>
        </w:rPr>
        <w:t>13.8MPa</w:t>
      </w:r>
      <w:r>
        <w:rPr>
          <w:rFonts w:hint="eastAsia"/>
          <w:sz w:val="28"/>
          <w:szCs w:val="24"/>
        </w:rPr>
        <w:t>、</w:t>
      </w:r>
      <w:r>
        <w:rPr>
          <w:sz w:val="28"/>
          <w:szCs w:val="24"/>
        </w:rPr>
        <w:t>540</w:t>
      </w:r>
      <w:r>
        <w:rPr>
          <w:rFonts w:hint="eastAsia"/>
          <w:sz w:val="28"/>
          <w:szCs w:val="24"/>
        </w:rPr>
        <w:t>℃</w:t>
      </w:r>
      <w:r>
        <w:rPr>
          <w:sz w:val="28"/>
          <w:szCs w:val="24"/>
        </w:rPr>
        <w:t>）</w:t>
      </w:r>
      <w:r>
        <w:rPr>
          <w:rFonts w:hint="eastAsia"/>
          <w:sz w:val="28"/>
          <w:szCs w:val="24"/>
        </w:rPr>
        <w:t>约</w:t>
      </w:r>
      <w:r>
        <w:rPr>
          <w:sz w:val="28"/>
          <w:szCs w:val="24"/>
        </w:rPr>
        <w:t>547.1t/h</w:t>
      </w:r>
      <w:r>
        <w:rPr>
          <w:rFonts w:hint="eastAsia"/>
          <w:sz w:val="28"/>
          <w:szCs w:val="24"/>
        </w:rPr>
        <w:t>，其中</w:t>
      </w:r>
      <w:r>
        <w:rPr>
          <w:sz w:val="28"/>
          <w:szCs w:val="24"/>
        </w:rPr>
        <w:t>427.1t/h锅炉主蒸汽经喷水减温至12.6MPa</w:t>
      </w:r>
      <w:r>
        <w:rPr>
          <w:rFonts w:hint="eastAsia"/>
          <w:sz w:val="28"/>
          <w:szCs w:val="24"/>
        </w:rPr>
        <w:t>、</w:t>
      </w:r>
      <w:r>
        <w:rPr>
          <w:sz w:val="28"/>
          <w:szCs w:val="24"/>
        </w:rPr>
        <w:t>395℃后外供用于满足超高压热负荷，超高压蒸汽外供</w:t>
      </w:r>
      <w:r>
        <w:rPr>
          <w:rFonts w:hint="eastAsia"/>
          <w:sz w:val="28"/>
          <w:szCs w:val="24"/>
        </w:rPr>
        <w:t>能力</w:t>
      </w:r>
      <w:r>
        <w:rPr>
          <w:sz w:val="28"/>
          <w:szCs w:val="24"/>
        </w:rPr>
        <w:t>约526.6t/h</w:t>
      </w:r>
      <w:r>
        <w:rPr>
          <w:rFonts w:hint="eastAsia"/>
          <w:sz w:val="28"/>
          <w:szCs w:val="24"/>
        </w:rPr>
        <w:t>；</w:t>
      </w:r>
      <w:r>
        <w:rPr>
          <w:sz w:val="28"/>
          <w:szCs w:val="24"/>
        </w:rPr>
        <w:t>111.9t/h锅炉主蒸汽经汽轮发电机组做功后，汽轮机背压排汽（0.98MPa</w:t>
      </w:r>
      <w:r>
        <w:rPr>
          <w:rFonts w:hint="eastAsia"/>
          <w:sz w:val="28"/>
          <w:szCs w:val="24"/>
        </w:rPr>
        <w:t>、</w:t>
      </w:r>
      <w:r>
        <w:rPr>
          <w:sz w:val="28"/>
          <w:szCs w:val="24"/>
        </w:rPr>
        <w:t>210℃）一部分用于电厂自用汽，另一部分外供用于满足低压热负荷，低压蒸汽外供</w:t>
      </w:r>
      <w:r>
        <w:rPr>
          <w:rFonts w:hint="eastAsia"/>
          <w:sz w:val="28"/>
          <w:szCs w:val="24"/>
        </w:rPr>
        <w:t>能力</w:t>
      </w:r>
      <w:r>
        <w:rPr>
          <w:sz w:val="28"/>
          <w:szCs w:val="24"/>
        </w:rPr>
        <w:t>约88t/h</w:t>
      </w:r>
      <w:r>
        <w:rPr>
          <w:rFonts w:hint="eastAsia"/>
          <w:sz w:val="28"/>
          <w:szCs w:val="24"/>
        </w:rPr>
        <w:t>，因此日常运行时供热能力约</w:t>
      </w:r>
      <w:r>
        <w:rPr>
          <w:sz w:val="28"/>
          <w:szCs w:val="24"/>
        </w:rPr>
        <w:t>614.6t/h</w:t>
      </w:r>
      <w:r>
        <w:rPr>
          <w:rFonts w:hint="eastAsia"/>
          <w:sz w:val="28"/>
          <w:szCs w:val="24"/>
        </w:rPr>
        <w:t>。</w:t>
      </w:r>
    </w:p>
    <w:p>
      <w:pPr>
        <w:pStyle w:val="61"/>
        <w:ind w:firstLine="560"/>
        <w:rPr>
          <w:sz w:val="28"/>
          <w:szCs w:val="24"/>
        </w:rPr>
      </w:pPr>
      <w:r>
        <w:rPr>
          <w:rFonts w:hint="eastAsia"/>
          <w:sz w:val="28"/>
          <w:szCs w:val="24"/>
        </w:rPr>
        <w:t>最大供热运行时（</w:t>
      </w:r>
      <w:r>
        <w:rPr>
          <w:sz w:val="28"/>
          <w:szCs w:val="24"/>
        </w:rPr>
        <w:t>5</w:t>
      </w:r>
      <w:r>
        <w:rPr>
          <w:rFonts w:hint="eastAsia"/>
          <w:sz w:val="28"/>
          <w:szCs w:val="24"/>
        </w:rPr>
        <w:t>台锅炉运行），锅炉最大运行总蒸发量约</w:t>
      </w:r>
      <w:r>
        <w:rPr>
          <w:sz w:val="28"/>
          <w:szCs w:val="24"/>
        </w:rPr>
        <w:t>738.7t/h</w:t>
      </w:r>
      <w:r>
        <w:rPr>
          <w:rFonts w:hint="eastAsia"/>
          <w:sz w:val="28"/>
          <w:szCs w:val="24"/>
        </w:rPr>
        <w:t>，其中</w:t>
      </w:r>
      <w:r>
        <w:rPr>
          <w:sz w:val="28"/>
          <w:szCs w:val="24"/>
        </w:rPr>
        <w:t>606.4t/h锅炉主蒸汽经喷水减温至12.6MPa</w:t>
      </w:r>
      <w:r>
        <w:rPr>
          <w:rFonts w:hint="eastAsia"/>
          <w:sz w:val="28"/>
          <w:szCs w:val="24"/>
        </w:rPr>
        <w:t>、</w:t>
      </w:r>
      <w:r>
        <w:rPr>
          <w:sz w:val="28"/>
          <w:szCs w:val="24"/>
        </w:rPr>
        <w:t>395℃后外供用于满足超高压热负荷，超高压蒸汽最大供热能力可达749.1t/h；132.3t/h锅炉主蒸汽经汽轮发电机组做功后，汽轮机背压排汽（0.98MPa</w:t>
      </w:r>
      <w:r>
        <w:rPr>
          <w:rFonts w:hint="eastAsia"/>
          <w:sz w:val="28"/>
          <w:szCs w:val="24"/>
        </w:rPr>
        <w:t>、</w:t>
      </w:r>
      <w:r>
        <w:rPr>
          <w:sz w:val="28"/>
          <w:szCs w:val="24"/>
        </w:rPr>
        <w:t>210℃）一部分用于电厂自用汽，另一部分外供用于满足低压热负荷，低压蒸汽最大供热能力可达104t/h</w:t>
      </w:r>
      <w:r>
        <w:rPr>
          <w:rFonts w:hint="eastAsia"/>
          <w:sz w:val="28"/>
          <w:szCs w:val="24"/>
        </w:rPr>
        <w:t>，因此最大供热能力可达</w:t>
      </w:r>
      <w:r>
        <w:rPr>
          <w:sz w:val="28"/>
          <w:szCs w:val="24"/>
        </w:rPr>
        <w:t>853.1t/h。</w:t>
      </w:r>
    </w:p>
    <w:p>
      <w:pPr>
        <w:pStyle w:val="61"/>
        <w:ind w:firstLine="560"/>
        <w:rPr>
          <w:color w:val="000000" w:themeColor="text1"/>
          <w:sz w:val="28"/>
          <w:szCs w:val="28"/>
          <w14:textFill>
            <w14:solidFill>
              <w14:schemeClr w14:val="tx1"/>
            </w14:solidFill>
          </w14:textFill>
        </w:rPr>
      </w:pPr>
      <w:r>
        <w:rPr>
          <w:rFonts w:hint="eastAsia"/>
          <w:sz w:val="28"/>
          <w:szCs w:val="24"/>
        </w:rPr>
        <w:t>综上所述，尖山新区第二公共热源点建成后，日常供热能力</w:t>
      </w:r>
      <w:r>
        <w:rPr>
          <w:sz w:val="28"/>
          <w:szCs w:val="24"/>
        </w:rPr>
        <w:t>614.6t/h</w:t>
      </w:r>
      <w:r>
        <w:rPr>
          <w:rFonts w:hint="eastAsia"/>
          <w:sz w:val="28"/>
          <w:szCs w:val="24"/>
        </w:rPr>
        <w:t>，主要供应高压蒸汽和低压蒸汽，其中低压蒸汽压力0</w:t>
      </w:r>
      <w:r>
        <w:rPr>
          <w:sz w:val="28"/>
          <w:szCs w:val="24"/>
        </w:rPr>
        <w:t>.98MP</w:t>
      </w:r>
      <w:r>
        <w:rPr>
          <w:rFonts w:hint="eastAsia"/>
          <w:sz w:val="28"/>
          <w:szCs w:val="24"/>
        </w:rPr>
        <w:t>a，温度2</w:t>
      </w:r>
      <w:r>
        <w:rPr>
          <w:sz w:val="28"/>
          <w:szCs w:val="24"/>
        </w:rPr>
        <w:t>10</w:t>
      </w:r>
      <w:r>
        <w:rPr>
          <w:rFonts w:hint="eastAsia"/>
          <w:sz w:val="28"/>
          <w:szCs w:val="24"/>
        </w:rPr>
        <w:t>℃，供应能力</w:t>
      </w:r>
      <w:r>
        <w:rPr>
          <w:sz w:val="28"/>
          <w:szCs w:val="24"/>
        </w:rPr>
        <w:t>88t/h</w:t>
      </w:r>
      <w:r>
        <w:rPr>
          <w:rFonts w:hint="eastAsia"/>
          <w:sz w:val="28"/>
          <w:szCs w:val="24"/>
        </w:rPr>
        <w:t>，高压蒸汽压力</w:t>
      </w:r>
      <w:r>
        <w:rPr>
          <w:sz w:val="28"/>
          <w:szCs w:val="24"/>
        </w:rPr>
        <w:t>12.6MP</w:t>
      </w:r>
      <w:r>
        <w:rPr>
          <w:rFonts w:hint="eastAsia"/>
          <w:sz w:val="28"/>
          <w:szCs w:val="24"/>
        </w:rPr>
        <w:t>a，温度</w:t>
      </w:r>
      <w:r>
        <w:rPr>
          <w:sz w:val="28"/>
          <w:szCs w:val="24"/>
        </w:rPr>
        <w:t>395</w:t>
      </w:r>
      <w:r>
        <w:rPr>
          <w:rFonts w:hint="eastAsia"/>
          <w:sz w:val="28"/>
          <w:szCs w:val="24"/>
        </w:rPr>
        <w:t>℃，供应能力</w:t>
      </w:r>
      <w:r>
        <w:rPr>
          <w:sz w:val="28"/>
          <w:szCs w:val="24"/>
        </w:rPr>
        <w:t>526.6t/h</w:t>
      </w:r>
      <w:r>
        <w:rPr>
          <w:rFonts w:hint="eastAsia"/>
          <w:sz w:val="28"/>
          <w:szCs w:val="24"/>
        </w:rPr>
        <w:t>；最大供热能力</w:t>
      </w:r>
      <w:r>
        <w:rPr>
          <w:sz w:val="28"/>
          <w:szCs w:val="24"/>
        </w:rPr>
        <w:t>853.1t/h</w:t>
      </w:r>
      <w:r>
        <w:rPr>
          <w:rFonts w:hint="eastAsia"/>
          <w:sz w:val="28"/>
          <w:szCs w:val="24"/>
        </w:rPr>
        <w:t>，主要供应高压蒸汽和低压蒸汽，其中低压蒸汽压力0</w:t>
      </w:r>
      <w:r>
        <w:rPr>
          <w:sz w:val="28"/>
          <w:szCs w:val="24"/>
        </w:rPr>
        <w:t>.98MP</w:t>
      </w:r>
      <w:r>
        <w:rPr>
          <w:rFonts w:hint="eastAsia"/>
          <w:sz w:val="28"/>
          <w:szCs w:val="24"/>
        </w:rPr>
        <w:t>a，温度2</w:t>
      </w:r>
      <w:r>
        <w:rPr>
          <w:sz w:val="28"/>
          <w:szCs w:val="24"/>
        </w:rPr>
        <w:t>10</w:t>
      </w:r>
      <w:r>
        <w:rPr>
          <w:rFonts w:hint="eastAsia"/>
          <w:sz w:val="28"/>
          <w:szCs w:val="24"/>
        </w:rPr>
        <w:t>℃，供应能力</w:t>
      </w:r>
      <w:r>
        <w:rPr>
          <w:sz w:val="28"/>
          <w:szCs w:val="24"/>
        </w:rPr>
        <w:t>104t/h</w:t>
      </w:r>
      <w:r>
        <w:rPr>
          <w:rFonts w:hint="eastAsia"/>
          <w:sz w:val="28"/>
          <w:szCs w:val="24"/>
        </w:rPr>
        <w:t>，高压蒸汽压力</w:t>
      </w:r>
      <w:r>
        <w:rPr>
          <w:sz w:val="28"/>
          <w:szCs w:val="24"/>
        </w:rPr>
        <w:t>12.6MP</w:t>
      </w:r>
      <w:r>
        <w:rPr>
          <w:rFonts w:hint="eastAsia"/>
          <w:sz w:val="28"/>
          <w:szCs w:val="24"/>
        </w:rPr>
        <w:t>a，温度</w:t>
      </w:r>
      <w:r>
        <w:rPr>
          <w:sz w:val="28"/>
          <w:szCs w:val="24"/>
        </w:rPr>
        <w:t>395</w:t>
      </w:r>
      <w:r>
        <w:rPr>
          <w:rFonts w:hint="eastAsia"/>
          <w:sz w:val="28"/>
          <w:szCs w:val="24"/>
        </w:rPr>
        <w:t>℃，供应能力</w:t>
      </w:r>
      <w:r>
        <w:rPr>
          <w:sz w:val="28"/>
          <w:szCs w:val="24"/>
        </w:rPr>
        <w:t>749.1t/h</w:t>
      </w:r>
      <w:r>
        <w:rPr>
          <w:rFonts w:hint="eastAsia"/>
          <w:sz w:val="28"/>
          <w:szCs w:val="24"/>
        </w:rPr>
        <w:t>，可满足万凯新材料7</w:t>
      </w:r>
      <w:r>
        <w:rPr>
          <w:sz w:val="28"/>
          <w:szCs w:val="24"/>
        </w:rPr>
        <w:t>5</w:t>
      </w:r>
      <w:r>
        <w:rPr>
          <w:rFonts w:hint="eastAsia"/>
          <w:sz w:val="28"/>
          <w:szCs w:val="24"/>
        </w:rPr>
        <w:t>万吨聚酯切片项目（低压蒸汽温度2</w:t>
      </w:r>
      <w:r>
        <w:rPr>
          <w:sz w:val="28"/>
          <w:szCs w:val="24"/>
        </w:rPr>
        <w:t>10</w:t>
      </w:r>
      <w:r>
        <w:rPr>
          <w:rFonts w:hint="eastAsia"/>
          <w:sz w:val="28"/>
          <w:szCs w:val="24"/>
        </w:rPr>
        <w:t>℃，压力0</w:t>
      </w:r>
      <w:r>
        <w:rPr>
          <w:sz w:val="28"/>
          <w:szCs w:val="24"/>
        </w:rPr>
        <w:t>.98MP</w:t>
      </w:r>
      <w:r>
        <w:rPr>
          <w:rFonts w:hint="eastAsia"/>
          <w:sz w:val="28"/>
          <w:szCs w:val="24"/>
        </w:rPr>
        <w:t>a，平均热负荷</w:t>
      </w:r>
      <w:r>
        <w:rPr>
          <w:sz w:val="28"/>
          <w:szCs w:val="24"/>
        </w:rPr>
        <w:t>6.6t/h，最大热负荷7.2t/h</w:t>
      </w:r>
      <w:r>
        <w:rPr>
          <w:rFonts w:hint="eastAsia"/>
          <w:sz w:val="28"/>
          <w:szCs w:val="24"/>
        </w:rPr>
        <w:t>；</w:t>
      </w:r>
      <w:r>
        <w:rPr>
          <w:sz w:val="28"/>
          <w:szCs w:val="24"/>
        </w:rPr>
        <w:t>高压蒸汽</w:t>
      </w:r>
      <w:r>
        <w:rPr>
          <w:rFonts w:hint="eastAsia"/>
          <w:sz w:val="28"/>
          <w:szCs w:val="24"/>
        </w:rPr>
        <w:t>温度</w:t>
      </w:r>
      <w:r>
        <w:rPr>
          <w:sz w:val="28"/>
          <w:szCs w:val="24"/>
        </w:rPr>
        <w:t>395</w:t>
      </w:r>
      <w:r>
        <w:rPr>
          <w:rFonts w:hint="eastAsia"/>
          <w:sz w:val="28"/>
          <w:szCs w:val="24"/>
        </w:rPr>
        <w:t>℃，压力</w:t>
      </w:r>
      <w:r>
        <w:rPr>
          <w:sz w:val="28"/>
          <w:szCs w:val="24"/>
        </w:rPr>
        <w:t>12.6MP</w:t>
      </w:r>
      <w:r>
        <w:rPr>
          <w:rFonts w:hint="eastAsia"/>
          <w:sz w:val="28"/>
          <w:szCs w:val="24"/>
        </w:rPr>
        <w:t>a，</w:t>
      </w:r>
      <w:r>
        <w:rPr>
          <w:sz w:val="28"/>
          <w:szCs w:val="24"/>
        </w:rPr>
        <w:t>平均热负荷101t/h，最大热负荷116t/h</w:t>
      </w:r>
      <w:r>
        <w:rPr>
          <w:rFonts w:hint="eastAsia"/>
          <w:sz w:val="28"/>
          <w:szCs w:val="24"/>
        </w:rPr>
        <w:t>）和万凯新材料新增3</w:t>
      </w:r>
      <w:r>
        <w:rPr>
          <w:sz w:val="28"/>
          <w:szCs w:val="24"/>
        </w:rPr>
        <w:t>15</w:t>
      </w:r>
      <w:r>
        <w:rPr>
          <w:rFonts w:hint="eastAsia"/>
          <w:sz w:val="28"/>
          <w:szCs w:val="24"/>
        </w:rPr>
        <w:t>万吨P</w:t>
      </w:r>
      <w:r>
        <w:rPr>
          <w:sz w:val="28"/>
          <w:szCs w:val="24"/>
        </w:rPr>
        <w:t>ET</w:t>
      </w:r>
      <w:r>
        <w:rPr>
          <w:rFonts w:hint="eastAsia"/>
          <w:sz w:val="28"/>
          <w:szCs w:val="24"/>
        </w:rPr>
        <w:t>项目（低压蒸汽温度2</w:t>
      </w:r>
      <w:r>
        <w:rPr>
          <w:sz w:val="28"/>
          <w:szCs w:val="24"/>
        </w:rPr>
        <w:t>10</w:t>
      </w:r>
      <w:r>
        <w:rPr>
          <w:rFonts w:hint="eastAsia"/>
          <w:sz w:val="28"/>
          <w:szCs w:val="24"/>
        </w:rPr>
        <w:t>℃，压力0</w:t>
      </w:r>
      <w:r>
        <w:rPr>
          <w:sz w:val="28"/>
          <w:szCs w:val="24"/>
        </w:rPr>
        <w:t>.98MP</w:t>
      </w:r>
      <w:r>
        <w:rPr>
          <w:rFonts w:hint="eastAsia"/>
          <w:sz w:val="28"/>
          <w:szCs w:val="24"/>
        </w:rPr>
        <w:t>a，平均热负荷</w:t>
      </w:r>
      <w:r>
        <w:rPr>
          <w:sz w:val="28"/>
          <w:szCs w:val="24"/>
        </w:rPr>
        <w:t>27.6t/h，最大热负荷31.7t/h</w:t>
      </w:r>
      <w:r>
        <w:rPr>
          <w:rFonts w:hint="eastAsia"/>
          <w:sz w:val="28"/>
          <w:szCs w:val="24"/>
        </w:rPr>
        <w:t>；</w:t>
      </w:r>
      <w:r>
        <w:rPr>
          <w:sz w:val="28"/>
          <w:szCs w:val="24"/>
        </w:rPr>
        <w:t>高压蒸汽</w:t>
      </w:r>
      <w:r>
        <w:rPr>
          <w:rFonts w:hint="eastAsia"/>
          <w:sz w:val="28"/>
          <w:szCs w:val="24"/>
        </w:rPr>
        <w:t>温度</w:t>
      </w:r>
      <w:r>
        <w:rPr>
          <w:sz w:val="28"/>
          <w:szCs w:val="24"/>
        </w:rPr>
        <w:t>395</w:t>
      </w:r>
      <w:r>
        <w:rPr>
          <w:rFonts w:hint="eastAsia"/>
          <w:sz w:val="28"/>
          <w:szCs w:val="24"/>
        </w:rPr>
        <w:t>℃，压力</w:t>
      </w:r>
      <w:r>
        <w:rPr>
          <w:sz w:val="28"/>
          <w:szCs w:val="24"/>
        </w:rPr>
        <w:t>12.6MP</w:t>
      </w:r>
      <w:r>
        <w:rPr>
          <w:rFonts w:hint="eastAsia"/>
          <w:sz w:val="28"/>
          <w:szCs w:val="24"/>
        </w:rPr>
        <w:t>a，</w:t>
      </w:r>
      <w:r>
        <w:rPr>
          <w:sz w:val="28"/>
          <w:szCs w:val="24"/>
        </w:rPr>
        <w:t>平均热负荷425.6t/h，最大热负荷490t/h</w:t>
      </w:r>
      <w:r>
        <w:rPr>
          <w:rFonts w:hint="eastAsia"/>
          <w:sz w:val="28"/>
          <w:szCs w:val="24"/>
        </w:rPr>
        <w:t>）。</w:t>
      </w:r>
      <w:r>
        <w:rPr>
          <w:rFonts w:hint="eastAsia"/>
          <w:color w:val="000000" w:themeColor="text1"/>
          <w:sz w:val="28"/>
          <w:szCs w:val="28"/>
          <w14:textFill>
            <w14:solidFill>
              <w14:schemeClr w14:val="tx1"/>
            </w14:solidFill>
          </w14:textFill>
        </w:rPr>
        <w:t>项目建成后，低温低压蒸汽管网将与该区块其他公共热源点联通。</w:t>
      </w:r>
    </w:p>
    <w:p>
      <w:pPr>
        <w:spacing w:before="156" w:beforeLines="50" w:line="360" w:lineRule="auto"/>
        <w:jc w:val="center"/>
        <w:rPr>
          <w:rFonts w:ascii="黑体" w:hAnsi="黑体" w:eastAsia="黑体" w:cs="Times New Roman"/>
          <w:sz w:val="28"/>
          <w:szCs w:val="28"/>
        </w:rPr>
      </w:pPr>
      <w:r>
        <w:rPr>
          <w:rFonts w:hint="eastAsia" w:ascii="黑体" w:hAnsi="黑体" w:eastAsia="黑体" w:cs="Times New Roman"/>
          <w:sz w:val="28"/>
          <w:szCs w:val="28"/>
        </w:rPr>
        <w:t>表5</w:t>
      </w:r>
      <w:r>
        <w:rPr>
          <w:rFonts w:ascii="黑体" w:hAnsi="黑体" w:eastAsia="黑体" w:cs="Times New Roman"/>
          <w:sz w:val="28"/>
          <w:szCs w:val="28"/>
        </w:rPr>
        <w:t xml:space="preserve">.2-1 </w:t>
      </w:r>
      <w:r>
        <w:rPr>
          <w:rFonts w:hint="eastAsia" w:ascii="黑体" w:hAnsi="黑体" w:eastAsia="黑体" w:cs="Times New Roman"/>
          <w:sz w:val="28"/>
          <w:szCs w:val="28"/>
        </w:rPr>
        <w:t>尖山新区第二公共热源点全厂汽水平衡表</w:t>
      </w:r>
    </w:p>
    <w:tbl>
      <w:tblPr>
        <w:tblStyle w:val="24"/>
        <w:tblW w:w="50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9"/>
        <w:gridCol w:w="3643"/>
        <w:gridCol w:w="1391"/>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270" w:type="dxa"/>
            <w:vAlign w:val="center"/>
          </w:tcPr>
          <w:p>
            <w:pPr>
              <w:tabs>
                <w:tab w:val="left" w:pos="525"/>
              </w:tabs>
              <w:adjustRightIn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蒸汽类别</w:t>
            </w:r>
          </w:p>
        </w:tc>
        <w:tc>
          <w:tcPr>
            <w:tcW w:w="3551" w:type="dxa"/>
            <w:vAlign w:val="center"/>
          </w:tcPr>
          <w:p>
            <w:pPr>
              <w:tabs>
                <w:tab w:val="left" w:pos="525"/>
              </w:tabs>
              <w:adjustRightIn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项目名称</w:t>
            </w:r>
          </w:p>
        </w:tc>
        <w:tc>
          <w:tcPr>
            <w:tcW w:w="1356" w:type="dxa"/>
            <w:noWrap/>
            <w:vAlign w:val="center"/>
          </w:tcPr>
          <w:p>
            <w:pPr>
              <w:tabs>
                <w:tab w:val="left" w:pos="525"/>
              </w:tabs>
              <w:adjustRightIn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日常供热</w:t>
            </w:r>
          </w:p>
        </w:tc>
        <w:tc>
          <w:tcPr>
            <w:tcW w:w="1644" w:type="dxa"/>
            <w:noWrap/>
            <w:vAlign w:val="center"/>
          </w:tcPr>
          <w:p>
            <w:pPr>
              <w:tabs>
                <w:tab w:val="left" w:pos="525"/>
              </w:tabs>
              <w:adjustRightIn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最大供热能力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restart"/>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5×150t/h锅炉主蒸汽（4用1备）</w:t>
            </w:r>
          </w:p>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13.7MPa.g，540℃</w:t>
            </w:r>
          </w:p>
        </w:tc>
        <w:tc>
          <w:tcPr>
            <w:tcW w:w="3551"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锅炉蒸发量</w:t>
            </w:r>
          </w:p>
        </w:tc>
        <w:tc>
          <w:tcPr>
            <w:tcW w:w="1356"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547.1</w:t>
            </w:r>
          </w:p>
        </w:tc>
        <w:tc>
          <w:tcPr>
            <w:tcW w:w="1644"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750（5炉运行）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pPr>
              <w:tabs>
                <w:tab w:val="left" w:pos="525"/>
              </w:tabs>
              <w:adjustRightInd w:val="0"/>
              <w:jc w:val="center"/>
              <w:rPr>
                <w:rFonts w:ascii="Times New Roman" w:hAnsi="Times New Roman" w:eastAsia="仿宋_GB2312" w:cs="Times New Roman"/>
                <w:sz w:val="24"/>
                <w:szCs w:val="24"/>
              </w:rPr>
            </w:pPr>
          </w:p>
        </w:tc>
        <w:tc>
          <w:tcPr>
            <w:tcW w:w="3551"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2台总容量18MW汽轮机总进汽量</w:t>
            </w:r>
          </w:p>
        </w:tc>
        <w:tc>
          <w:tcPr>
            <w:tcW w:w="1356"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111.9</w:t>
            </w:r>
          </w:p>
        </w:tc>
        <w:tc>
          <w:tcPr>
            <w:tcW w:w="1644"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pPr>
              <w:tabs>
                <w:tab w:val="left" w:pos="525"/>
              </w:tabs>
              <w:adjustRightInd w:val="0"/>
              <w:jc w:val="center"/>
              <w:rPr>
                <w:rFonts w:ascii="Times New Roman" w:hAnsi="Times New Roman" w:eastAsia="仿宋_GB2312" w:cs="Times New Roman"/>
                <w:sz w:val="24"/>
                <w:szCs w:val="24"/>
              </w:rPr>
            </w:pPr>
          </w:p>
        </w:tc>
        <w:tc>
          <w:tcPr>
            <w:tcW w:w="3551"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超高压减温器进汽量</w:t>
            </w:r>
          </w:p>
        </w:tc>
        <w:tc>
          <w:tcPr>
            <w:tcW w:w="1356"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427.1</w:t>
            </w:r>
          </w:p>
        </w:tc>
        <w:tc>
          <w:tcPr>
            <w:tcW w:w="1644"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pPr>
              <w:tabs>
                <w:tab w:val="left" w:pos="525"/>
              </w:tabs>
              <w:adjustRightInd w:val="0"/>
              <w:jc w:val="center"/>
              <w:rPr>
                <w:rFonts w:ascii="Times New Roman" w:hAnsi="Times New Roman" w:eastAsia="仿宋_GB2312" w:cs="Times New Roman"/>
                <w:sz w:val="24"/>
                <w:szCs w:val="24"/>
              </w:rPr>
            </w:pPr>
          </w:p>
        </w:tc>
        <w:tc>
          <w:tcPr>
            <w:tcW w:w="3551"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汽水损失</w:t>
            </w:r>
          </w:p>
        </w:tc>
        <w:tc>
          <w:tcPr>
            <w:tcW w:w="1356"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8.21</w:t>
            </w:r>
          </w:p>
        </w:tc>
        <w:tc>
          <w:tcPr>
            <w:tcW w:w="1644"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pPr>
              <w:tabs>
                <w:tab w:val="left" w:pos="525"/>
              </w:tabs>
              <w:adjustRightInd w:val="0"/>
              <w:jc w:val="center"/>
              <w:rPr>
                <w:rFonts w:ascii="Times New Roman" w:hAnsi="Times New Roman" w:eastAsia="仿宋_GB2312" w:cs="Times New Roman"/>
                <w:sz w:val="24"/>
                <w:szCs w:val="24"/>
              </w:rPr>
            </w:pPr>
          </w:p>
        </w:tc>
        <w:tc>
          <w:tcPr>
            <w:tcW w:w="3551"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比较</w:t>
            </w:r>
          </w:p>
        </w:tc>
        <w:tc>
          <w:tcPr>
            <w:tcW w:w="1356"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c>
          <w:tcPr>
            <w:tcW w:w="1644"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restart"/>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汽轮机排汽及</w:t>
            </w:r>
          </w:p>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减温器排汽</w:t>
            </w:r>
          </w:p>
        </w:tc>
        <w:tc>
          <w:tcPr>
            <w:tcW w:w="3551"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2台总容量18MW汽轮机排汽量</w:t>
            </w:r>
          </w:p>
        </w:tc>
        <w:tc>
          <w:tcPr>
            <w:tcW w:w="1356"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111.2</w:t>
            </w:r>
          </w:p>
        </w:tc>
        <w:tc>
          <w:tcPr>
            <w:tcW w:w="1644"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pPr>
              <w:tabs>
                <w:tab w:val="left" w:pos="525"/>
              </w:tabs>
              <w:adjustRightInd w:val="0"/>
              <w:jc w:val="center"/>
              <w:rPr>
                <w:rFonts w:ascii="Times New Roman" w:hAnsi="Times New Roman" w:eastAsia="仿宋_GB2312" w:cs="Times New Roman"/>
                <w:sz w:val="24"/>
                <w:szCs w:val="24"/>
              </w:rPr>
            </w:pPr>
          </w:p>
        </w:tc>
        <w:tc>
          <w:tcPr>
            <w:tcW w:w="3551"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超高压减温器排汽量</w:t>
            </w:r>
          </w:p>
        </w:tc>
        <w:tc>
          <w:tcPr>
            <w:tcW w:w="1356"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526.6</w:t>
            </w:r>
          </w:p>
        </w:tc>
        <w:tc>
          <w:tcPr>
            <w:tcW w:w="1644"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restart"/>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对外供热量</w:t>
            </w:r>
          </w:p>
        </w:tc>
        <w:tc>
          <w:tcPr>
            <w:tcW w:w="3551"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超高压供热量</w:t>
            </w:r>
          </w:p>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（12.6MPa.a，395℃）</w:t>
            </w:r>
          </w:p>
        </w:tc>
        <w:tc>
          <w:tcPr>
            <w:tcW w:w="1356"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526.6</w:t>
            </w:r>
          </w:p>
        </w:tc>
        <w:tc>
          <w:tcPr>
            <w:tcW w:w="1644"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noWrap/>
            <w:vAlign w:val="center"/>
          </w:tcPr>
          <w:p>
            <w:pPr>
              <w:tabs>
                <w:tab w:val="left" w:pos="525"/>
              </w:tabs>
              <w:adjustRightInd w:val="0"/>
              <w:jc w:val="center"/>
              <w:rPr>
                <w:rFonts w:ascii="Times New Roman" w:hAnsi="Times New Roman" w:eastAsia="仿宋_GB2312" w:cs="Times New Roman"/>
                <w:sz w:val="24"/>
                <w:szCs w:val="24"/>
              </w:rPr>
            </w:pPr>
          </w:p>
        </w:tc>
        <w:tc>
          <w:tcPr>
            <w:tcW w:w="3551"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低压供热量</w:t>
            </w:r>
          </w:p>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（0.98MPa.a，210℃）</w:t>
            </w:r>
          </w:p>
        </w:tc>
        <w:tc>
          <w:tcPr>
            <w:tcW w:w="1356"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88</w:t>
            </w:r>
          </w:p>
        </w:tc>
        <w:tc>
          <w:tcPr>
            <w:tcW w:w="1644"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自用汽量</w:t>
            </w:r>
          </w:p>
        </w:tc>
        <w:tc>
          <w:tcPr>
            <w:tcW w:w="3551"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除氧加热用汽</w:t>
            </w:r>
          </w:p>
        </w:tc>
        <w:tc>
          <w:tcPr>
            <w:tcW w:w="1356"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23.51</w:t>
            </w:r>
          </w:p>
        </w:tc>
        <w:tc>
          <w:tcPr>
            <w:tcW w:w="1644"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restart"/>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其他汽水量有关数据</w:t>
            </w:r>
          </w:p>
        </w:tc>
        <w:tc>
          <w:tcPr>
            <w:tcW w:w="3551"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化学补充水</w:t>
            </w:r>
          </w:p>
        </w:tc>
        <w:tc>
          <w:tcPr>
            <w:tcW w:w="1356"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99.88</w:t>
            </w:r>
          </w:p>
        </w:tc>
        <w:tc>
          <w:tcPr>
            <w:tcW w:w="1644"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pPr>
              <w:tabs>
                <w:tab w:val="left" w:pos="525"/>
              </w:tabs>
              <w:adjustRightInd w:val="0"/>
              <w:jc w:val="center"/>
              <w:rPr>
                <w:rFonts w:ascii="Times New Roman" w:hAnsi="Times New Roman" w:eastAsia="仿宋_GB2312" w:cs="Times New Roman"/>
                <w:sz w:val="24"/>
                <w:szCs w:val="24"/>
              </w:rPr>
            </w:pPr>
          </w:p>
        </w:tc>
        <w:tc>
          <w:tcPr>
            <w:tcW w:w="3551"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锅炉排污损失</w:t>
            </w:r>
          </w:p>
        </w:tc>
        <w:tc>
          <w:tcPr>
            <w:tcW w:w="1356"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3.03</w:t>
            </w:r>
          </w:p>
        </w:tc>
        <w:tc>
          <w:tcPr>
            <w:tcW w:w="1644"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pPr>
              <w:tabs>
                <w:tab w:val="left" w:pos="525"/>
              </w:tabs>
              <w:adjustRightInd w:val="0"/>
              <w:jc w:val="center"/>
              <w:rPr>
                <w:rFonts w:ascii="Times New Roman" w:hAnsi="Times New Roman" w:eastAsia="仿宋_GB2312" w:cs="Times New Roman"/>
                <w:sz w:val="24"/>
                <w:szCs w:val="24"/>
              </w:rPr>
            </w:pPr>
          </w:p>
        </w:tc>
        <w:tc>
          <w:tcPr>
            <w:tcW w:w="3551"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锅炉给水</w:t>
            </w:r>
          </w:p>
        </w:tc>
        <w:tc>
          <w:tcPr>
            <w:tcW w:w="1356"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552.6</w:t>
            </w:r>
          </w:p>
        </w:tc>
        <w:tc>
          <w:tcPr>
            <w:tcW w:w="1644"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vMerge w:val="continue"/>
            <w:vAlign w:val="center"/>
          </w:tcPr>
          <w:p>
            <w:pPr>
              <w:tabs>
                <w:tab w:val="left" w:pos="525"/>
              </w:tabs>
              <w:adjustRightInd w:val="0"/>
              <w:jc w:val="center"/>
              <w:rPr>
                <w:rFonts w:ascii="Times New Roman" w:hAnsi="Times New Roman" w:eastAsia="仿宋_GB2312" w:cs="Times New Roman"/>
                <w:sz w:val="24"/>
                <w:szCs w:val="24"/>
              </w:rPr>
            </w:pPr>
          </w:p>
        </w:tc>
        <w:tc>
          <w:tcPr>
            <w:tcW w:w="3551"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超高压工艺凝液回收量</w:t>
            </w:r>
          </w:p>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（11.1MPa.a，305℃）</w:t>
            </w:r>
          </w:p>
        </w:tc>
        <w:tc>
          <w:tcPr>
            <w:tcW w:w="1356"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526.6</w:t>
            </w:r>
          </w:p>
        </w:tc>
        <w:tc>
          <w:tcPr>
            <w:tcW w:w="1644"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70"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发电功率</w:t>
            </w:r>
          </w:p>
        </w:tc>
        <w:tc>
          <w:tcPr>
            <w:tcW w:w="3551" w:type="dxa"/>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机组发电功率（kW）</w:t>
            </w:r>
          </w:p>
        </w:tc>
        <w:tc>
          <w:tcPr>
            <w:tcW w:w="1356"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16911</w:t>
            </w:r>
          </w:p>
        </w:tc>
        <w:tc>
          <w:tcPr>
            <w:tcW w:w="1644" w:type="dxa"/>
            <w:noWrap/>
            <w:vAlign w:val="center"/>
          </w:tcPr>
          <w:p>
            <w:pPr>
              <w:tabs>
                <w:tab w:val="left" w:pos="525"/>
              </w:tabs>
              <w:adjustRightIn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20000</w:t>
            </w:r>
          </w:p>
        </w:tc>
      </w:tr>
    </w:tbl>
    <w:p>
      <w:pPr>
        <w:spacing w:before="156" w:beforeLines="50" w:line="360" w:lineRule="auto"/>
        <w:jc w:val="center"/>
        <w:rPr>
          <w:rFonts w:ascii="黑体" w:hAnsi="黑体" w:eastAsia="黑体" w:cs="Times New Roman"/>
          <w:sz w:val="28"/>
          <w:szCs w:val="28"/>
          <w:highlight w:val="yellow"/>
        </w:rPr>
      </w:pPr>
    </w:p>
    <w:p>
      <w:pPr>
        <w:spacing w:before="156" w:beforeLines="50" w:line="360" w:lineRule="auto"/>
        <w:jc w:val="center"/>
        <w:rPr>
          <w:rFonts w:ascii="黑体" w:hAnsi="黑体" w:eastAsia="黑体" w:cs="Times New Roman"/>
          <w:sz w:val="28"/>
          <w:szCs w:val="28"/>
        </w:rPr>
      </w:pPr>
      <w:r>
        <w:rPr>
          <w:rFonts w:hint="eastAsia" w:ascii="黑体" w:hAnsi="黑体" w:eastAsia="黑体" w:cs="Times New Roman"/>
          <w:sz w:val="28"/>
          <w:szCs w:val="28"/>
        </w:rPr>
        <w:t>表5</w:t>
      </w:r>
      <w:r>
        <w:rPr>
          <w:rFonts w:ascii="黑体" w:hAnsi="黑体" w:eastAsia="黑体" w:cs="Times New Roman"/>
          <w:sz w:val="28"/>
          <w:szCs w:val="28"/>
        </w:rPr>
        <w:t xml:space="preserve">.2-2 </w:t>
      </w:r>
      <w:r>
        <w:rPr>
          <w:rFonts w:hint="eastAsia" w:ascii="黑体" w:hAnsi="黑体" w:eastAsia="黑体" w:cs="Times New Roman"/>
          <w:sz w:val="28"/>
          <w:szCs w:val="28"/>
        </w:rPr>
        <w:t>尖山新区第二公共热源点技术经济指标表（日常供热状态）</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3081"/>
        <w:gridCol w:w="1598"/>
        <w:gridCol w:w="1553"/>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blHeader/>
          <w:jc w:val="center"/>
        </w:trPr>
        <w:tc>
          <w:tcPr>
            <w:tcW w:w="404" w:type="pct"/>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序号</w:t>
            </w:r>
          </w:p>
        </w:tc>
        <w:tc>
          <w:tcPr>
            <w:tcW w:w="2615" w:type="pct"/>
            <w:gridSpan w:val="2"/>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项目名称</w:t>
            </w:r>
          </w:p>
        </w:tc>
        <w:tc>
          <w:tcPr>
            <w:tcW w:w="868" w:type="pct"/>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单位</w:t>
            </w:r>
          </w:p>
        </w:tc>
        <w:tc>
          <w:tcPr>
            <w:tcW w:w="1113" w:type="pct"/>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04" w:type="pct"/>
            <w:vMerge w:val="restar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1722" w:type="pct"/>
            <w:vMerge w:val="restar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超高压热负荷</w:t>
            </w:r>
          </w:p>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（12.6MPa.a，395℃）</w:t>
            </w:r>
          </w:p>
        </w:tc>
        <w:tc>
          <w:tcPr>
            <w:tcW w:w="89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供汽量</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t/h</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jc w:val="center"/>
        </w:trPr>
        <w:tc>
          <w:tcPr>
            <w:tcW w:w="404" w:type="pct"/>
            <w:vMerge w:val="continue"/>
            <w:vAlign w:val="center"/>
          </w:tcPr>
          <w:p>
            <w:pPr>
              <w:jc w:val="center"/>
              <w:rPr>
                <w:rFonts w:ascii="Times New Roman" w:hAnsi="Times New Roman" w:eastAsia="仿宋_GB2312" w:cs="Times New Roman"/>
                <w:sz w:val="24"/>
                <w:szCs w:val="24"/>
              </w:rPr>
            </w:pPr>
          </w:p>
        </w:tc>
        <w:tc>
          <w:tcPr>
            <w:tcW w:w="1722" w:type="pct"/>
            <w:vMerge w:val="continue"/>
            <w:vAlign w:val="center"/>
          </w:tcPr>
          <w:p>
            <w:pPr>
              <w:jc w:val="center"/>
              <w:rPr>
                <w:rFonts w:ascii="Times New Roman" w:hAnsi="Times New Roman" w:eastAsia="仿宋_GB2312" w:cs="Times New Roman"/>
                <w:sz w:val="24"/>
                <w:szCs w:val="24"/>
              </w:rPr>
            </w:pPr>
          </w:p>
        </w:tc>
        <w:tc>
          <w:tcPr>
            <w:tcW w:w="89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总供热量</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GJ/h</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869.42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Merge w:val="continue"/>
            <w:vAlign w:val="center"/>
          </w:tcPr>
          <w:p>
            <w:pPr>
              <w:jc w:val="center"/>
              <w:rPr>
                <w:rFonts w:ascii="Times New Roman" w:hAnsi="Times New Roman" w:eastAsia="仿宋_GB2312" w:cs="Times New Roman"/>
                <w:sz w:val="24"/>
                <w:szCs w:val="24"/>
              </w:rPr>
            </w:pPr>
          </w:p>
        </w:tc>
        <w:tc>
          <w:tcPr>
            <w:tcW w:w="1722" w:type="pct"/>
            <w:vMerge w:val="restar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低压热负荷</w:t>
            </w:r>
          </w:p>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（0.98MPa.a，210℃）</w:t>
            </w:r>
          </w:p>
        </w:tc>
        <w:tc>
          <w:tcPr>
            <w:tcW w:w="89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供汽量</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t/h</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Merge w:val="continue"/>
            <w:vAlign w:val="center"/>
          </w:tcPr>
          <w:p>
            <w:pPr>
              <w:jc w:val="center"/>
              <w:rPr>
                <w:rFonts w:ascii="Times New Roman" w:hAnsi="Times New Roman" w:eastAsia="仿宋_GB2312" w:cs="Times New Roman"/>
                <w:sz w:val="24"/>
                <w:szCs w:val="24"/>
              </w:rPr>
            </w:pPr>
          </w:p>
        </w:tc>
        <w:tc>
          <w:tcPr>
            <w:tcW w:w="1722" w:type="pct"/>
            <w:vMerge w:val="continue"/>
            <w:vAlign w:val="center"/>
          </w:tcPr>
          <w:p>
            <w:pPr>
              <w:jc w:val="center"/>
              <w:rPr>
                <w:rFonts w:ascii="Times New Roman" w:hAnsi="Times New Roman" w:eastAsia="仿宋_GB2312" w:cs="Times New Roman"/>
                <w:sz w:val="24"/>
                <w:szCs w:val="24"/>
              </w:rPr>
            </w:pPr>
          </w:p>
        </w:tc>
        <w:tc>
          <w:tcPr>
            <w:tcW w:w="89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总供热量</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GJ/h</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243.58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锅炉出口蒸汽量</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t/h</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汽机发电机组进汽量</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t/h</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汽轮发电机发电量</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kW</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16991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0"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热电厂用电功率</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kW</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9529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热电厂供电功率</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kW</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综合厂用电率</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发电厂用电率</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9</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供热厂用电率</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发电设备年利用小时数</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h</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11</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全厂供热标煤耗率</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kg/GJ</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12</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全厂供电标煤耗率</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g/kWh</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189.84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全厂发电标煤耗率</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g/kWh</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174.97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14</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全厂总效率</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15</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热电比</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4143.22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Merge w:val="restar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16</w:t>
            </w:r>
          </w:p>
        </w:tc>
        <w:tc>
          <w:tcPr>
            <w:tcW w:w="2615" w:type="pct"/>
            <w:gridSpan w:val="2"/>
            <w:vMerge w:val="restar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全厂年供热量</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4</w:t>
            </w:r>
            <w:r>
              <w:rPr>
                <w:rFonts w:ascii="Times New Roman" w:hAnsi="Times New Roman" w:eastAsia="仿宋_GB2312" w:cs="Times New Roman"/>
                <w:sz w:val="24"/>
                <w:szCs w:val="24"/>
              </w:rPr>
              <w:t>t/a</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491.68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jc w:val="center"/>
        </w:trPr>
        <w:tc>
          <w:tcPr>
            <w:tcW w:w="404" w:type="pct"/>
            <w:vMerge w:val="continue"/>
            <w:vAlign w:val="center"/>
          </w:tcPr>
          <w:p>
            <w:pPr>
              <w:jc w:val="center"/>
              <w:rPr>
                <w:rFonts w:ascii="Times New Roman" w:hAnsi="Times New Roman" w:eastAsia="仿宋_GB2312" w:cs="Times New Roman"/>
                <w:sz w:val="24"/>
                <w:szCs w:val="24"/>
              </w:rPr>
            </w:pPr>
          </w:p>
        </w:tc>
        <w:tc>
          <w:tcPr>
            <w:tcW w:w="2615" w:type="pct"/>
            <w:gridSpan w:val="2"/>
            <w:vMerge w:val="continue"/>
            <w:vAlign w:val="center"/>
          </w:tcPr>
          <w:p>
            <w:pPr>
              <w:jc w:val="center"/>
              <w:rPr>
                <w:rFonts w:ascii="Times New Roman" w:hAnsi="Times New Roman" w:eastAsia="仿宋_GB2312" w:cs="Times New Roman"/>
                <w:sz w:val="24"/>
                <w:szCs w:val="24"/>
              </w:rPr>
            </w:pP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4</w:t>
            </w:r>
            <w:r>
              <w:rPr>
                <w:rFonts w:ascii="Times New Roman" w:hAnsi="Times New Roman" w:eastAsia="仿宋_GB2312" w:cs="Times New Roman"/>
                <w:sz w:val="24"/>
                <w:szCs w:val="24"/>
              </w:rPr>
              <w:t>GJ/a</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890.40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17</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全厂年发电量</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kWh/a</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18</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全厂年供电量</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w:t>
            </w:r>
            <w:r>
              <w:rPr>
                <w:rFonts w:ascii="Times New Roman" w:hAnsi="Times New Roman" w:eastAsia="仿宋_GB2312" w:cs="Times New Roman"/>
                <w:sz w:val="24"/>
                <w:szCs w:val="24"/>
                <w:vertAlign w:val="superscript"/>
              </w:rPr>
              <w:t>6</w:t>
            </w:r>
            <w:r>
              <w:rPr>
                <w:rFonts w:ascii="Times New Roman" w:hAnsi="Times New Roman" w:eastAsia="仿宋_GB2312" w:cs="Times New Roman"/>
                <w:sz w:val="24"/>
                <w:szCs w:val="24"/>
              </w:rPr>
              <w:t>kWh/a</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19</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全厂年标煤耗量</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t/a</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352652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404"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w:t>
            </w:r>
          </w:p>
        </w:tc>
        <w:tc>
          <w:tcPr>
            <w:tcW w:w="2615" w:type="pct"/>
            <w:gridSpan w:val="2"/>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全厂年原煤耗量</w:t>
            </w:r>
          </w:p>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（设计煤种，热值22.999MJ/kg，~5500kCal/kg）</w:t>
            </w:r>
          </w:p>
        </w:tc>
        <w:tc>
          <w:tcPr>
            <w:tcW w:w="868"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t/a</w:t>
            </w:r>
          </w:p>
        </w:tc>
        <w:tc>
          <w:tcPr>
            <w:tcW w:w="111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449390</w:t>
            </w:r>
          </w:p>
        </w:tc>
      </w:tr>
    </w:tbl>
    <w:p>
      <w:pPr>
        <w:pStyle w:val="61"/>
        <w:ind w:firstLine="560"/>
        <w:rPr>
          <w:sz w:val="28"/>
          <w:szCs w:val="24"/>
        </w:rPr>
      </w:pPr>
    </w:p>
    <w:p>
      <w:pPr>
        <w:pStyle w:val="61"/>
        <w:ind w:firstLine="562"/>
        <w:rPr>
          <w:b/>
          <w:sz w:val="28"/>
          <w:szCs w:val="24"/>
        </w:rPr>
      </w:pPr>
      <w:bookmarkStart w:id="361" w:name="_Toc171197883"/>
      <w:bookmarkStart w:id="362" w:name="_Toc144301258"/>
      <w:bookmarkStart w:id="363" w:name="_Toc144301039"/>
      <w:r>
        <w:rPr>
          <w:rFonts w:hint="eastAsia"/>
          <w:b/>
          <w:sz w:val="28"/>
          <w:szCs w:val="24"/>
        </w:rPr>
        <w:t>（3）海宁绿动海云环保能源有限</w:t>
      </w:r>
      <w:r>
        <w:rPr>
          <w:b/>
          <w:sz w:val="28"/>
          <w:szCs w:val="24"/>
        </w:rPr>
        <w:t>公司</w:t>
      </w:r>
    </w:p>
    <w:p>
      <w:pPr>
        <w:pStyle w:val="61"/>
        <w:ind w:firstLine="560"/>
        <w:rPr>
          <w:sz w:val="28"/>
          <w:szCs w:val="24"/>
        </w:rPr>
      </w:pPr>
      <w:r>
        <w:rPr>
          <w:rFonts w:hint="eastAsia"/>
          <w:sz w:val="28"/>
          <w:szCs w:val="24"/>
        </w:rPr>
        <w:t>海宁绿动海云环保能源有限</w:t>
      </w:r>
      <w:r>
        <w:rPr>
          <w:sz w:val="28"/>
          <w:szCs w:val="24"/>
        </w:rPr>
        <w:t>公司位于</w:t>
      </w:r>
      <w:r>
        <w:rPr>
          <w:rFonts w:hint="eastAsia"/>
          <w:sz w:val="28"/>
          <w:szCs w:val="24"/>
        </w:rPr>
        <w:t>浙江省嘉兴市海宁市黄湾镇尖山新区滨海路22号，是一座垃圾焚烧电厂</w:t>
      </w:r>
      <w:r>
        <w:rPr>
          <w:sz w:val="28"/>
          <w:szCs w:val="24"/>
        </w:rPr>
        <w:t>。目前</w:t>
      </w:r>
      <w:r>
        <w:rPr>
          <w:rFonts w:hint="eastAsia"/>
          <w:sz w:val="28"/>
          <w:szCs w:val="24"/>
        </w:rPr>
        <w:t>装机</w:t>
      </w:r>
      <w:r>
        <w:rPr>
          <w:sz w:val="28"/>
          <w:szCs w:val="24"/>
        </w:rPr>
        <w:t>规模为</w:t>
      </w:r>
      <w:r>
        <w:rPr>
          <w:rFonts w:hint="eastAsia"/>
          <w:sz w:val="28"/>
          <w:szCs w:val="24"/>
        </w:rPr>
        <w:t>2</w:t>
      </w:r>
      <w:r>
        <w:rPr>
          <w:sz w:val="28"/>
          <w:szCs w:val="24"/>
        </w:rPr>
        <w:t>炉</w:t>
      </w:r>
      <w:r>
        <w:rPr>
          <w:rFonts w:hint="eastAsia"/>
          <w:sz w:val="28"/>
          <w:szCs w:val="24"/>
        </w:rPr>
        <w:t>1机，即</w:t>
      </w:r>
      <w:r>
        <w:rPr>
          <w:sz w:val="28"/>
          <w:szCs w:val="24"/>
        </w:rPr>
        <w:t>2台82t/h次中温次高压炉排炉锅炉，1套35MW中温次高压凝汽式汽轮发电机组</w:t>
      </w:r>
      <w:r>
        <w:rPr>
          <w:rFonts w:hint="eastAsia"/>
          <w:sz w:val="28"/>
          <w:szCs w:val="24"/>
        </w:rPr>
        <w:t>，锅炉总容量</w:t>
      </w:r>
      <w:r>
        <w:rPr>
          <w:sz w:val="28"/>
          <w:szCs w:val="24"/>
        </w:rPr>
        <w:t>164t/h，装机总容量35MW</w:t>
      </w:r>
      <w:r>
        <w:rPr>
          <w:rFonts w:hint="eastAsia"/>
          <w:sz w:val="28"/>
          <w:szCs w:val="24"/>
        </w:rPr>
        <w:t>。目前海宁绿动海云环保能源有限</w:t>
      </w:r>
      <w:r>
        <w:rPr>
          <w:sz w:val="28"/>
          <w:szCs w:val="24"/>
        </w:rPr>
        <w:t>公司</w:t>
      </w:r>
      <w:r>
        <w:rPr>
          <w:rFonts w:cs="宋体"/>
          <w:color w:val="000000" w:themeColor="text1"/>
          <w:sz w:val="28"/>
          <w14:textFill>
            <w14:solidFill>
              <w14:schemeClr w14:val="tx1"/>
            </w14:solidFill>
          </w14:textFill>
        </w:rPr>
        <w:t>只发电不</w:t>
      </w:r>
      <w:r>
        <w:rPr>
          <w:rFonts w:hint="eastAsia" w:cs="宋体"/>
          <w:color w:val="000000" w:themeColor="text1"/>
          <w:sz w:val="28"/>
          <w14:textFill>
            <w14:solidFill>
              <w14:schemeClr w14:val="tx1"/>
            </w14:solidFill>
          </w14:textFill>
        </w:rPr>
        <w:t>对外</w:t>
      </w:r>
      <w:r>
        <w:rPr>
          <w:rFonts w:cs="宋体"/>
          <w:color w:val="000000" w:themeColor="text1"/>
          <w:sz w:val="28"/>
          <w14:textFill>
            <w14:solidFill>
              <w14:schemeClr w14:val="tx1"/>
            </w14:solidFill>
          </w14:textFill>
        </w:rPr>
        <w:t>供热</w:t>
      </w:r>
      <w:r>
        <w:rPr>
          <w:rFonts w:hint="eastAsia"/>
          <w:sz w:val="28"/>
          <w:szCs w:val="24"/>
        </w:rPr>
        <w:t>。</w:t>
      </w:r>
    </w:p>
    <w:p>
      <w:pPr>
        <w:pStyle w:val="61"/>
        <w:ind w:firstLine="560"/>
        <w:rPr>
          <w:color w:val="000000" w:themeColor="text1"/>
          <w:sz w:val="28"/>
          <w:szCs w:val="28"/>
          <w14:textFill>
            <w14:solidFill>
              <w14:schemeClr w14:val="tx1"/>
            </w14:solidFill>
          </w14:textFill>
        </w:rPr>
      </w:pPr>
      <w:r>
        <w:rPr>
          <w:rFonts w:hint="eastAsia" w:cs="宋体"/>
          <w:sz w:val="28"/>
        </w:rPr>
        <w:t>由于黄湾镇产业发展迅速，尖山新区及周边区块热负荷需求大幅增长，供热片区内的海宁恒逸热电有限公司承担供热保障存在较大压力。因此，</w:t>
      </w:r>
      <w:r>
        <w:rPr>
          <w:rFonts w:hint="eastAsia"/>
          <w:sz w:val="28"/>
          <w:szCs w:val="24"/>
        </w:rPr>
        <w:t>海宁绿动海云环保能源有限</w:t>
      </w:r>
      <w:r>
        <w:rPr>
          <w:sz w:val="28"/>
          <w:szCs w:val="24"/>
        </w:rPr>
        <w:t>公司</w:t>
      </w:r>
      <w:r>
        <w:rPr>
          <w:rFonts w:hint="eastAsia"/>
          <w:sz w:val="28"/>
          <w:szCs w:val="24"/>
        </w:rPr>
        <w:t>计划规划期内进行供热改造，作为公共热电厂对</w:t>
      </w:r>
      <w:r>
        <w:rPr>
          <w:rFonts w:hint="eastAsia" w:cs="宋体"/>
          <w:sz w:val="28"/>
        </w:rPr>
        <w:t>尖山新区及周边区块进行蒸汽供应补充，改造后</w:t>
      </w:r>
      <w:r>
        <w:rPr>
          <w:rFonts w:hint="eastAsia"/>
          <w:sz w:val="28"/>
          <w:szCs w:val="24"/>
        </w:rPr>
        <w:t>供热能力</w:t>
      </w:r>
      <w:r>
        <w:rPr>
          <w:sz w:val="28"/>
          <w:szCs w:val="24"/>
        </w:rPr>
        <w:t>80t/h</w:t>
      </w:r>
      <w:r>
        <w:rPr>
          <w:rFonts w:hint="eastAsia"/>
          <w:color w:val="000000" w:themeColor="text1"/>
          <w:sz w:val="28"/>
          <w:szCs w:val="28"/>
          <w14:textFill>
            <w14:solidFill>
              <w14:schemeClr w14:val="tx1"/>
            </w14:solidFill>
          </w14:textFill>
        </w:rPr>
        <w:t>，主要提供低压、高压蒸汽，其中</w:t>
      </w:r>
      <w:r>
        <w:rPr>
          <w:color w:val="000000" w:themeColor="text1"/>
          <w:sz w:val="28"/>
          <w:szCs w:val="28"/>
          <w14:textFill>
            <w14:solidFill>
              <w14:schemeClr w14:val="tx1"/>
            </w14:solidFill>
          </w14:textFill>
        </w:rPr>
        <w:t>高压蒸汽</w:t>
      </w:r>
      <w:r>
        <w:rPr>
          <w:rFonts w:hint="eastAsia"/>
          <w:color w:val="000000" w:themeColor="text1"/>
          <w:sz w:val="28"/>
          <w:szCs w:val="28"/>
          <w14:textFill>
            <w14:solidFill>
              <w14:schemeClr w14:val="tx1"/>
            </w14:solidFill>
          </w14:textFill>
        </w:rPr>
        <w:t>通过锅炉主蒸汽直供，高压蒸汽供热能力</w:t>
      </w:r>
      <w:r>
        <w:rPr>
          <w:color w:val="000000" w:themeColor="text1"/>
          <w:sz w:val="28"/>
          <w:szCs w:val="28"/>
          <w14:textFill>
            <w14:solidFill>
              <w14:schemeClr w14:val="tx1"/>
            </w14:solidFill>
          </w14:textFill>
        </w:rPr>
        <w:t>60t/h，供热温度为445℃，供热压力6.4M</w:t>
      </w:r>
      <w:r>
        <w:rPr>
          <w:rFonts w:hint="eastAsia"/>
          <w:color w:val="000000" w:themeColor="text1"/>
          <w:sz w:val="28"/>
          <w:szCs w:val="28"/>
          <w14:textFill>
            <w14:solidFill>
              <w14:schemeClr w14:val="tx1"/>
            </w14:solidFill>
          </w14:textFill>
        </w:rPr>
        <w:t>P</w:t>
      </w:r>
      <w:r>
        <w:rPr>
          <w:color w:val="000000" w:themeColor="text1"/>
          <w:sz w:val="28"/>
          <w:szCs w:val="28"/>
          <w14:textFill>
            <w14:solidFill>
              <w14:schemeClr w14:val="tx1"/>
            </w14:solidFill>
          </w14:textFill>
        </w:rPr>
        <w:t>a</w:t>
      </w:r>
      <w:r>
        <w:rPr>
          <w:rFonts w:hint="eastAsia"/>
          <w:color w:val="000000" w:themeColor="text1"/>
          <w:sz w:val="28"/>
          <w:szCs w:val="28"/>
          <w14:textFill>
            <w14:solidFill>
              <w14:schemeClr w14:val="tx1"/>
            </w14:solidFill>
          </w14:textFill>
        </w:rPr>
        <w:t>；低</w:t>
      </w:r>
      <w:r>
        <w:rPr>
          <w:color w:val="000000" w:themeColor="text1"/>
          <w:sz w:val="28"/>
          <w:szCs w:val="28"/>
          <w14:textFill>
            <w14:solidFill>
              <w14:schemeClr w14:val="tx1"/>
            </w14:solidFill>
          </w14:textFill>
        </w:rPr>
        <w:t>压蒸汽</w:t>
      </w:r>
      <w:r>
        <w:rPr>
          <w:rFonts w:hint="eastAsia"/>
          <w:color w:val="000000" w:themeColor="text1"/>
          <w:sz w:val="28"/>
          <w:szCs w:val="28"/>
          <w14:textFill>
            <w14:solidFill>
              <w14:schemeClr w14:val="tx1"/>
            </w14:solidFill>
          </w14:textFill>
        </w:rPr>
        <w:t>主要为</w:t>
      </w:r>
      <w:r>
        <w:rPr>
          <w:color w:val="000000" w:themeColor="text1"/>
          <w:sz w:val="28"/>
          <w:szCs w:val="28"/>
          <w14:textFill>
            <w14:solidFill>
              <w14:schemeClr w14:val="tx1"/>
            </w14:solidFill>
          </w14:textFill>
        </w:rPr>
        <w:t>高压蒸汽</w:t>
      </w:r>
      <w:r>
        <w:rPr>
          <w:rFonts w:hint="eastAsia"/>
          <w:color w:val="000000" w:themeColor="text1"/>
          <w:sz w:val="28"/>
          <w:szCs w:val="28"/>
          <w14:textFill>
            <w14:solidFill>
              <w14:schemeClr w14:val="tx1"/>
            </w14:solidFill>
          </w14:textFill>
        </w:rPr>
        <w:t>外供（英德赛）后余热回收，低压蒸汽供热能力</w:t>
      </w:r>
      <w:r>
        <w:rPr>
          <w:color w:val="000000" w:themeColor="text1"/>
          <w:sz w:val="28"/>
          <w:szCs w:val="28"/>
          <w14:textFill>
            <w14:solidFill>
              <w14:schemeClr w14:val="tx1"/>
            </w14:solidFill>
          </w14:textFill>
        </w:rPr>
        <w:t>20t/h，</w:t>
      </w:r>
      <w:r>
        <w:rPr>
          <w:rFonts w:hint="eastAsia"/>
          <w:color w:val="000000" w:themeColor="text1"/>
          <w:sz w:val="28"/>
          <w:szCs w:val="28"/>
          <w14:textFill>
            <w14:solidFill>
              <w14:schemeClr w14:val="tx1"/>
            </w14:solidFill>
          </w14:textFill>
        </w:rPr>
        <w:t>蒸汽供热温度为</w:t>
      </w:r>
      <w:r>
        <w:rPr>
          <w:color w:val="000000" w:themeColor="text1"/>
          <w:sz w:val="28"/>
          <w:szCs w:val="28"/>
          <w14:textFill>
            <w14:solidFill>
              <w14:schemeClr w14:val="tx1"/>
            </w14:solidFill>
          </w14:textFill>
        </w:rPr>
        <w:t>260℃，供热压力1MPa。</w:t>
      </w:r>
    </w:p>
    <w:p>
      <w:pPr>
        <w:pStyle w:val="61"/>
        <w:ind w:firstLine="560"/>
        <w:rPr>
          <w:rFonts w:ascii="仿宋_GB2312"/>
          <w:sz w:val="28"/>
          <w:szCs w:val="28"/>
        </w:rPr>
      </w:pPr>
    </w:p>
    <w:p>
      <w:pPr>
        <w:pStyle w:val="4"/>
      </w:pPr>
      <w:bookmarkStart w:id="364" w:name="_Toc183631810"/>
      <w:bookmarkStart w:id="365" w:name="_Toc181983793"/>
      <w:bookmarkStart w:id="366" w:name="_Toc188636935"/>
      <w:r>
        <w:t>5.2.1.6</w:t>
      </w:r>
      <w:r>
        <w:rPr>
          <w:rFonts w:hint="eastAsia"/>
        </w:rPr>
        <w:t>其他</w:t>
      </w:r>
      <w:bookmarkEnd w:id="361"/>
      <w:bookmarkEnd w:id="362"/>
      <w:bookmarkEnd w:id="363"/>
      <w:bookmarkEnd w:id="364"/>
      <w:bookmarkEnd w:id="365"/>
      <w:bookmarkEnd w:id="366"/>
    </w:p>
    <w:p>
      <w:pPr>
        <w:pStyle w:val="61"/>
        <w:ind w:firstLine="560"/>
        <w:rPr>
          <w:color w:val="000000"/>
          <w:sz w:val="28"/>
          <w:szCs w:val="28"/>
        </w:rPr>
      </w:pPr>
      <w:r>
        <w:rPr>
          <w:rFonts w:hint="eastAsia"/>
          <w:color w:val="000000"/>
          <w:sz w:val="28"/>
          <w:szCs w:val="28"/>
        </w:rPr>
        <w:t>海宁市部分区域由于热负荷相对分散，考虑到企业实施集中供热的意愿和供热管网铺设的可行性等因素，鼓励采用新建分布式天然气能源站或者建设天然气自备锅炉进行供热，支持供热条件允许且供热能力过剩的热源点对这些区域开展集中供热。同时，为进一步提供海宁市集中供热的稳定性、可靠性，保障热用户需求，鼓励热源点之间供热管网互联互通。</w:t>
      </w:r>
    </w:p>
    <w:p>
      <w:pPr>
        <w:pStyle w:val="4"/>
      </w:pPr>
      <w:bookmarkStart w:id="367" w:name="_Toc183631811"/>
      <w:bookmarkStart w:id="368" w:name="_Toc171197884"/>
      <w:bookmarkStart w:id="369" w:name="_Toc181983794"/>
      <w:bookmarkStart w:id="370" w:name="_Toc144301259"/>
      <w:bookmarkStart w:id="371" w:name="_Toc188636936"/>
      <w:bookmarkStart w:id="372" w:name="_Toc144301040"/>
      <w:r>
        <w:t>5.2.1.7</w:t>
      </w:r>
      <w:r>
        <w:rPr>
          <w:rFonts w:hint="eastAsia"/>
        </w:rPr>
        <w:t>热源点规划建设规模汇总</w:t>
      </w:r>
      <w:bookmarkEnd w:id="367"/>
      <w:bookmarkEnd w:id="368"/>
      <w:bookmarkEnd w:id="369"/>
      <w:bookmarkEnd w:id="370"/>
      <w:bookmarkEnd w:id="371"/>
      <w:bookmarkEnd w:id="372"/>
    </w:p>
    <w:p>
      <w:pPr>
        <w:pStyle w:val="61"/>
        <w:ind w:firstLine="560"/>
        <w:rPr>
          <w:color w:val="000000"/>
          <w:sz w:val="28"/>
          <w:szCs w:val="28"/>
        </w:rPr>
      </w:pPr>
      <w:r>
        <w:rPr>
          <w:color w:val="000000" w:themeColor="text1"/>
          <w:sz w:val="28"/>
          <w14:textFill>
            <w14:solidFill>
              <w14:schemeClr w14:val="tx1"/>
            </w14:solidFill>
          </w14:textFill>
        </w:rPr>
        <w:t>根据此次规划编制内容，</w:t>
      </w:r>
      <w:r>
        <w:rPr>
          <w:rFonts w:hint="eastAsia"/>
          <w:color w:val="000000" w:themeColor="text1"/>
          <w:sz w:val="28"/>
          <w14:textFill>
            <w14:solidFill>
              <w14:schemeClr w14:val="tx1"/>
            </w14:solidFill>
          </w14:textFill>
        </w:rPr>
        <w:t>规划扩建热源点1个，即海宁恒逸热电有限公司；规划迁建热源点</w:t>
      </w:r>
      <w:r>
        <w:rPr>
          <w:color w:val="000000" w:themeColor="text1"/>
          <w:sz w:val="28"/>
          <w14:textFill>
            <w14:solidFill>
              <w14:schemeClr w14:val="tx1"/>
            </w14:solidFill>
          </w14:textFill>
        </w:rPr>
        <w:t>1个，即海宁红宝热电有限公司</w:t>
      </w:r>
      <w:r>
        <w:rPr>
          <w:rFonts w:hint="eastAsia"/>
          <w:color w:val="000000" w:themeColor="text1"/>
          <w:sz w:val="28"/>
          <w14:textFill>
            <w14:solidFill>
              <w14:schemeClr w14:val="tx1"/>
            </w14:solidFill>
          </w14:textFill>
        </w:rPr>
        <w:t>；</w:t>
      </w:r>
      <w:r>
        <w:rPr>
          <w:color w:val="000000" w:themeColor="text1"/>
          <w:sz w:val="28"/>
          <w14:textFill>
            <w14:solidFill>
              <w14:schemeClr w14:val="tx1"/>
            </w14:solidFill>
          </w14:textFill>
        </w:rPr>
        <w:t>规划新增热源点2个，即</w:t>
      </w:r>
      <w:r>
        <w:rPr>
          <w:rFonts w:hint="eastAsia"/>
          <w:color w:val="000000" w:themeColor="text1"/>
          <w:sz w:val="28"/>
          <w14:textFill>
            <w14:solidFill>
              <w14:schemeClr w14:val="tx1"/>
            </w14:solidFill>
          </w14:textFill>
        </w:rPr>
        <w:t>新建尖山新区第二公共热源点，以及</w:t>
      </w:r>
      <w:r>
        <w:rPr>
          <w:color w:val="000000" w:themeColor="text1"/>
          <w:sz w:val="28"/>
          <w14:textFill>
            <w14:solidFill>
              <w14:schemeClr w14:val="tx1"/>
            </w14:solidFill>
          </w14:textFill>
        </w:rPr>
        <w:t>将海宁绿动海云环保能源有限公司转为公共热电厂</w:t>
      </w:r>
      <w:r>
        <w:rPr>
          <w:rFonts w:hint="eastAsia"/>
          <w:color w:val="000000" w:themeColor="text1"/>
          <w:sz w:val="28"/>
          <w14:textFill>
            <w14:solidFill>
              <w14:schemeClr w14:val="tx1"/>
            </w14:solidFill>
          </w14:textFill>
        </w:rPr>
        <w:t>；</w:t>
      </w:r>
      <w:r>
        <w:rPr>
          <w:rFonts w:hint="eastAsia"/>
          <w:sz w:val="28"/>
        </w:rPr>
        <w:t>规划关停热源点1个，即浙江泰亿能源有限公司</w:t>
      </w:r>
      <w:r>
        <w:rPr>
          <w:sz w:val="28"/>
          <w:szCs w:val="24"/>
        </w:rPr>
        <w:t>。</w:t>
      </w:r>
      <w:r>
        <w:rPr>
          <w:rFonts w:hint="eastAsia"/>
          <w:sz w:val="28"/>
          <w:szCs w:val="24"/>
        </w:rPr>
        <w:t>规划</w:t>
      </w:r>
      <w:r>
        <w:rPr>
          <w:sz w:val="28"/>
          <w:szCs w:val="24"/>
        </w:rPr>
        <w:t>到2030年，</w:t>
      </w:r>
      <w:r>
        <w:rPr>
          <w:rFonts w:hint="eastAsia"/>
          <w:sz w:val="28"/>
          <w:szCs w:val="24"/>
        </w:rPr>
        <w:t>海宁市</w:t>
      </w:r>
      <w:r>
        <w:rPr>
          <w:sz w:val="28"/>
          <w:szCs w:val="24"/>
        </w:rPr>
        <w:t>共有7</w:t>
      </w:r>
      <w:r>
        <w:rPr>
          <w:rFonts w:hint="eastAsia"/>
          <w:sz w:val="28"/>
          <w:szCs w:val="24"/>
        </w:rPr>
        <w:t>个</w:t>
      </w:r>
      <w:r>
        <w:rPr>
          <w:sz w:val="28"/>
          <w:szCs w:val="24"/>
        </w:rPr>
        <w:t>公共热源点。</w:t>
      </w:r>
      <w:r>
        <w:rPr>
          <w:rFonts w:hint="eastAsia"/>
          <w:sz w:val="28"/>
          <w:szCs w:val="24"/>
        </w:rPr>
        <w:t>锅炉总容量</w:t>
      </w:r>
      <w:r>
        <w:rPr>
          <w:sz w:val="28"/>
          <w:szCs w:val="24"/>
        </w:rPr>
        <w:t>3229t/h</w:t>
      </w:r>
      <w:r>
        <w:rPr>
          <w:rFonts w:hint="eastAsia"/>
          <w:color w:val="000000" w:themeColor="text1"/>
          <w:sz w:val="28"/>
          <w14:textFill>
            <w14:solidFill>
              <w14:schemeClr w14:val="tx1"/>
            </w14:solidFill>
          </w14:textFill>
        </w:rPr>
        <w:t>，新增</w:t>
      </w:r>
      <w:r>
        <w:rPr>
          <w:rFonts w:hint="eastAsia"/>
          <w:sz w:val="28"/>
          <w:szCs w:val="24"/>
        </w:rPr>
        <w:t>锅炉容量</w:t>
      </w:r>
      <w:r>
        <w:rPr>
          <w:color w:val="000000" w:themeColor="text1"/>
          <w:sz w:val="28"/>
          <w14:textFill>
            <w14:solidFill>
              <w14:schemeClr w14:val="tx1"/>
            </w14:solidFill>
          </w14:textFill>
        </w:rPr>
        <w:t>985t/h</w:t>
      </w:r>
      <w:r>
        <w:rPr>
          <w:rFonts w:hint="eastAsia"/>
          <w:color w:val="000000" w:themeColor="text1"/>
          <w:sz w:val="28"/>
          <w14:textFill>
            <w14:solidFill>
              <w14:schemeClr w14:val="tx1"/>
            </w14:solidFill>
          </w14:textFill>
        </w:rPr>
        <w:t>，装机总容量</w:t>
      </w:r>
      <w:r>
        <w:rPr>
          <w:color w:val="000000" w:themeColor="text1"/>
          <w:sz w:val="28"/>
          <w14:textFill>
            <w14:solidFill>
              <w14:schemeClr w14:val="tx1"/>
            </w14:solidFill>
          </w14:textFill>
        </w:rPr>
        <w:t>250.5MW</w:t>
      </w:r>
      <w:r>
        <w:rPr>
          <w:rFonts w:hint="eastAsia"/>
          <w:color w:val="000000" w:themeColor="text1"/>
          <w:sz w:val="28"/>
          <w14:textFill>
            <w14:solidFill>
              <w14:schemeClr w14:val="tx1"/>
            </w14:solidFill>
          </w14:textFill>
        </w:rPr>
        <w:t>，新增装机容量</w:t>
      </w:r>
      <w:r>
        <w:rPr>
          <w:color w:val="000000" w:themeColor="text1"/>
          <w:sz w:val="28"/>
          <w14:textFill>
            <w14:solidFill>
              <w14:schemeClr w14:val="tx1"/>
            </w14:solidFill>
          </w14:textFill>
        </w:rPr>
        <w:t>49MW</w:t>
      </w:r>
      <w:r>
        <w:rPr>
          <w:rFonts w:hint="eastAsia"/>
          <w:color w:val="000000" w:themeColor="text1"/>
          <w:sz w:val="28"/>
          <w14:textFill>
            <w14:solidFill>
              <w14:schemeClr w14:val="tx1"/>
            </w14:solidFill>
          </w14:textFill>
        </w:rPr>
        <w:t>，日常供热能力</w:t>
      </w:r>
      <w:r>
        <w:rPr>
          <w:color w:val="000000" w:themeColor="text1"/>
          <w:sz w:val="28"/>
          <w14:textFill>
            <w14:solidFill>
              <w14:schemeClr w14:val="tx1"/>
            </w14:solidFill>
          </w14:textFill>
        </w:rPr>
        <w:t>2154.6t/h</w:t>
      </w:r>
      <w:r>
        <w:rPr>
          <w:rFonts w:hint="eastAsia"/>
          <w:color w:val="000000" w:themeColor="text1"/>
          <w:sz w:val="28"/>
          <w14:textFill>
            <w14:solidFill>
              <w14:schemeClr w14:val="tx1"/>
            </w14:solidFill>
          </w14:textFill>
        </w:rPr>
        <w:t>，最大供热能力</w:t>
      </w:r>
      <w:r>
        <w:rPr>
          <w:color w:val="000000" w:themeColor="text1"/>
          <w:sz w:val="28"/>
          <w14:textFill>
            <w14:solidFill>
              <w14:schemeClr w14:val="tx1"/>
            </w14:solidFill>
          </w14:textFill>
        </w:rPr>
        <w:t>2857.1t/h</w:t>
      </w:r>
      <w:r>
        <w:rPr>
          <w:rFonts w:hint="eastAsia"/>
          <w:color w:val="000000" w:themeColor="text1"/>
          <w:sz w:val="28"/>
          <w14:textFill>
            <w14:solidFill>
              <w14:schemeClr w14:val="tx1"/>
            </w14:solidFill>
          </w14:textFill>
        </w:rPr>
        <w:t>，新增最大供热能力</w:t>
      </w:r>
      <w:r>
        <w:rPr>
          <w:color w:val="000000" w:themeColor="text1"/>
          <w:sz w:val="28"/>
          <w14:textFill>
            <w14:solidFill>
              <w14:schemeClr w14:val="tx1"/>
            </w14:solidFill>
          </w14:textFill>
        </w:rPr>
        <w:t>1255.1t/h</w:t>
      </w:r>
      <w:r>
        <w:rPr>
          <w:rFonts w:hint="eastAsia"/>
          <w:color w:val="000000" w:themeColor="text1"/>
          <w:sz w:val="28"/>
          <w14:textFill>
            <w14:solidFill>
              <w14:schemeClr w14:val="tx1"/>
            </w14:solidFill>
          </w14:textFill>
        </w:rPr>
        <w:t>。日常供热能力满足各热源点所属供热分区规划期内规划的平均热负荷需求，最大供热能力满足供热分区规划期内规划的最大热负荷需求</w:t>
      </w:r>
      <w:r>
        <w:rPr>
          <w:color w:val="000000" w:themeColor="text1"/>
          <w:sz w:val="28"/>
          <w14:textFill>
            <w14:solidFill>
              <w14:schemeClr w14:val="tx1"/>
            </w14:solidFill>
          </w14:textFill>
        </w:rPr>
        <w:t>。</w:t>
      </w:r>
      <w:r>
        <w:rPr>
          <w:rFonts w:hint="eastAsia"/>
          <w:color w:val="000000" w:themeColor="text1"/>
          <w:sz w:val="28"/>
          <w14:textFill>
            <w14:solidFill>
              <w14:schemeClr w14:val="tx1"/>
            </w14:solidFill>
          </w14:textFill>
        </w:rPr>
        <w:t>海宁市</w:t>
      </w:r>
      <w:r>
        <w:rPr>
          <w:color w:val="000000" w:themeColor="text1"/>
          <w:sz w:val="28"/>
          <w14:textFill>
            <w14:solidFill>
              <w14:schemeClr w14:val="tx1"/>
            </w14:solidFill>
          </w14:textFill>
        </w:rPr>
        <w:t>热源点</w:t>
      </w:r>
      <w:r>
        <w:rPr>
          <w:rFonts w:hint="eastAsia"/>
          <w:color w:val="000000" w:themeColor="text1"/>
          <w:sz w:val="28"/>
          <w14:textFill>
            <w14:solidFill>
              <w14:schemeClr w14:val="tx1"/>
            </w14:solidFill>
          </w14:textFill>
        </w:rPr>
        <w:t>规划期内</w:t>
      </w:r>
      <w:r>
        <w:rPr>
          <w:color w:val="000000" w:themeColor="text1"/>
          <w:sz w:val="28"/>
          <w14:textFill>
            <w14:solidFill>
              <w14:schemeClr w14:val="tx1"/>
            </w14:solidFill>
          </w14:textFill>
        </w:rPr>
        <w:t>规划建设规模情况见表</w:t>
      </w:r>
      <w:r>
        <w:rPr>
          <w:rFonts w:hint="eastAsia"/>
          <w:color w:val="000000" w:themeColor="text1"/>
          <w:sz w:val="28"/>
          <w14:textFill>
            <w14:solidFill>
              <w14:schemeClr w14:val="tx1"/>
            </w14:solidFill>
          </w14:textFill>
        </w:rPr>
        <w:t>5</w:t>
      </w:r>
      <w:r>
        <w:rPr>
          <w:color w:val="000000" w:themeColor="text1"/>
          <w:sz w:val="28"/>
          <w14:textFill>
            <w14:solidFill>
              <w14:schemeClr w14:val="tx1"/>
            </w14:solidFill>
          </w14:textFill>
        </w:rPr>
        <w:t>.2-1</w:t>
      </w:r>
      <w:r>
        <w:rPr>
          <w:rFonts w:hint="eastAsia"/>
          <w:color w:val="000000"/>
          <w:sz w:val="28"/>
          <w:szCs w:val="28"/>
        </w:rPr>
        <w:t>。</w:t>
      </w:r>
    </w:p>
    <w:p>
      <w:pPr>
        <w:spacing w:line="580" w:lineRule="exact"/>
        <w:rPr>
          <w:rFonts w:ascii="Times New Roman" w:hAnsi="Times New Roman" w:eastAsia="仿宋_GB2312" w:cs="Times New Roman"/>
          <w:sz w:val="28"/>
        </w:rPr>
        <w:sectPr>
          <w:footerReference r:id="rId7" w:type="default"/>
          <w:pgSz w:w="11906" w:h="16838"/>
          <w:pgMar w:top="1474" w:right="1588" w:bottom="1701" w:left="1588" w:header="851" w:footer="992" w:gutter="0"/>
          <w:cols w:space="425" w:num="1"/>
          <w:docGrid w:type="lines" w:linePitch="312" w:charSpace="0"/>
        </w:sectPr>
      </w:pPr>
    </w:p>
    <w:p>
      <w:pPr>
        <w:spacing w:before="156" w:beforeLines="50" w:line="360" w:lineRule="auto"/>
        <w:jc w:val="center"/>
        <w:rPr>
          <w:rFonts w:ascii="黑体" w:hAnsi="黑体" w:eastAsia="黑体" w:cs="Times New Roman"/>
          <w:sz w:val="28"/>
          <w:szCs w:val="28"/>
        </w:rPr>
      </w:pPr>
      <w:r>
        <w:rPr>
          <w:rFonts w:ascii="黑体" w:hAnsi="黑体" w:eastAsia="黑体" w:cs="Times New Roman"/>
          <w:sz w:val="28"/>
          <w:szCs w:val="28"/>
        </w:rPr>
        <w:t xml:space="preserve">表5.2-3 </w:t>
      </w:r>
      <w:r>
        <w:rPr>
          <w:rFonts w:hint="eastAsia" w:ascii="黑体" w:hAnsi="黑体" w:eastAsia="黑体" w:cs="Times New Roman"/>
          <w:sz w:val="28"/>
          <w:szCs w:val="28"/>
        </w:rPr>
        <w:t>海宁市</w:t>
      </w:r>
      <w:r>
        <w:rPr>
          <w:rFonts w:ascii="黑体" w:hAnsi="黑体" w:eastAsia="黑体" w:cs="Times New Roman"/>
          <w:sz w:val="28"/>
          <w:szCs w:val="28"/>
        </w:rPr>
        <w:t>热源点规划</w:t>
      </w:r>
      <w:r>
        <w:rPr>
          <w:rFonts w:hint="eastAsia" w:ascii="黑体" w:hAnsi="黑体" w:eastAsia="黑体" w:cs="Times New Roman"/>
          <w:sz w:val="28"/>
          <w:szCs w:val="28"/>
        </w:rPr>
        <w:t>期内</w:t>
      </w:r>
      <w:r>
        <w:rPr>
          <w:rFonts w:ascii="黑体" w:hAnsi="黑体" w:eastAsia="黑体" w:cs="Times New Roman"/>
          <w:sz w:val="28"/>
          <w:szCs w:val="28"/>
        </w:rPr>
        <w:t>建设规模汇总表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1768"/>
        <w:gridCol w:w="1038"/>
        <w:gridCol w:w="1063"/>
        <w:gridCol w:w="958"/>
        <w:gridCol w:w="1103"/>
        <w:gridCol w:w="1103"/>
        <w:gridCol w:w="1103"/>
        <w:gridCol w:w="1179"/>
        <w:gridCol w:w="1100"/>
        <w:gridCol w:w="1106"/>
        <w:gridCol w:w="1106"/>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blHeader/>
          <w:jc w:val="center"/>
        </w:trPr>
        <w:tc>
          <w:tcPr>
            <w:tcW w:w="156" w:type="pct"/>
            <w:vMerge w:val="restart"/>
            <w:vAlign w:val="center"/>
          </w:tcPr>
          <w:p>
            <w:pPr>
              <w:jc w:val="center"/>
              <w:rPr>
                <w:rFonts w:ascii="Times New Roman" w:hAnsi="Times New Roman" w:eastAsia="仿宋_GB2312" w:cs="Times New Roman"/>
                <w:b/>
              </w:rPr>
            </w:pPr>
            <w:r>
              <w:rPr>
                <w:rFonts w:ascii="Times New Roman" w:hAnsi="Times New Roman" w:eastAsia="仿宋_GB2312" w:cs="Times New Roman"/>
                <w:b/>
              </w:rPr>
              <w:t>序号</w:t>
            </w:r>
          </w:p>
        </w:tc>
        <w:tc>
          <w:tcPr>
            <w:tcW w:w="624" w:type="pct"/>
            <w:vMerge w:val="restart"/>
            <w:vAlign w:val="center"/>
          </w:tcPr>
          <w:p>
            <w:pPr>
              <w:jc w:val="center"/>
              <w:rPr>
                <w:rFonts w:ascii="Times New Roman" w:hAnsi="Times New Roman" w:eastAsia="仿宋_GB2312" w:cs="Times New Roman"/>
                <w:b/>
              </w:rPr>
            </w:pPr>
            <w:r>
              <w:rPr>
                <w:rFonts w:ascii="Times New Roman" w:hAnsi="Times New Roman" w:eastAsia="仿宋_GB2312" w:cs="Times New Roman"/>
                <w:b/>
              </w:rPr>
              <w:t>热电厂名称</w:t>
            </w:r>
          </w:p>
        </w:tc>
        <w:tc>
          <w:tcPr>
            <w:tcW w:w="1468" w:type="pct"/>
            <w:gridSpan w:val="4"/>
            <w:vAlign w:val="center"/>
          </w:tcPr>
          <w:p>
            <w:pPr>
              <w:jc w:val="center"/>
              <w:rPr>
                <w:rFonts w:ascii="Times New Roman" w:hAnsi="Times New Roman" w:eastAsia="仿宋_GB2312" w:cs="Times New Roman"/>
                <w:b/>
              </w:rPr>
            </w:pPr>
            <w:r>
              <w:rPr>
                <w:rFonts w:ascii="Times New Roman" w:hAnsi="Times New Roman" w:eastAsia="仿宋_GB2312" w:cs="Times New Roman"/>
                <w:b/>
              </w:rPr>
              <w:t>2024年现状</w:t>
            </w:r>
          </w:p>
        </w:tc>
        <w:tc>
          <w:tcPr>
            <w:tcW w:w="2752" w:type="pct"/>
            <w:gridSpan w:val="7"/>
            <w:vAlign w:val="center"/>
          </w:tcPr>
          <w:p>
            <w:pPr>
              <w:jc w:val="center"/>
              <w:rPr>
                <w:rFonts w:ascii="Times New Roman" w:hAnsi="Times New Roman" w:eastAsia="仿宋_GB2312" w:cs="Times New Roman"/>
                <w:b/>
              </w:rPr>
            </w:pPr>
            <w:r>
              <w:rPr>
                <w:rFonts w:ascii="Times New Roman" w:hAnsi="Times New Roman" w:eastAsia="仿宋_GB2312" w:cs="Times New Roman"/>
                <w:b/>
              </w:rPr>
              <w:t>2030年</w:t>
            </w:r>
            <w:r>
              <w:rPr>
                <w:rFonts w:hint="eastAsia" w:ascii="Times New Roman" w:hAnsi="Times New Roman" w:eastAsia="仿宋_GB2312" w:cs="Times New Roman"/>
                <w:b/>
              </w:rPr>
              <w:t>规划</w:t>
            </w:r>
            <w:r>
              <w:rPr>
                <w:rFonts w:ascii="Times New Roman" w:hAnsi="Times New Roman" w:eastAsia="仿宋_GB2312" w:cs="Times New Roman"/>
                <w:b/>
              </w:rPr>
              <w:t>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tblHeader/>
          <w:jc w:val="center"/>
        </w:trPr>
        <w:tc>
          <w:tcPr>
            <w:tcW w:w="156" w:type="pct"/>
            <w:vMerge w:val="continue"/>
            <w:vAlign w:val="center"/>
          </w:tcPr>
          <w:p>
            <w:pPr>
              <w:ind w:firstLine="570"/>
              <w:jc w:val="center"/>
              <w:rPr>
                <w:rFonts w:ascii="Times New Roman" w:hAnsi="Times New Roman" w:eastAsia="仿宋_GB2312" w:cs="Times New Roman"/>
                <w:b/>
              </w:rPr>
            </w:pPr>
          </w:p>
        </w:tc>
        <w:tc>
          <w:tcPr>
            <w:tcW w:w="624" w:type="pct"/>
            <w:vMerge w:val="continue"/>
            <w:vAlign w:val="center"/>
          </w:tcPr>
          <w:p>
            <w:pPr>
              <w:ind w:firstLine="570"/>
              <w:jc w:val="center"/>
              <w:rPr>
                <w:rFonts w:ascii="Times New Roman" w:hAnsi="Times New Roman" w:eastAsia="仿宋_GB2312" w:cs="Times New Roman"/>
                <w:b/>
              </w:rPr>
            </w:pPr>
          </w:p>
        </w:tc>
        <w:tc>
          <w:tcPr>
            <w:tcW w:w="366" w:type="pct"/>
            <w:vAlign w:val="center"/>
          </w:tcPr>
          <w:p>
            <w:pPr>
              <w:jc w:val="center"/>
              <w:rPr>
                <w:rFonts w:ascii="Times New Roman" w:hAnsi="Times New Roman" w:eastAsia="仿宋_GB2312" w:cs="Times New Roman"/>
                <w:b/>
              </w:rPr>
            </w:pPr>
            <w:r>
              <w:rPr>
                <w:rFonts w:ascii="Times New Roman" w:hAnsi="Times New Roman" w:eastAsia="仿宋_GB2312" w:cs="Times New Roman"/>
                <w:b/>
              </w:rPr>
              <w:t>锅炉</w:t>
            </w:r>
          </w:p>
          <w:p>
            <w:pPr>
              <w:jc w:val="center"/>
              <w:rPr>
                <w:rFonts w:ascii="Times New Roman" w:hAnsi="Times New Roman" w:eastAsia="仿宋_GB2312" w:cs="Times New Roman"/>
                <w:b/>
              </w:rPr>
            </w:pPr>
            <w:r>
              <w:rPr>
                <w:rFonts w:hint="eastAsia" w:ascii="Times New Roman" w:hAnsi="Times New Roman" w:eastAsia="仿宋_GB2312" w:cs="Times New Roman"/>
                <w:b/>
              </w:rPr>
              <w:t>容量</w:t>
            </w:r>
            <w:r>
              <w:rPr>
                <w:rFonts w:ascii="Times New Roman" w:hAnsi="Times New Roman" w:eastAsia="仿宋_GB2312" w:cs="Times New Roman"/>
                <w:b/>
              </w:rPr>
              <w:t>（t/h）</w:t>
            </w:r>
          </w:p>
        </w:tc>
        <w:tc>
          <w:tcPr>
            <w:tcW w:w="375" w:type="pct"/>
            <w:vAlign w:val="center"/>
          </w:tcPr>
          <w:p>
            <w:pPr>
              <w:jc w:val="center"/>
              <w:rPr>
                <w:rFonts w:ascii="Times New Roman" w:hAnsi="Times New Roman" w:eastAsia="仿宋_GB2312" w:cs="Times New Roman"/>
                <w:b/>
              </w:rPr>
            </w:pPr>
            <w:r>
              <w:rPr>
                <w:rFonts w:ascii="Times New Roman" w:hAnsi="Times New Roman" w:eastAsia="仿宋_GB2312" w:cs="Times New Roman"/>
                <w:b/>
              </w:rPr>
              <w:t>装机</w:t>
            </w:r>
          </w:p>
          <w:p>
            <w:pPr>
              <w:jc w:val="center"/>
              <w:rPr>
                <w:rFonts w:ascii="Times New Roman" w:hAnsi="Times New Roman" w:eastAsia="仿宋_GB2312" w:cs="Times New Roman"/>
                <w:b/>
              </w:rPr>
            </w:pPr>
            <w:r>
              <w:rPr>
                <w:rFonts w:ascii="Times New Roman" w:hAnsi="Times New Roman" w:eastAsia="仿宋_GB2312" w:cs="Times New Roman"/>
                <w:b/>
              </w:rPr>
              <w:t>容量（MW）</w:t>
            </w:r>
          </w:p>
        </w:tc>
        <w:tc>
          <w:tcPr>
            <w:tcW w:w="338" w:type="pct"/>
            <w:vAlign w:val="center"/>
          </w:tcPr>
          <w:p>
            <w:pPr>
              <w:jc w:val="center"/>
              <w:rPr>
                <w:rFonts w:ascii="Times New Roman" w:hAnsi="Times New Roman" w:eastAsia="仿宋_GB2312" w:cs="Times New Roman"/>
                <w:b/>
              </w:rPr>
            </w:pPr>
            <w:r>
              <w:rPr>
                <w:rFonts w:hint="eastAsia" w:ascii="Times New Roman" w:hAnsi="Times New Roman" w:eastAsia="仿宋_GB2312" w:cs="Times New Roman"/>
                <w:b/>
              </w:rPr>
              <w:t>日常</w:t>
            </w:r>
            <w:r>
              <w:rPr>
                <w:rFonts w:ascii="Times New Roman" w:hAnsi="Times New Roman" w:eastAsia="仿宋_GB2312" w:cs="Times New Roman"/>
                <w:b/>
              </w:rPr>
              <w:t>供热能力（t/h）</w:t>
            </w:r>
          </w:p>
        </w:tc>
        <w:tc>
          <w:tcPr>
            <w:tcW w:w="389" w:type="pct"/>
            <w:vAlign w:val="center"/>
          </w:tcPr>
          <w:p>
            <w:pPr>
              <w:jc w:val="center"/>
              <w:rPr>
                <w:rFonts w:ascii="Times New Roman" w:hAnsi="Times New Roman" w:eastAsia="仿宋_GB2312" w:cs="Times New Roman"/>
                <w:b/>
              </w:rPr>
            </w:pPr>
            <w:r>
              <w:rPr>
                <w:rFonts w:hint="eastAsia" w:ascii="Times New Roman" w:hAnsi="Times New Roman" w:eastAsia="仿宋_GB2312" w:cs="Times New Roman"/>
                <w:b/>
              </w:rPr>
              <w:t>最大</w:t>
            </w:r>
            <w:r>
              <w:rPr>
                <w:rFonts w:ascii="Times New Roman" w:hAnsi="Times New Roman" w:eastAsia="仿宋_GB2312" w:cs="Times New Roman"/>
                <w:b/>
              </w:rPr>
              <w:t>供</w:t>
            </w:r>
          </w:p>
          <w:p>
            <w:pPr>
              <w:jc w:val="center"/>
              <w:rPr>
                <w:rFonts w:ascii="Times New Roman" w:hAnsi="Times New Roman" w:eastAsia="仿宋_GB2312" w:cs="Times New Roman"/>
                <w:b/>
              </w:rPr>
            </w:pPr>
            <w:r>
              <w:rPr>
                <w:rFonts w:ascii="Times New Roman" w:hAnsi="Times New Roman" w:eastAsia="仿宋_GB2312" w:cs="Times New Roman"/>
                <w:b/>
              </w:rPr>
              <w:t>热能力（t/h）</w:t>
            </w:r>
          </w:p>
        </w:tc>
        <w:tc>
          <w:tcPr>
            <w:tcW w:w="389" w:type="pct"/>
            <w:vAlign w:val="center"/>
          </w:tcPr>
          <w:p>
            <w:pPr>
              <w:jc w:val="center"/>
              <w:rPr>
                <w:rFonts w:ascii="Times New Roman" w:hAnsi="Times New Roman" w:eastAsia="仿宋_GB2312" w:cs="Times New Roman"/>
                <w:b/>
              </w:rPr>
            </w:pPr>
            <w:r>
              <w:rPr>
                <w:rFonts w:ascii="Times New Roman" w:hAnsi="Times New Roman" w:eastAsia="仿宋_GB2312" w:cs="Times New Roman"/>
                <w:b/>
              </w:rPr>
              <w:t>锅炉</w:t>
            </w:r>
          </w:p>
          <w:p>
            <w:pPr>
              <w:jc w:val="center"/>
              <w:rPr>
                <w:rFonts w:ascii="Times New Roman" w:hAnsi="Times New Roman" w:eastAsia="仿宋_GB2312" w:cs="Times New Roman"/>
                <w:b/>
              </w:rPr>
            </w:pPr>
            <w:r>
              <w:rPr>
                <w:rFonts w:hint="eastAsia" w:ascii="Times New Roman" w:hAnsi="Times New Roman" w:eastAsia="仿宋_GB2312" w:cs="Times New Roman"/>
                <w:b/>
              </w:rPr>
              <w:t>容量</w:t>
            </w:r>
          </w:p>
          <w:p>
            <w:pPr>
              <w:jc w:val="center"/>
              <w:rPr>
                <w:rFonts w:ascii="Times New Roman" w:hAnsi="Times New Roman" w:eastAsia="仿宋_GB2312" w:cs="Times New Roman"/>
                <w:b/>
              </w:rPr>
            </w:pPr>
            <w:r>
              <w:rPr>
                <w:rFonts w:ascii="Times New Roman" w:hAnsi="Times New Roman" w:eastAsia="仿宋_GB2312" w:cs="Times New Roman"/>
                <w:b/>
              </w:rPr>
              <w:t>（t/h）</w:t>
            </w:r>
          </w:p>
        </w:tc>
        <w:tc>
          <w:tcPr>
            <w:tcW w:w="389" w:type="pct"/>
            <w:vAlign w:val="center"/>
          </w:tcPr>
          <w:p>
            <w:pPr>
              <w:pStyle w:val="45"/>
              <w:widowControl w:val="0"/>
              <w:pBdr>
                <w:left w:val="none" w:color="auto" w:sz="0" w:space="0"/>
                <w:bottom w:val="none" w:color="auto" w:sz="0" w:space="0"/>
                <w:right w:val="none" w:color="auto" w:sz="0" w:space="0"/>
              </w:pBdr>
              <w:spacing w:before="0" w:beforeAutospacing="0" w:after="0" w:afterAutospacing="0"/>
              <w:textAlignment w:val="auto"/>
              <w:rPr>
                <w:rFonts w:ascii="Times New Roman" w:hAnsi="Times New Roman" w:eastAsia="仿宋_GB2312"/>
                <w:b/>
                <w:kern w:val="2"/>
                <w:sz w:val="21"/>
                <w:szCs w:val="21"/>
              </w:rPr>
            </w:pPr>
            <w:r>
              <w:rPr>
                <w:rFonts w:ascii="Times New Roman" w:hAnsi="Times New Roman" w:eastAsia="仿宋_GB2312"/>
                <w:b/>
                <w:kern w:val="2"/>
                <w:sz w:val="21"/>
                <w:szCs w:val="21"/>
              </w:rPr>
              <w:t>新增</w:t>
            </w:r>
          </w:p>
          <w:p>
            <w:pPr>
              <w:pStyle w:val="45"/>
              <w:widowControl w:val="0"/>
              <w:pBdr>
                <w:left w:val="none" w:color="auto" w:sz="0" w:space="0"/>
                <w:bottom w:val="none" w:color="auto" w:sz="0" w:space="0"/>
                <w:right w:val="none" w:color="auto" w:sz="0" w:space="0"/>
              </w:pBdr>
              <w:spacing w:before="0" w:beforeAutospacing="0" w:after="0" w:afterAutospacing="0"/>
              <w:textAlignment w:val="auto"/>
              <w:rPr>
                <w:rFonts w:ascii="Times New Roman" w:hAnsi="Times New Roman" w:eastAsia="仿宋_GB2312"/>
                <w:b/>
                <w:kern w:val="2"/>
                <w:sz w:val="21"/>
                <w:szCs w:val="21"/>
              </w:rPr>
            </w:pPr>
            <w:r>
              <w:rPr>
                <w:rFonts w:ascii="Times New Roman" w:hAnsi="Times New Roman" w:eastAsia="仿宋_GB2312"/>
                <w:b/>
                <w:kern w:val="2"/>
                <w:sz w:val="21"/>
                <w:szCs w:val="21"/>
              </w:rPr>
              <w:t>容量（t/h）</w:t>
            </w:r>
          </w:p>
        </w:tc>
        <w:tc>
          <w:tcPr>
            <w:tcW w:w="416" w:type="pct"/>
            <w:vAlign w:val="center"/>
          </w:tcPr>
          <w:p>
            <w:pPr>
              <w:pStyle w:val="45"/>
              <w:widowControl w:val="0"/>
              <w:pBdr>
                <w:left w:val="none" w:color="auto" w:sz="0" w:space="0"/>
                <w:bottom w:val="none" w:color="auto" w:sz="0" w:space="0"/>
                <w:right w:val="none" w:color="auto" w:sz="0" w:space="0"/>
              </w:pBdr>
              <w:spacing w:before="0" w:beforeAutospacing="0" w:after="0" w:afterAutospacing="0"/>
              <w:textAlignment w:val="auto"/>
              <w:rPr>
                <w:rFonts w:ascii="Times New Roman" w:hAnsi="Times New Roman" w:eastAsia="仿宋_GB2312"/>
                <w:b/>
                <w:kern w:val="2"/>
                <w:sz w:val="21"/>
                <w:szCs w:val="21"/>
              </w:rPr>
            </w:pPr>
            <w:r>
              <w:rPr>
                <w:rFonts w:ascii="Times New Roman" w:hAnsi="Times New Roman" w:eastAsia="仿宋_GB2312"/>
                <w:b/>
                <w:kern w:val="2"/>
                <w:sz w:val="21"/>
                <w:szCs w:val="21"/>
              </w:rPr>
              <w:t>装机</w:t>
            </w:r>
          </w:p>
          <w:p>
            <w:pPr>
              <w:pStyle w:val="45"/>
              <w:widowControl w:val="0"/>
              <w:pBdr>
                <w:left w:val="none" w:color="auto" w:sz="0" w:space="0"/>
                <w:bottom w:val="none" w:color="auto" w:sz="0" w:space="0"/>
                <w:right w:val="none" w:color="auto" w:sz="0" w:space="0"/>
              </w:pBdr>
              <w:spacing w:before="0" w:beforeAutospacing="0" w:after="0" w:afterAutospacing="0"/>
              <w:textAlignment w:val="auto"/>
              <w:rPr>
                <w:rFonts w:ascii="Times New Roman" w:hAnsi="Times New Roman" w:eastAsia="仿宋_GB2312"/>
                <w:b/>
                <w:kern w:val="2"/>
                <w:sz w:val="21"/>
                <w:szCs w:val="21"/>
              </w:rPr>
            </w:pPr>
            <w:r>
              <w:rPr>
                <w:rFonts w:ascii="Times New Roman" w:hAnsi="Times New Roman" w:eastAsia="仿宋_GB2312"/>
                <w:b/>
                <w:kern w:val="2"/>
                <w:sz w:val="21"/>
                <w:szCs w:val="21"/>
              </w:rPr>
              <w:t>容量（MW）</w:t>
            </w:r>
          </w:p>
        </w:tc>
        <w:tc>
          <w:tcPr>
            <w:tcW w:w="388" w:type="pct"/>
            <w:vAlign w:val="center"/>
          </w:tcPr>
          <w:p>
            <w:pPr>
              <w:jc w:val="center"/>
              <w:rPr>
                <w:rFonts w:ascii="Times New Roman" w:hAnsi="Times New Roman" w:eastAsia="仿宋_GB2312" w:cs="Times New Roman"/>
                <w:b/>
              </w:rPr>
            </w:pPr>
            <w:r>
              <w:rPr>
                <w:rFonts w:ascii="Times New Roman" w:hAnsi="Times New Roman" w:eastAsia="仿宋_GB2312" w:cs="Times New Roman"/>
                <w:b/>
              </w:rPr>
              <w:t>新增</w:t>
            </w:r>
          </w:p>
          <w:p>
            <w:pPr>
              <w:jc w:val="center"/>
              <w:rPr>
                <w:rFonts w:ascii="Times New Roman" w:hAnsi="Times New Roman" w:eastAsia="仿宋_GB2312" w:cs="Times New Roman"/>
                <w:b/>
              </w:rPr>
            </w:pPr>
            <w:r>
              <w:rPr>
                <w:rFonts w:ascii="Times New Roman" w:hAnsi="Times New Roman" w:eastAsia="仿宋_GB2312" w:cs="Times New Roman"/>
                <w:b/>
              </w:rPr>
              <w:t>装机（MW）</w:t>
            </w:r>
          </w:p>
        </w:tc>
        <w:tc>
          <w:tcPr>
            <w:tcW w:w="390" w:type="pct"/>
            <w:vAlign w:val="center"/>
          </w:tcPr>
          <w:p>
            <w:pPr>
              <w:jc w:val="center"/>
              <w:rPr>
                <w:rFonts w:ascii="Times New Roman" w:hAnsi="Times New Roman" w:eastAsia="仿宋_GB2312" w:cs="Times New Roman"/>
                <w:b/>
              </w:rPr>
            </w:pPr>
            <w:r>
              <w:rPr>
                <w:rFonts w:hint="eastAsia" w:ascii="Times New Roman" w:hAnsi="Times New Roman" w:eastAsia="仿宋_GB2312" w:cs="Times New Roman"/>
                <w:b/>
              </w:rPr>
              <w:t>日常</w:t>
            </w:r>
            <w:r>
              <w:rPr>
                <w:rFonts w:ascii="Times New Roman" w:hAnsi="Times New Roman" w:eastAsia="仿宋_GB2312" w:cs="Times New Roman"/>
                <w:b/>
              </w:rPr>
              <w:t>供</w:t>
            </w:r>
          </w:p>
          <w:p>
            <w:pPr>
              <w:jc w:val="center"/>
              <w:rPr>
                <w:rFonts w:ascii="Times New Roman" w:hAnsi="Times New Roman" w:eastAsia="仿宋_GB2312" w:cs="Times New Roman"/>
                <w:b/>
              </w:rPr>
            </w:pPr>
            <w:r>
              <w:rPr>
                <w:rFonts w:ascii="Times New Roman" w:hAnsi="Times New Roman" w:eastAsia="仿宋_GB2312" w:cs="Times New Roman"/>
                <w:b/>
              </w:rPr>
              <w:t>热能力（t/h）</w:t>
            </w:r>
          </w:p>
        </w:tc>
        <w:tc>
          <w:tcPr>
            <w:tcW w:w="390" w:type="pct"/>
            <w:vAlign w:val="center"/>
          </w:tcPr>
          <w:p>
            <w:pPr>
              <w:jc w:val="center"/>
              <w:rPr>
                <w:rFonts w:ascii="Times New Roman" w:hAnsi="Times New Roman" w:eastAsia="仿宋_GB2312" w:cs="Times New Roman"/>
                <w:b/>
              </w:rPr>
            </w:pPr>
            <w:r>
              <w:rPr>
                <w:rFonts w:hint="eastAsia" w:ascii="Times New Roman" w:hAnsi="Times New Roman" w:eastAsia="仿宋_GB2312" w:cs="Times New Roman"/>
                <w:b/>
              </w:rPr>
              <w:t>最大</w:t>
            </w:r>
            <w:r>
              <w:rPr>
                <w:rFonts w:ascii="Times New Roman" w:hAnsi="Times New Roman" w:eastAsia="仿宋_GB2312" w:cs="Times New Roman"/>
                <w:b/>
              </w:rPr>
              <w:t>供</w:t>
            </w:r>
          </w:p>
          <w:p>
            <w:pPr>
              <w:jc w:val="center"/>
              <w:rPr>
                <w:rFonts w:ascii="Times New Roman" w:hAnsi="Times New Roman" w:eastAsia="仿宋_GB2312" w:cs="Times New Roman"/>
                <w:b/>
              </w:rPr>
            </w:pPr>
            <w:r>
              <w:rPr>
                <w:rFonts w:ascii="Times New Roman" w:hAnsi="Times New Roman" w:eastAsia="仿宋_GB2312" w:cs="Times New Roman"/>
                <w:b/>
              </w:rPr>
              <w:t>热能力（t/h）</w:t>
            </w:r>
          </w:p>
        </w:tc>
        <w:tc>
          <w:tcPr>
            <w:tcW w:w="390" w:type="pct"/>
            <w:vAlign w:val="center"/>
          </w:tcPr>
          <w:p>
            <w:pPr>
              <w:jc w:val="center"/>
              <w:rPr>
                <w:rFonts w:ascii="Times New Roman" w:hAnsi="Times New Roman" w:eastAsia="仿宋_GB2312" w:cs="Times New Roman"/>
                <w:b/>
              </w:rPr>
            </w:pPr>
            <w:r>
              <w:rPr>
                <w:rFonts w:ascii="Times New Roman" w:hAnsi="Times New Roman" w:eastAsia="仿宋_GB2312" w:cs="Times New Roman"/>
                <w:b/>
              </w:rPr>
              <w:t>新增</w:t>
            </w:r>
            <w:r>
              <w:rPr>
                <w:rFonts w:hint="eastAsia" w:ascii="Times New Roman" w:hAnsi="Times New Roman" w:eastAsia="仿宋_GB2312" w:cs="Times New Roman"/>
                <w:b/>
              </w:rPr>
              <w:t>最大</w:t>
            </w:r>
            <w:r>
              <w:rPr>
                <w:rFonts w:ascii="Times New Roman" w:hAnsi="Times New Roman" w:eastAsia="仿宋_GB2312" w:cs="Times New Roman"/>
                <w:b/>
              </w:rPr>
              <w:t>供热能力（t/h）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pPr>
              <w:jc w:val="center"/>
              <w:rPr>
                <w:rFonts w:ascii="Times New Roman" w:hAnsi="Times New Roman" w:eastAsia="仿宋_GB2312" w:cs="Times New Roman"/>
              </w:rPr>
            </w:pPr>
            <w:r>
              <w:rPr>
                <w:rFonts w:ascii="Times New Roman" w:hAnsi="Times New Roman" w:eastAsia="仿宋_GB2312" w:cs="Times New Roman"/>
              </w:rPr>
              <w:t>1</w:t>
            </w:r>
          </w:p>
        </w:tc>
        <w:tc>
          <w:tcPr>
            <w:tcW w:w="624"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浙江宝峰热电有限公司</w:t>
            </w:r>
          </w:p>
        </w:tc>
        <w:tc>
          <w:tcPr>
            <w:tcW w:w="366" w:type="pct"/>
            <w:vAlign w:val="center"/>
          </w:tcPr>
          <w:p>
            <w:pPr>
              <w:jc w:val="center"/>
              <w:rPr>
                <w:rFonts w:ascii="Times New Roman" w:hAnsi="Times New Roman" w:eastAsia="仿宋_GB2312" w:cs="Times New Roman"/>
                <w:szCs w:val="21"/>
              </w:rPr>
            </w:pPr>
            <w:r>
              <w:rPr>
                <w:rFonts w:ascii="Times New Roman" w:hAnsi="Times New Roman" w:eastAsia="等线" w:cs="Times New Roman"/>
                <w:color w:val="000000"/>
                <w:szCs w:val="21"/>
              </w:rPr>
              <w:t>430</w:t>
            </w:r>
          </w:p>
        </w:tc>
        <w:tc>
          <w:tcPr>
            <w:tcW w:w="375" w:type="pct"/>
            <w:vAlign w:val="center"/>
          </w:tcPr>
          <w:p>
            <w:pPr>
              <w:jc w:val="center"/>
              <w:rPr>
                <w:rFonts w:ascii="Times New Roman" w:hAnsi="Times New Roman" w:eastAsia="仿宋_GB2312" w:cs="Times New Roman"/>
                <w:szCs w:val="21"/>
              </w:rPr>
            </w:pPr>
            <w:r>
              <w:rPr>
                <w:rFonts w:ascii="Times New Roman" w:hAnsi="Times New Roman" w:eastAsia="等线" w:cs="Times New Roman"/>
                <w:color w:val="000000"/>
                <w:szCs w:val="21"/>
              </w:rPr>
              <w:t>40</w:t>
            </w:r>
          </w:p>
        </w:tc>
        <w:tc>
          <w:tcPr>
            <w:tcW w:w="338" w:type="pct"/>
            <w:vAlign w:val="center"/>
          </w:tcPr>
          <w:p>
            <w:pPr>
              <w:jc w:val="center"/>
              <w:rPr>
                <w:rFonts w:ascii="Times New Roman" w:hAnsi="Times New Roman" w:eastAsia="仿宋_GB2312" w:cs="Times New Roman"/>
                <w:szCs w:val="21"/>
              </w:rPr>
            </w:pPr>
            <w:r>
              <w:rPr>
                <w:rFonts w:ascii="Times New Roman" w:hAnsi="Times New Roman" w:eastAsia="等线" w:cs="Times New Roman"/>
                <w:color w:val="000000"/>
                <w:szCs w:val="21"/>
              </w:rPr>
              <w:t>220</w:t>
            </w:r>
          </w:p>
        </w:tc>
        <w:tc>
          <w:tcPr>
            <w:tcW w:w="389" w:type="pct"/>
            <w:vAlign w:val="center"/>
          </w:tcPr>
          <w:p>
            <w:pPr>
              <w:jc w:val="center"/>
              <w:rPr>
                <w:rFonts w:ascii="Times New Roman" w:hAnsi="Times New Roman" w:eastAsia="仿宋_GB2312" w:cs="Times New Roman"/>
                <w:szCs w:val="21"/>
              </w:rPr>
            </w:pPr>
            <w:r>
              <w:rPr>
                <w:rFonts w:ascii="Times New Roman" w:hAnsi="Times New Roman" w:eastAsia="等线" w:cs="Times New Roman"/>
                <w:color w:val="000000"/>
                <w:szCs w:val="21"/>
              </w:rPr>
              <w:t>360</w:t>
            </w:r>
          </w:p>
        </w:tc>
        <w:tc>
          <w:tcPr>
            <w:tcW w:w="389" w:type="pct"/>
            <w:vAlign w:val="center"/>
          </w:tcPr>
          <w:p>
            <w:pPr>
              <w:jc w:val="center"/>
              <w:rPr>
                <w:rFonts w:ascii="Times New Roman" w:hAnsi="Times New Roman" w:eastAsia="仿宋_GB2312" w:cs="Times New Roman"/>
                <w:szCs w:val="21"/>
              </w:rPr>
            </w:pPr>
            <w:r>
              <w:rPr>
                <w:rFonts w:ascii="Times New Roman" w:hAnsi="Times New Roman" w:eastAsia="等线" w:cs="Times New Roman"/>
                <w:color w:val="000000"/>
                <w:szCs w:val="21"/>
              </w:rPr>
              <w:t>430</w:t>
            </w:r>
          </w:p>
        </w:tc>
        <w:tc>
          <w:tcPr>
            <w:tcW w:w="389" w:type="pct"/>
            <w:vAlign w:val="center"/>
          </w:tcPr>
          <w:p>
            <w:pPr>
              <w:jc w:val="center"/>
              <w:rPr>
                <w:rFonts w:ascii="Times New Roman" w:hAnsi="Times New Roman" w:eastAsia="仿宋_GB2312" w:cs="Times New Roman"/>
                <w:szCs w:val="21"/>
              </w:rPr>
            </w:pPr>
            <w:r>
              <w:rPr>
                <w:rFonts w:ascii="Times New Roman" w:hAnsi="Times New Roman" w:eastAsia="等线" w:cs="Times New Roman"/>
                <w:color w:val="000000"/>
                <w:szCs w:val="21"/>
              </w:rPr>
              <w:t>0</w:t>
            </w:r>
          </w:p>
        </w:tc>
        <w:tc>
          <w:tcPr>
            <w:tcW w:w="416" w:type="pct"/>
            <w:vAlign w:val="center"/>
          </w:tcPr>
          <w:p>
            <w:pPr>
              <w:jc w:val="center"/>
              <w:rPr>
                <w:rFonts w:ascii="Times New Roman" w:hAnsi="Times New Roman" w:eastAsia="仿宋_GB2312" w:cs="Times New Roman"/>
                <w:szCs w:val="21"/>
              </w:rPr>
            </w:pPr>
            <w:r>
              <w:rPr>
                <w:rFonts w:ascii="Times New Roman" w:hAnsi="Times New Roman" w:eastAsia="等线" w:cs="Times New Roman"/>
                <w:color w:val="000000"/>
                <w:szCs w:val="21"/>
              </w:rPr>
              <w:t>40</w:t>
            </w:r>
          </w:p>
        </w:tc>
        <w:tc>
          <w:tcPr>
            <w:tcW w:w="388" w:type="pct"/>
            <w:vAlign w:val="center"/>
          </w:tcPr>
          <w:p>
            <w:pPr>
              <w:jc w:val="center"/>
              <w:rPr>
                <w:rFonts w:ascii="Times New Roman" w:hAnsi="Times New Roman" w:eastAsia="仿宋_GB2312" w:cs="Times New Roman"/>
                <w:szCs w:val="21"/>
              </w:rPr>
            </w:pPr>
            <w:r>
              <w:rPr>
                <w:rFonts w:ascii="Times New Roman" w:hAnsi="Times New Roman" w:eastAsia="等线" w:cs="Times New Roman"/>
                <w:color w:val="000000"/>
                <w:szCs w:val="21"/>
              </w:rPr>
              <w:t>0</w:t>
            </w:r>
          </w:p>
        </w:tc>
        <w:tc>
          <w:tcPr>
            <w:tcW w:w="390" w:type="pct"/>
            <w:vAlign w:val="center"/>
          </w:tcPr>
          <w:p>
            <w:pPr>
              <w:jc w:val="center"/>
              <w:rPr>
                <w:rFonts w:ascii="Times New Roman" w:hAnsi="Times New Roman" w:eastAsia="仿宋_GB2312" w:cs="Times New Roman"/>
                <w:szCs w:val="21"/>
              </w:rPr>
            </w:pPr>
            <w:r>
              <w:rPr>
                <w:rFonts w:ascii="Times New Roman" w:hAnsi="Times New Roman" w:eastAsia="等线" w:cs="Times New Roman"/>
                <w:color w:val="000000"/>
                <w:szCs w:val="21"/>
              </w:rPr>
              <w:t>220</w:t>
            </w:r>
          </w:p>
        </w:tc>
        <w:tc>
          <w:tcPr>
            <w:tcW w:w="390" w:type="pct"/>
            <w:vAlign w:val="center"/>
          </w:tcPr>
          <w:p>
            <w:pPr>
              <w:jc w:val="center"/>
              <w:rPr>
                <w:rFonts w:ascii="Times New Roman" w:hAnsi="Times New Roman" w:eastAsia="仿宋_GB2312" w:cs="Times New Roman"/>
                <w:szCs w:val="21"/>
              </w:rPr>
            </w:pPr>
            <w:r>
              <w:rPr>
                <w:rFonts w:ascii="Times New Roman" w:hAnsi="Times New Roman" w:eastAsia="等线" w:cs="Times New Roman"/>
                <w:color w:val="000000"/>
                <w:szCs w:val="21"/>
              </w:rPr>
              <w:t>360</w:t>
            </w:r>
          </w:p>
        </w:tc>
        <w:tc>
          <w:tcPr>
            <w:tcW w:w="390" w:type="pct"/>
            <w:vAlign w:val="center"/>
          </w:tcPr>
          <w:p>
            <w:pPr>
              <w:jc w:val="center"/>
              <w:rPr>
                <w:rFonts w:ascii="Times New Roman" w:hAnsi="Times New Roman" w:eastAsia="仿宋_GB2312" w:cs="Times New Roman"/>
                <w:szCs w:val="21"/>
              </w:rPr>
            </w:pPr>
            <w:r>
              <w:rPr>
                <w:rFonts w:ascii="Times New Roman" w:hAnsi="Times New Roman" w:eastAsia="等线" w:cs="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2</w:t>
            </w:r>
          </w:p>
        </w:tc>
        <w:tc>
          <w:tcPr>
            <w:tcW w:w="624"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马桥大都市热电有限公司</w:t>
            </w:r>
          </w:p>
        </w:tc>
        <w:tc>
          <w:tcPr>
            <w:tcW w:w="366"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450</w:t>
            </w:r>
          </w:p>
        </w:tc>
        <w:tc>
          <w:tcPr>
            <w:tcW w:w="375"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45</w:t>
            </w:r>
          </w:p>
        </w:tc>
        <w:tc>
          <w:tcPr>
            <w:tcW w:w="338"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280</w:t>
            </w:r>
          </w:p>
        </w:tc>
        <w:tc>
          <w:tcPr>
            <w:tcW w:w="389"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360</w:t>
            </w:r>
          </w:p>
        </w:tc>
        <w:tc>
          <w:tcPr>
            <w:tcW w:w="389"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450</w:t>
            </w:r>
          </w:p>
        </w:tc>
        <w:tc>
          <w:tcPr>
            <w:tcW w:w="389"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0</w:t>
            </w:r>
          </w:p>
        </w:tc>
        <w:tc>
          <w:tcPr>
            <w:tcW w:w="416"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45</w:t>
            </w:r>
          </w:p>
        </w:tc>
        <w:tc>
          <w:tcPr>
            <w:tcW w:w="388"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0</w:t>
            </w:r>
          </w:p>
        </w:tc>
        <w:tc>
          <w:tcPr>
            <w:tcW w:w="390"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280</w:t>
            </w:r>
          </w:p>
        </w:tc>
        <w:tc>
          <w:tcPr>
            <w:tcW w:w="390"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360</w:t>
            </w:r>
          </w:p>
        </w:tc>
        <w:tc>
          <w:tcPr>
            <w:tcW w:w="390"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3</w:t>
            </w:r>
          </w:p>
        </w:tc>
        <w:tc>
          <w:tcPr>
            <w:tcW w:w="624"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海宁光耀热电有限公司</w:t>
            </w:r>
            <w:r>
              <w:rPr>
                <w:rFonts w:hint="eastAsia" w:ascii="Times New Roman" w:hAnsi="Times New Roman" w:eastAsia="仿宋_GB2312" w:cs="Times New Roman"/>
                <w:vertAlign w:val="superscript"/>
              </w:rPr>
              <w:t>1</w:t>
            </w:r>
          </w:p>
        </w:tc>
        <w:tc>
          <w:tcPr>
            <w:tcW w:w="366"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150</w:t>
            </w:r>
          </w:p>
        </w:tc>
        <w:tc>
          <w:tcPr>
            <w:tcW w:w="375"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0</w:t>
            </w:r>
          </w:p>
        </w:tc>
        <w:tc>
          <w:tcPr>
            <w:tcW w:w="338"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100</w:t>
            </w:r>
          </w:p>
        </w:tc>
        <w:tc>
          <w:tcPr>
            <w:tcW w:w="389"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120</w:t>
            </w:r>
          </w:p>
        </w:tc>
        <w:tc>
          <w:tcPr>
            <w:tcW w:w="389"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225</w:t>
            </w:r>
          </w:p>
        </w:tc>
        <w:tc>
          <w:tcPr>
            <w:tcW w:w="389"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75</w:t>
            </w:r>
          </w:p>
        </w:tc>
        <w:tc>
          <w:tcPr>
            <w:tcW w:w="416"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40</w:t>
            </w:r>
          </w:p>
        </w:tc>
        <w:tc>
          <w:tcPr>
            <w:tcW w:w="388"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40</w:t>
            </w:r>
          </w:p>
        </w:tc>
        <w:tc>
          <w:tcPr>
            <w:tcW w:w="390"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170</w:t>
            </w:r>
          </w:p>
        </w:tc>
        <w:tc>
          <w:tcPr>
            <w:tcW w:w="390"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190</w:t>
            </w:r>
          </w:p>
        </w:tc>
        <w:tc>
          <w:tcPr>
            <w:tcW w:w="390"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4</w:t>
            </w:r>
          </w:p>
        </w:tc>
        <w:tc>
          <w:tcPr>
            <w:tcW w:w="624"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恒逸热电有限公司</w:t>
            </w:r>
          </w:p>
        </w:tc>
        <w:tc>
          <w:tcPr>
            <w:tcW w:w="366"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480</w:t>
            </w:r>
          </w:p>
        </w:tc>
        <w:tc>
          <w:tcPr>
            <w:tcW w:w="375"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30</w:t>
            </w:r>
          </w:p>
        </w:tc>
        <w:tc>
          <w:tcPr>
            <w:tcW w:w="338"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250</w:t>
            </w:r>
          </w:p>
        </w:tc>
        <w:tc>
          <w:tcPr>
            <w:tcW w:w="389"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352</w:t>
            </w:r>
          </w:p>
        </w:tc>
        <w:tc>
          <w:tcPr>
            <w:tcW w:w="389"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820</w:t>
            </w:r>
          </w:p>
        </w:tc>
        <w:tc>
          <w:tcPr>
            <w:tcW w:w="389"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340</w:t>
            </w:r>
          </w:p>
        </w:tc>
        <w:tc>
          <w:tcPr>
            <w:tcW w:w="416"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30</w:t>
            </w:r>
          </w:p>
        </w:tc>
        <w:tc>
          <w:tcPr>
            <w:tcW w:w="388" w:type="pct"/>
            <w:vAlign w:val="center"/>
          </w:tcPr>
          <w:p>
            <w:pPr>
              <w:jc w:val="center"/>
              <w:rPr>
                <w:rFonts w:ascii="Times New Roman" w:hAnsi="Times New Roman" w:eastAsia="等线" w:cs="Times New Roman"/>
                <w:szCs w:val="21"/>
              </w:rPr>
            </w:pPr>
            <w:r>
              <w:rPr>
                <w:rFonts w:ascii="Times New Roman" w:hAnsi="Times New Roman" w:eastAsia="等线" w:cs="Times New Roman"/>
                <w:szCs w:val="21"/>
              </w:rPr>
              <w:t>0</w:t>
            </w:r>
          </w:p>
        </w:tc>
        <w:tc>
          <w:tcPr>
            <w:tcW w:w="390" w:type="pct"/>
            <w:vAlign w:val="center"/>
          </w:tcPr>
          <w:p>
            <w:pPr>
              <w:jc w:val="center"/>
              <w:rPr>
                <w:rFonts w:ascii="Times New Roman" w:hAnsi="Times New Roman" w:eastAsia="等线" w:cs="Times New Roman"/>
                <w:szCs w:val="21"/>
              </w:rPr>
            </w:pPr>
            <w:r>
              <w:rPr>
                <w:rFonts w:hint="eastAsia" w:ascii="Times New Roman" w:hAnsi="Times New Roman" w:eastAsia="等线" w:cs="Times New Roman"/>
                <w:szCs w:val="21"/>
              </w:rPr>
              <w:t>5</w:t>
            </w:r>
            <w:r>
              <w:rPr>
                <w:rFonts w:ascii="Times New Roman" w:hAnsi="Times New Roman" w:eastAsia="等线" w:cs="Times New Roman"/>
                <w:szCs w:val="21"/>
              </w:rPr>
              <w:t>10</w:t>
            </w:r>
          </w:p>
        </w:tc>
        <w:tc>
          <w:tcPr>
            <w:tcW w:w="390" w:type="pct"/>
            <w:vAlign w:val="center"/>
          </w:tcPr>
          <w:p>
            <w:pPr>
              <w:jc w:val="center"/>
              <w:rPr>
                <w:rFonts w:ascii="Times New Roman" w:hAnsi="Times New Roman" w:eastAsia="等线" w:cs="Times New Roman"/>
                <w:szCs w:val="21"/>
              </w:rPr>
            </w:pPr>
            <w:r>
              <w:rPr>
                <w:rFonts w:hint="eastAsia" w:ascii="Times New Roman" w:hAnsi="Times New Roman" w:eastAsia="等线" w:cs="Times New Roman"/>
                <w:szCs w:val="21"/>
              </w:rPr>
              <w:t>6</w:t>
            </w:r>
            <w:r>
              <w:rPr>
                <w:rFonts w:ascii="Times New Roman" w:hAnsi="Times New Roman" w:eastAsia="等线" w:cs="Times New Roman"/>
                <w:szCs w:val="21"/>
              </w:rPr>
              <w:t>72</w:t>
            </w:r>
          </w:p>
        </w:tc>
        <w:tc>
          <w:tcPr>
            <w:tcW w:w="390" w:type="pct"/>
            <w:vAlign w:val="center"/>
          </w:tcPr>
          <w:p>
            <w:pPr>
              <w:jc w:val="center"/>
              <w:rPr>
                <w:rFonts w:ascii="Times New Roman" w:hAnsi="Times New Roman" w:eastAsia="等线" w:cs="Times New Roman"/>
                <w:szCs w:val="21"/>
              </w:rPr>
            </w:pPr>
            <w:r>
              <w:rPr>
                <w:rFonts w:hint="eastAsia" w:ascii="Times New Roman" w:hAnsi="Times New Roman" w:eastAsia="等线" w:cs="Times New Roman"/>
                <w:szCs w:val="21"/>
              </w:rPr>
              <w:t>3</w:t>
            </w:r>
            <w:r>
              <w:rPr>
                <w:rFonts w:ascii="Times New Roman" w:hAnsi="Times New Roman" w:eastAsia="等线"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5</w:t>
            </w:r>
          </w:p>
        </w:tc>
        <w:tc>
          <w:tcPr>
            <w:tcW w:w="624"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海宁市红宝热电有限公司</w:t>
            </w:r>
          </w:p>
        </w:tc>
        <w:tc>
          <w:tcPr>
            <w:tcW w:w="366"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390</w:t>
            </w:r>
          </w:p>
        </w:tc>
        <w:tc>
          <w:tcPr>
            <w:tcW w:w="375"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42.5</w:t>
            </w:r>
          </w:p>
        </w:tc>
        <w:tc>
          <w:tcPr>
            <w:tcW w:w="338"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220</w:t>
            </w:r>
          </w:p>
        </w:tc>
        <w:tc>
          <w:tcPr>
            <w:tcW w:w="389"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260</w:t>
            </w:r>
          </w:p>
        </w:tc>
        <w:tc>
          <w:tcPr>
            <w:tcW w:w="389"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390</w:t>
            </w:r>
          </w:p>
        </w:tc>
        <w:tc>
          <w:tcPr>
            <w:tcW w:w="389"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416"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42.5</w:t>
            </w:r>
          </w:p>
        </w:tc>
        <w:tc>
          <w:tcPr>
            <w:tcW w:w="388"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90"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280</w:t>
            </w:r>
          </w:p>
        </w:tc>
        <w:tc>
          <w:tcPr>
            <w:tcW w:w="390"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342</w:t>
            </w:r>
          </w:p>
        </w:tc>
        <w:tc>
          <w:tcPr>
            <w:tcW w:w="390"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6</w:t>
            </w:r>
          </w:p>
        </w:tc>
        <w:tc>
          <w:tcPr>
            <w:tcW w:w="624"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浙江泰亿能源有限公司</w:t>
            </w:r>
          </w:p>
        </w:tc>
        <w:tc>
          <w:tcPr>
            <w:tcW w:w="366"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180</w:t>
            </w:r>
          </w:p>
        </w:tc>
        <w:tc>
          <w:tcPr>
            <w:tcW w:w="375"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9</w:t>
            </w:r>
          </w:p>
        </w:tc>
        <w:tc>
          <w:tcPr>
            <w:tcW w:w="338"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70</w:t>
            </w:r>
          </w:p>
        </w:tc>
        <w:tc>
          <w:tcPr>
            <w:tcW w:w="389"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150</w:t>
            </w:r>
          </w:p>
        </w:tc>
        <w:tc>
          <w:tcPr>
            <w:tcW w:w="389"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89"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-180</w:t>
            </w:r>
          </w:p>
        </w:tc>
        <w:tc>
          <w:tcPr>
            <w:tcW w:w="416"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88"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-9</w:t>
            </w:r>
          </w:p>
        </w:tc>
        <w:tc>
          <w:tcPr>
            <w:tcW w:w="390"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90"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90"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7</w:t>
            </w:r>
          </w:p>
        </w:tc>
        <w:tc>
          <w:tcPr>
            <w:tcW w:w="624"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尖山新区第二公共热源点</w:t>
            </w:r>
          </w:p>
        </w:tc>
        <w:tc>
          <w:tcPr>
            <w:tcW w:w="366"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75"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38"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89"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89"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750</w:t>
            </w:r>
          </w:p>
        </w:tc>
        <w:tc>
          <w:tcPr>
            <w:tcW w:w="389"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750</w:t>
            </w:r>
          </w:p>
        </w:tc>
        <w:tc>
          <w:tcPr>
            <w:tcW w:w="416"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18</w:t>
            </w:r>
          </w:p>
        </w:tc>
        <w:tc>
          <w:tcPr>
            <w:tcW w:w="388"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18</w:t>
            </w:r>
          </w:p>
        </w:tc>
        <w:tc>
          <w:tcPr>
            <w:tcW w:w="390"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614.6</w:t>
            </w:r>
          </w:p>
        </w:tc>
        <w:tc>
          <w:tcPr>
            <w:tcW w:w="390"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853.1</w:t>
            </w:r>
          </w:p>
        </w:tc>
        <w:tc>
          <w:tcPr>
            <w:tcW w:w="390"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853.1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pPr>
              <w:jc w:val="center"/>
              <w:rPr>
                <w:rFonts w:ascii="Times New Roman" w:hAnsi="Times New Roman" w:eastAsia="仿宋_GB2312" w:cs="Times New Roman"/>
              </w:rPr>
            </w:pPr>
            <w:r>
              <w:rPr>
                <w:rFonts w:ascii="Times New Roman" w:hAnsi="Times New Roman" w:eastAsia="仿宋_GB2312" w:cs="Times New Roman"/>
              </w:rPr>
              <w:t>8</w:t>
            </w:r>
          </w:p>
        </w:tc>
        <w:tc>
          <w:tcPr>
            <w:tcW w:w="624"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海宁绿动海云环保能源有限公司</w:t>
            </w:r>
          </w:p>
        </w:tc>
        <w:tc>
          <w:tcPr>
            <w:tcW w:w="366"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164</w:t>
            </w:r>
          </w:p>
        </w:tc>
        <w:tc>
          <w:tcPr>
            <w:tcW w:w="375"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35</w:t>
            </w:r>
          </w:p>
        </w:tc>
        <w:tc>
          <w:tcPr>
            <w:tcW w:w="338"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89"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89"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164</w:t>
            </w:r>
          </w:p>
        </w:tc>
        <w:tc>
          <w:tcPr>
            <w:tcW w:w="389"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416"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35</w:t>
            </w:r>
          </w:p>
        </w:tc>
        <w:tc>
          <w:tcPr>
            <w:tcW w:w="388"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0</w:t>
            </w:r>
          </w:p>
        </w:tc>
        <w:tc>
          <w:tcPr>
            <w:tcW w:w="390"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80</w:t>
            </w:r>
          </w:p>
        </w:tc>
        <w:tc>
          <w:tcPr>
            <w:tcW w:w="390"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80</w:t>
            </w:r>
          </w:p>
        </w:tc>
        <w:tc>
          <w:tcPr>
            <w:tcW w:w="390"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56" w:type="pct"/>
            <w:vAlign w:val="center"/>
          </w:tcPr>
          <w:p>
            <w:pPr>
              <w:jc w:val="center"/>
              <w:rPr>
                <w:rFonts w:ascii="Times New Roman" w:hAnsi="Times New Roman" w:eastAsia="仿宋_GB2312" w:cs="Times New Roman"/>
              </w:rPr>
            </w:pPr>
          </w:p>
        </w:tc>
        <w:tc>
          <w:tcPr>
            <w:tcW w:w="624" w:type="pct"/>
            <w:vAlign w:val="center"/>
          </w:tcPr>
          <w:p>
            <w:pPr>
              <w:jc w:val="center"/>
              <w:rPr>
                <w:rFonts w:ascii="Times New Roman" w:hAnsi="Times New Roman" w:eastAsia="仿宋_GB2312" w:cs="Times New Roman"/>
              </w:rPr>
            </w:pPr>
            <w:r>
              <w:rPr>
                <w:rFonts w:hint="eastAsia" w:ascii="Times New Roman" w:hAnsi="Times New Roman" w:eastAsia="仿宋_GB2312" w:cs="Times New Roman"/>
              </w:rPr>
              <w:t>合计</w:t>
            </w:r>
          </w:p>
        </w:tc>
        <w:tc>
          <w:tcPr>
            <w:tcW w:w="366"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2244</w:t>
            </w:r>
          </w:p>
        </w:tc>
        <w:tc>
          <w:tcPr>
            <w:tcW w:w="375"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201.5</w:t>
            </w:r>
          </w:p>
        </w:tc>
        <w:tc>
          <w:tcPr>
            <w:tcW w:w="338"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1140</w:t>
            </w:r>
          </w:p>
        </w:tc>
        <w:tc>
          <w:tcPr>
            <w:tcW w:w="389"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1602</w:t>
            </w:r>
          </w:p>
        </w:tc>
        <w:tc>
          <w:tcPr>
            <w:tcW w:w="389"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3229</w:t>
            </w:r>
          </w:p>
        </w:tc>
        <w:tc>
          <w:tcPr>
            <w:tcW w:w="389"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985</w:t>
            </w:r>
          </w:p>
        </w:tc>
        <w:tc>
          <w:tcPr>
            <w:tcW w:w="416"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250.5</w:t>
            </w:r>
          </w:p>
        </w:tc>
        <w:tc>
          <w:tcPr>
            <w:tcW w:w="388"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49</w:t>
            </w:r>
          </w:p>
        </w:tc>
        <w:tc>
          <w:tcPr>
            <w:tcW w:w="390"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2154.6</w:t>
            </w:r>
          </w:p>
        </w:tc>
        <w:tc>
          <w:tcPr>
            <w:tcW w:w="390"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2857.1</w:t>
            </w:r>
          </w:p>
        </w:tc>
        <w:tc>
          <w:tcPr>
            <w:tcW w:w="390" w:type="pct"/>
            <w:vAlign w:val="center"/>
          </w:tcPr>
          <w:p>
            <w:pPr>
              <w:jc w:val="center"/>
              <w:rPr>
                <w:rFonts w:ascii="Times New Roman" w:hAnsi="Times New Roman" w:eastAsia="等线" w:cs="Times New Roman"/>
                <w:color w:val="000000"/>
                <w:szCs w:val="21"/>
              </w:rPr>
            </w:pPr>
            <w:r>
              <w:rPr>
                <w:rFonts w:ascii="Times New Roman" w:hAnsi="Times New Roman" w:eastAsia="等线" w:cs="Times New Roman"/>
                <w:color w:val="000000"/>
                <w:szCs w:val="21"/>
              </w:rPr>
              <w:t>1255.1</w:t>
            </w:r>
          </w:p>
        </w:tc>
      </w:tr>
    </w:tbl>
    <w:p>
      <w:pPr>
        <w:pStyle w:val="53"/>
        <w:spacing w:line="240" w:lineRule="auto"/>
        <w:ind w:firstLine="480"/>
        <w:rPr>
          <w:rFonts w:ascii="Times New Roman" w:hAnsi="Times New Roman" w:eastAsia="仿宋_GB2312" w:cs="Times New Roman"/>
          <w:sz w:val="24"/>
        </w:rPr>
      </w:pPr>
      <w:r>
        <w:rPr>
          <w:rFonts w:hint="eastAsia" w:ascii="Times New Roman" w:hAnsi="Times New Roman" w:eastAsia="仿宋_GB2312" w:cs="Times New Roman"/>
          <w:sz w:val="24"/>
        </w:rPr>
        <w:t>注：1</w:t>
      </w:r>
      <w:r>
        <w:rPr>
          <w:rFonts w:ascii="Times New Roman" w:hAnsi="Times New Roman" w:eastAsia="仿宋_GB2312" w:cs="Times New Roman"/>
          <w:sz w:val="24"/>
        </w:rPr>
        <w:t>.海宁光耀热电有限公司1号能源站</w:t>
      </w:r>
      <w:r>
        <w:rPr>
          <w:rFonts w:hint="eastAsia" w:ascii="Times New Roman" w:hAnsi="Times New Roman" w:eastAsia="仿宋_GB2312" w:cs="Times New Roman"/>
          <w:sz w:val="24"/>
        </w:rPr>
        <w:t>和</w:t>
      </w:r>
      <w:r>
        <w:rPr>
          <w:rFonts w:ascii="Times New Roman" w:hAnsi="Times New Roman" w:eastAsia="仿宋_GB2312" w:cs="Times New Roman"/>
          <w:sz w:val="24"/>
        </w:rPr>
        <w:t>2号能源站</w:t>
      </w:r>
      <w:r>
        <w:rPr>
          <w:rFonts w:hint="eastAsia" w:ascii="Times New Roman" w:hAnsi="Times New Roman" w:eastAsia="仿宋_GB2312" w:cs="Times New Roman"/>
          <w:sz w:val="24"/>
        </w:rPr>
        <w:t>的</w:t>
      </w:r>
      <w:r>
        <w:rPr>
          <w:rFonts w:ascii="Times New Roman" w:hAnsi="Times New Roman" w:eastAsia="仿宋_GB2312" w:cs="Times New Roman"/>
          <w:sz w:val="24"/>
        </w:rPr>
        <w:t>燃气轮发电机组和余热锅炉预计</w:t>
      </w:r>
      <w:r>
        <w:rPr>
          <w:rFonts w:hint="eastAsia" w:ascii="Times New Roman" w:hAnsi="Times New Roman" w:eastAsia="仿宋_GB2312" w:cs="Times New Roman"/>
          <w:sz w:val="24"/>
        </w:rPr>
        <w:t>规划期内</w:t>
      </w:r>
      <w:r>
        <w:rPr>
          <w:rFonts w:ascii="Times New Roman" w:hAnsi="Times New Roman" w:eastAsia="仿宋_GB2312" w:cs="Times New Roman"/>
          <w:sz w:val="24"/>
        </w:rPr>
        <w:t>投产</w:t>
      </w:r>
      <w:r>
        <w:rPr>
          <w:rFonts w:hint="eastAsia" w:ascii="Times New Roman" w:hAnsi="Times New Roman" w:eastAsia="仿宋_GB2312" w:cs="Times New Roman"/>
          <w:sz w:val="24"/>
        </w:rPr>
        <w:t>。</w:t>
      </w:r>
    </w:p>
    <w:p>
      <w:pPr>
        <w:pStyle w:val="61"/>
        <w:ind w:firstLine="640"/>
        <w:sectPr>
          <w:pgSz w:w="16838" w:h="11906" w:orient="landscape"/>
          <w:pgMar w:top="1800" w:right="1440" w:bottom="1800" w:left="1440" w:header="851" w:footer="992" w:gutter="0"/>
          <w:cols w:space="425" w:num="1"/>
          <w:docGrid w:type="lines" w:linePitch="312" w:charSpace="0"/>
        </w:sectPr>
      </w:pPr>
    </w:p>
    <w:p>
      <w:pPr>
        <w:pStyle w:val="4"/>
      </w:pPr>
      <w:bookmarkStart w:id="373" w:name="_Toc181983795"/>
      <w:bookmarkStart w:id="374" w:name="_Toc171197885"/>
      <w:bookmarkStart w:id="375" w:name="_Toc183631812"/>
      <w:bookmarkStart w:id="376" w:name="_Toc188636937"/>
      <w:bookmarkStart w:id="377" w:name="_Toc144301260"/>
      <w:r>
        <w:t>5.2.2</w:t>
      </w:r>
      <w:r>
        <w:rPr>
          <w:rFonts w:hint="eastAsia"/>
        </w:rPr>
        <w:t>热源点实施条件</w:t>
      </w:r>
      <w:bookmarkEnd w:id="373"/>
      <w:bookmarkEnd w:id="374"/>
      <w:bookmarkEnd w:id="375"/>
      <w:bookmarkEnd w:id="376"/>
      <w:bookmarkEnd w:id="377"/>
    </w:p>
    <w:p>
      <w:pPr>
        <w:pStyle w:val="4"/>
      </w:pPr>
      <w:bookmarkStart w:id="378" w:name="_Toc144301042"/>
      <w:bookmarkStart w:id="379" w:name="_Toc181983796"/>
      <w:bookmarkStart w:id="380" w:name="_Toc136514756"/>
      <w:bookmarkStart w:id="381" w:name="_Toc183631813"/>
      <w:bookmarkStart w:id="382" w:name="_Toc144301261"/>
      <w:bookmarkStart w:id="383" w:name="_Toc171197886"/>
      <w:bookmarkStart w:id="384" w:name="_Toc111225961"/>
      <w:bookmarkStart w:id="385" w:name="_Toc188636938"/>
      <w:r>
        <w:t>5.2.2.1选址及相关配套条件</w:t>
      </w:r>
      <w:bookmarkEnd w:id="378"/>
      <w:bookmarkEnd w:id="379"/>
      <w:bookmarkEnd w:id="380"/>
      <w:bookmarkEnd w:id="381"/>
      <w:bookmarkEnd w:id="382"/>
      <w:bookmarkEnd w:id="383"/>
      <w:bookmarkEnd w:id="384"/>
      <w:bookmarkEnd w:id="385"/>
    </w:p>
    <w:p>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（1）海宁恒逸热电有限公司</w:t>
      </w:r>
    </w:p>
    <w:p>
      <w:pPr>
        <w:spacing w:line="580" w:lineRule="exact"/>
        <w:ind w:firstLine="573"/>
        <w:rPr>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海宁恒逸热电有限公司扩建工程位于海宁市尖山新区闻澜路，为公司现厂址内，</w:t>
      </w:r>
      <w:r>
        <w:rPr>
          <w:rFonts w:ascii="Times New Roman" w:hAnsi="Times New Roman" w:eastAsia="仿宋_GB2312" w:cs="Times New Roman"/>
          <w:color w:val="000000" w:themeColor="text1"/>
          <w:sz w:val="28"/>
          <w:szCs w:val="28"/>
          <w14:textFill>
            <w14:solidFill>
              <w14:schemeClr w14:val="tx1"/>
            </w14:solidFill>
          </w14:textFill>
        </w:rPr>
        <w:t>用地性质为</w:t>
      </w:r>
      <w:r>
        <w:rPr>
          <w:rFonts w:hint="eastAsia" w:ascii="Times New Roman" w:hAnsi="Times New Roman" w:eastAsia="仿宋_GB2312" w:cs="Times New Roman"/>
          <w:color w:val="000000" w:themeColor="text1"/>
          <w:sz w:val="28"/>
          <w:szCs w:val="28"/>
          <w14:textFill>
            <w14:solidFill>
              <w14:schemeClr w14:val="tx1"/>
            </w14:solidFill>
          </w14:textFill>
        </w:rPr>
        <w:t>工业用地</w:t>
      </w:r>
      <w:r>
        <w:rPr>
          <w:rFonts w:ascii="Times New Roman" w:hAnsi="Times New Roman" w:eastAsia="仿宋_GB2312" w:cs="Times New Roman"/>
          <w:color w:val="000000" w:themeColor="text1"/>
          <w:sz w:val="28"/>
          <w:szCs w:val="28"/>
          <w14:textFill>
            <w14:solidFill>
              <w14:schemeClr w14:val="tx1"/>
            </w14:solidFill>
          </w14:textFill>
        </w:rPr>
        <w:t>，不涉及基本农田，</w:t>
      </w:r>
      <w:r>
        <w:rPr>
          <w:rFonts w:hint="eastAsia" w:ascii="Times New Roman" w:hAnsi="Times New Roman" w:eastAsia="仿宋_GB2312" w:cs="Times New Roman"/>
          <w:color w:val="000000" w:themeColor="text1"/>
          <w:sz w:val="28"/>
          <w:szCs w:val="28"/>
          <w14:textFill>
            <w14:solidFill>
              <w14:schemeClr w14:val="tx1"/>
            </w14:solidFill>
          </w14:textFill>
        </w:rPr>
        <w:t>扩建的用水、燃料运输等条件基本具备。</w:t>
      </w:r>
    </w:p>
    <w:p>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（2）海宁红宝热电有限公司</w:t>
      </w:r>
    </w:p>
    <w:p>
      <w:pPr>
        <w:pStyle w:val="61"/>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海宁红宝热电有限公司迁建</w:t>
      </w:r>
      <w:r>
        <w:rPr>
          <w:color w:val="000000" w:themeColor="text1"/>
          <w:sz w:val="28"/>
          <w:szCs w:val="28"/>
          <w14:textFill>
            <w14:solidFill>
              <w14:schemeClr w14:val="tx1"/>
            </w14:solidFill>
          </w14:textFill>
        </w:rPr>
        <w:t>厂址位于在海宁高新技术产业园区（长安镇）</w:t>
      </w:r>
      <w:r>
        <w:rPr>
          <w:rFonts w:hint="eastAsia"/>
          <w:color w:val="000000" w:themeColor="text1"/>
          <w:sz w:val="28"/>
          <w:szCs w:val="28"/>
          <w14:textFill>
            <w14:solidFill>
              <w14:schemeClr w14:val="tx1"/>
            </w14:solidFill>
          </w14:textFill>
        </w:rPr>
        <w:t>紧挨</w:t>
      </w:r>
      <w:r>
        <w:rPr>
          <w:color w:val="000000" w:themeColor="text1"/>
          <w:sz w:val="28"/>
          <w:szCs w:val="28"/>
          <w14:textFill>
            <w14:solidFill>
              <w14:schemeClr w14:val="tx1"/>
            </w14:solidFill>
          </w14:textFill>
        </w:rPr>
        <w:t>杭州湾环线高速胡家兜出入口收费站</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仰山路西侧、杭州湾环线高速公路北侧，</w:t>
      </w:r>
      <w:r>
        <w:rPr>
          <w:rFonts w:hint="eastAsia"/>
          <w:color w:val="000000" w:themeColor="text1"/>
          <w:sz w:val="28"/>
          <w:szCs w:val="28"/>
          <w14:textFill>
            <w14:solidFill>
              <w14:schemeClr w14:val="tx1"/>
            </w14:solidFill>
          </w14:textFill>
        </w:rPr>
        <w:t>总占地约</w:t>
      </w:r>
      <w:r>
        <w:rPr>
          <w:color w:val="000000" w:themeColor="text1"/>
          <w:sz w:val="28"/>
          <w:szCs w:val="28"/>
          <w14:textFill>
            <w14:solidFill>
              <w14:schemeClr w14:val="tx1"/>
            </w14:solidFill>
          </w14:textFill>
        </w:rPr>
        <w:t>100</w:t>
      </w:r>
      <w:r>
        <w:rPr>
          <w:rFonts w:hint="eastAsia"/>
          <w:color w:val="000000" w:themeColor="text1"/>
          <w:sz w:val="28"/>
          <w:szCs w:val="28"/>
          <w14:textFill>
            <w14:solidFill>
              <w14:schemeClr w14:val="tx1"/>
            </w14:solidFill>
          </w14:textFill>
        </w:rPr>
        <w:t>亩，</w:t>
      </w:r>
      <w:r>
        <w:rPr>
          <w:color w:val="000000" w:themeColor="text1"/>
          <w:sz w:val="28"/>
          <w:szCs w:val="28"/>
          <w14:textFill>
            <w14:solidFill>
              <w14:schemeClr w14:val="tx1"/>
            </w14:solidFill>
          </w14:textFill>
        </w:rPr>
        <w:t>目前</w:t>
      </w:r>
      <w:r>
        <w:rPr>
          <w:rFonts w:hint="eastAsia"/>
          <w:color w:val="000000" w:themeColor="text1"/>
          <w:sz w:val="28"/>
          <w:szCs w:val="28"/>
          <w14:textFill>
            <w14:solidFill>
              <w14:schemeClr w14:val="tx1"/>
            </w14:solidFill>
          </w14:textFill>
        </w:rPr>
        <w:t>迁建</w:t>
      </w:r>
      <w:r>
        <w:rPr>
          <w:color w:val="000000" w:themeColor="text1"/>
          <w:sz w:val="28"/>
          <w:szCs w:val="28"/>
          <w14:textFill>
            <w14:solidFill>
              <w14:schemeClr w14:val="tx1"/>
            </w14:solidFill>
          </w14:textFill>
        </w:rPr>
        <w:t>厂址用地性质为</w:t>
      </w:r>
      <w:r>
        <w:rPr>
          <w:rFonts w:hint="eastAsia"/>
          <w:color w:val="000000" w:themeColor="text1"/>
          <w:sz w:val="28"/>
          <w:szCs w:val="28"/>
          <w14:textFill>
            <w14:solidFill>
              <w14:schemeClr w14:val="tx1"/>
            </w14:solidFill>
          </w14:textFill>
        </w:rPr>
        <w:t>工业用地</w:t>
      </w:r>
      <w:r>
        <w:rPr>
          <w:color w:val="000000" w:themeColor="text1"/>
          <w:sz w:val="28"/>
          <w:szCs w:val="28"/>
          <w14:textFill>
            <w14:solidFill>
              <w14:schemeClr w14:val="tx1"/>
            </w14:solidFill>
          </w14:textFill>
        </w:rPr>
        <w:t>，不涉及基本农田。</w:t>
      </w:r>
      <w:r>
        <w:rPr>
          <w:rFonts w:hint="eastAsia"/>
          <w:color w:val="000000" w:themeColor="text1"/>
          <w:sz w:val="28"/>
          <w:szCs w:val="28"/>
          <w14:textFill>
            <w14:solidFill>
              <w14:schemeClr w14:val="tx1"/>
            </w14:solidFill>
          </w14:textFill>
        </w:rPr>
        <w:t>规划期内规划建设规模为</w:t>
      </w:r>
      <w:r>
        <w:rPr>
          <w:color w:val="000000" w:themeColor="text1"/>
          <w:sz w:val="28"/>
          <w:szCs w:val="28"/>
          <w14:textFill>
            <w14:solidFill>
              <w14:schemeClr w14:val="tx1"/>
            </w14:solidFill>
          </w14:textFill>
        </w:rPr>
        <w:t>3炉3机，同步建设锅炉尾气超低排放设备。</w:t>
      </w:r>
      <w:bookmarkStart w:id="386" w:name="_Hlk180875336"/>
      <w:r>
        <w:rPr>
          <w:color w:val="000000" w:themeColor="text1"/>
          <w:sz w:val="28"/>
          <w:szCs w:val="28"/>
          <w14:textFill>
            <w14:solidFill>
              <w14:schemeClr w14:val="tx1"/>
            </w14:solidFill>
          </w14:textFill>
        </w:rPr>
        <w:t>工程用水水源</w:t>
      </w:r>
      <w:r>
        <w:rPr>
          <w:rFonts w:hint="eastAsia"/>
          <w:color w:val="000000" w:themeColor="text1"/>
          <w:sz w:val="28"/>
          <w:szCs w:val="28"/>
          <w14:textFill>
            <w14:solidFill>
              <w14:schemeClr w14:val="tx1"/>
            </w14:solidFill>
          </w14:textFill>
        </w:rPr>
        <w:t>为市政自来水</w:t>
      </w:r>
      <w:r>
        <w:rPr>
          <w:color w:val="000000" w:themeColor="text1"/>
          <w:sz w:val="28"/>
          <w:szCs w:val="28"/>
          <w14:textFill>
            <w14:solidFill>
              <w14:schemeClr w14:val="tx1"/>
            </w14:solidFill>
          </w14:textFill>
        </w:rPr>
        <w:t>，燃料为</w:t>
      </w:r>
      <w:r>
        <w:rPr>
          <w:rFonts w:hint="eastAsia"/>
          <w:color w:val="000000" w:themeColor="text1"/>
          <w:sz w:val="28"/>
          <w:szCs w:val="28"/>
          <w14:textFill>
            <w14:solidFill>
              <w14:schemeClr w14:val="tx1"/>
            </w14:solidFill>
          </w14:textFill>
        </w:rPr>
        <w:t>市场采购煤炭</w:t>
      </w:r>
      <w:r>
        <w:rPr>
          <w:color w:val="000000" w:themeColor="text1"/>
          <w:sz w:val="28"/>
          <w:szCs w:val="28"/>
          <w14:textFill>
            <w14:solidFill>
              <w14:schemeClr w14:val="tx1"/>
            </w14:solidFill>
          </w14:textFill>
        </w:rPr>
        <w:t>，</w:t>
      </w:r>
      <w:bookmarkEnd w:id="386"/>
      <w:r>
        <w:rPr>
          <w:color w:val="000000" w:themeColor="text1"/>
          <w:sz w:val="28"/>
          <w:szCs w:val="28"/>
          <w14:textFill>
            <w14:solidFill>
              <w14:schemeClr w14:val="tx1"/>
            </w14:solidFill>
          </w14:textFill>
        </w:rPr>
        <w:t>通过陆路运输至热电厂。</w:t>
      </w:r>
    </w:p>
    <w:p>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3</w:t>
      </w:r>
      <w:r>
        <w:rPr>
          <w:rFonts w:hint="eastAsia"/>
          <w:b/>
          <w:color w:val="000000" w:themeColor="text1"/>
          <w:sz w:val="28"/>
          <w:szCs w:val="28"/>
          <w14:textFill>
            <w14:solidFill>
              <w14:schemeClr w14:val="tx1"/>
            </w14:solidFill>
          </w14:textFill>
        </w:rPr>
        <w:t>）</w:t>
      </w:r>
      <w:bookmarkStart w:id="387" w:name="_Hlk180875415"/>
      <w:r>
        <w:rPr>
          <w:rFonts w:hint="eastAsia"/>
          <w:b/>
          <w:color w:val="000000" w:themeColor="text1"/>
          <w:sz w:val="28"/>
          <w:szCs w:val="28"/>
          <w14:textFill>
            <w14:solidFill>
              <w14:schemeClr w14:val="tx1"/>
            </w14:solidFill>
          </w14:textFill>
        </w:rPr>
        <w:t>尖山新区第二公共热源点</w:t>
      </w:r>
      <w:bookmarkEnd w:id="387"/>
    </w:p>
    <w:p>
      <w:pPr>
        <w:pStyle w:val="61"/>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尖山新区第二公共热源点厂址暂定</w:t>
      </w:r>
      <w:r>
        <w:rPr>
          <w:rFonts w:hint="eastAsia"/>
          <w:sz w:val="28"/>
          <w:szCs w:val="24"/>
        </w:rPr>
        <w:t>于静安南路西侧、滨海路北侧，用地面积</w:t>
      </w:r>
      <w:r>
        <w:rPr>
          <w:sz w:val="28"/>
          <w:szCs w:val="24"/>
        </w:rPr>
        <w:t>113413平方米</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用地性质为</w:t>
      </w:r>
      <w:r>
        <w:rPr>
          <w:rFonts w:hint="eastAsia"/>
          <w:color w:val="000000" w:themeColor="text1"/>
          <w:sz w:val="28"/>
          <w:szCs w:val="28"/>
          <w14:textFill>
            <w14:solidFill>
              <w14:schemeClr w14:val="tx1"/>
            </w14:solidFill>
          </w14:textFill>
        </w:rPr>
        <w:t>工业用地</w:t>
      </w:r>
      <w:r>
        <w:rPr>
          <w:color w:val="000000" w:themeColor="text1"/>
          <w:sz w:val="28"/>
          <w:szCs w:val="28"/>
          <w14:textFill>
            <w14:solidFill>
              <w14:schemeClr w14:val="tx1"/>
            </w14:solidFill>
          </w14:textFill>
        </w:rPr>
        <w:t>，不涉及基本农田</w:t>
      </w:r>
      <w:r>
        <w:rPr>
          <w:rFonts w:hint="eastAsia"/>
          <w:color w:val="000000" w:themeColor="text1"/>
          <w:sz w:val="28"/>
          <w:szCs w:val="28"/>
          <w14:textFill>
            <w14:solidFill>
              <w14:schemeClr w14:val="tx1"/>
            </w14:solidFill>
          </w14:textFill>
        </w:rPr>
        <w:t>。规划期内规划建设规模为</w:t>
      </w:r>
      <w:r>
        <w:rPr>
          <w:color w:val="000000" w:themeColor="text1"/>
          <w:sz w:val="28"/>
          <w:szCs w:val="28"/>
          <w14:textFill>
            <w14:solidFill>
              <w14:schemeClr w14:val="tx1"/>
            </w14:solidFill>
          </w14:textFill>
        </w:rPr>
        <w:t>5炉2机，同步建设锅炉尾气超低排放设备。</w:t>
      </w:r>
      <w:r>
        <w:rPr>
          <w:rFonts w:hint="eastAsia"/>
          <w:color w:val="000000" w:themeColor="text1"/>
          <w:sz w:val="28"/>
          <w:szCs w:val="28"/>
          <w14:textFill>
            <w14:solidFill>
              <w14:schemeClr w14:val="tx1"/>
            </w14:solidFill>
          </w14:textFill>
        </w:rPr>
        <w:t>工程用水水源为市政自来水，燃料为市场采购煤炭。</w:t>
      </w:r>
    </w:p>
    <w:p>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4</w:t>
      </w:r>
      <w:r>
        <w:rPr>
          <w:rFonts w:hint="eastAsia"/>
          <w:b/>
          <w:color w:val="000000" w:themeColor="text1"/>
          <w:sz w:val="28"/>
          <w:szCs w:val="28"/>
          <w14:textFill>
            <w14:solidFill>
              <w14:schemeClr w14:val="tx1"/>
            </w14:solidFill>
          </w14:textFill>
        </w:rPr>
        <w:t>）海宁绿动海云环保能源有限</w:t>
      </w:r>
      <w:r>
        <w:rPr>
          <w:b/>
          <w:color w:val="000000" w:themeColor="text1"/>
          <w:sz w:val="28"/>
          <w:szCs w:val="28"/>
          <w14:textFill>
            <w14:solidFill>
              <w14:schemeClr w14:val="tx1"/>
            </w14:solidFill>
          </w14:textFill>
        </w:rPr>
        <w:t>公司</w:t>
      </w:r>
    </w:p>
    <w:p>
      <w:pPr>
        <w:pStyle w:val="61"/>
        <w:ind w:firstLine="560"/>
        <w:rPr>
          <w:color w:val="000000" w:themeColor="text1"/>
          <w:sz w:val="28"/>
          <w:szCs w:val="28"/>
          <w14:textFill>
            <w14:solidFill>
              <w14:schemeClr w14:val="tx1"/>
            </w14:solidFill>
          </w14:textFill>
        </w:rPr>
      </w:pPr>
      <w:r>
        <w:rPr>
          <w:rFonts w:hint="eastAsia" w:cs="宋体"/>
          <w:sz w:val="28"/>
        </w:rPr>
        <w:t>海宁绿动海云环保能源有限</w:t>
      </w:r>
      <w:r>
        <w:rPr>
          <w:rFonts w:cs="宋体"/>
          <w:sz w:val="28"/>
        </w:rPr>
        <w:t>公司</w:t>
      </w:r>
      <w:r>
        <w:rPr>
          <w:rFonts w:hint="eastAsia" w:cs="宋体"/>
          <w:sz w:val="28"/>
        </w:rPr>
        <w:t>计划实施供热改造，厂内装机规模不变，利用厂内空地建设对外中压供热管道，建设条件满足要求。水源、燃料等供应方式维持不变。</w:t>
      </w:r>
    </w:p>
    <w:p>
      <w:pPr>
        <w:pStyle w:val="4"/>
      </w:pPr>
      <w:bookmarkStart w:id="388" w:name="_Toc183631814"/>
      <w:bookmarkStart w:id="389" w:name="_Toc181983797"/>
      <w:bookmarkStart w:id="390" w:name="_Toc144301043"/>
      <w:bookmarkStart w:id="391" w:name="_Toc188636939"/>
      <w:bookmarkStart w:id="392" w:name="_Toc171197887"/>
      <w:bookmarkStart w:id="393" w:name="_Toc144301262"/>
      <w:bookmarkStart w:id="394" w:name="_Toc136514757"/>
      <w:bookmarkStart w:id="395" w:name="_Toc111225962"/>
      <w:r>
        <w:t>5.2.2.2项目并网条件</w:t>
      </w:r>
      <w:bookmarkEnd w:id="388"/>
      <w:bookmarkEnd w:id="389"/>
      <w:bookmarkEnd w:id="390"/>
      <w:bookmarkEnd w:id="391"/>
      <w:bookmarkEnd w:id="392"/>
      <w:bookmarkEnd w:id="393"/>
      <w:bookmarkEnd w:id="394"/>
      <w:bookmarkEnd w:id="395"/>
    </w:p>
    <w:p>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（1）海宁恒逸热电有限公司</w:t>
      </w:r>
    </w:p>
    <w:p>
      <w:pPr>
        <w:spacing w:line="580" w:lineRule="exact"/>
        <w:ind w:firstLine="573"/>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海宁恒逸热电有限公司扩建工程利用现有接入系统并入电网。</w:t>
      </w:r>
    </w:p>
    <w:p>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2</w:t>
      </w:r>
      <w:r>
        <w:rPr>
          <w:rFonts w:hint="eastAsia"/>
          <w:b/>
          <w:color w:val="000000" w:themeColor="text1"/>
          <w:sz w:val="28"/>
          <w:szCs w:val="28"/>
          <w14:textFill>
            <w14:solidFill>
              <w14:schemeClr w14:val="tx1"/>
            </w14:solidFill>
          </w14:textFill>
        </w:rPr>
        <w:t>）海宁红宝热电有限公司</w:t>
      </w:r>
    </w:p>
    <w:p>
      <w:pPr>
        <w:spacing w:line="580" w:lineRule="exact"/>
        <w:ind w:firstLine="573"/>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迁建后的海宁红宝热电有限公司</w:t>
      </w:r>
      <w:r>
        <w:rPr>
          <w:rFonts w:ascii="Times New Roman" w:hAnsi="Times New Roman" w:eastAsia="仿宋_GB2312" w:cs="Times New Roman"/>
          <w:color w:val="000000" w:themeColor="text1"/>
          <w:sz w:val="28"/>
          <w:szCs w:val="28"/>
          <w14:textFill>
            <w14:solidFill>
              <w14:schemeClr w14:val="tx1"/>
            </w14:solidFill>
          </w14:textFill>
        </w:rPr>
        <w:t>10kV发电系统</w:t>
      </w:r>
      <w:r>
        <w:rPr>
          <w:rFonts w:hint="eastAsia" w:ascii="Times New Roman" w:hAnsi="Times New Roman" w:eastAsia="仿宋_GB2312" w:cs="Times New Roman"/>
          <w:color w:val="000000" w:themeColor="text1"/>
          <w:sz w:val="28"/>
          <w:szCs w:val="28"/>
          <w14:textFill>
            <w14:solidFill>
              <w14:schemeClr w14:val="tx1"/>
            </w14:solidFill>
          </w14:textFill>
        </w:rPr>
        <w:t>拟</w:t>
      </w:r>
      <w:r>
        <w:rPr>
          <w:rFonts w:ascii="Times New Roman" w:hAnsi="Times New Roman" w:eastAsia="仿宋_GB2312" w:cs="Times New Roman"/>
          <w:color w:val="000000" w:themeColor="text1"/>
          <w:sz w:val="28"/>
          <w:szCs w:val="28"/>
          <w14:textFill>
            <w14:solidFill>
              <w14:schemeClr w14:val="tx1"/>
            </w14:solidFill>
          </w14:textFill>
        </w:rPr>
        <w:t>经110kV升压站接入市电网系统</w:t>
      </w:r>
      <w:r>
        <w:rPr>
          <w:rFonts w:hint="eastAsia" w:ascii="Times New Roman" w:hAnsi="Times New Roman" w:eastAsia="仿宋_GB2312" w:cs="Times New Roman"/>
          <w:color w:val="000000" w:themeColor="text1"/>
          <w:sz w:val="28"/>
          <w:szCs w:val="28"/>
          <w14:textFill>
            <w14:solidFill>
              <w14:schemeClr w14:val="tx1"/>
            </w14:solidFill>
          </w14:textFill>
        </w:rPr>
        <w:t>，从企业的整体性和提高集控操作的便捷性考虑，拟从新厂址主厂房东北侧</w:t>
      </w:r>
      <w:r>
        <w:rPr>
          <w:rFonts w:ascii="Times New Roman" w:hAnsi="Times New Roman" w:eastAsia="仿宋_GB2312" w:cs="Times New Roman"/>
          <w:color w:val="000000" w:themeColor="text1"/>
          <w:sz w:val="28"/>
          <w:szCs w:val="28"/>
          <w14:textFill>
            <w14:solidFill>
              <w14:schemeClr w14:val="tx1"/>
            </w14:solidFill>
          </w14:textFill>
        </w:rPr>
        <w:t>以两回路110kV联络线电缆</w:t>
      </w:r>
      <w:r>
        <w:rPr>
          <w:rFonts w:hint="eastAsia" w:ascii="Times New Roman" w:hAnsi="Times New Roman" w:eastAsia="仿宋_GB2312" w:cs="Times New Roman"/>
          <w:color w:val="000000" w:themeColor="text1"/>
          <w:sz w:val="28"/>
          <w:szCs w:val="28"/>
          <w14:textFill>
            <w14:solidFill>
              <w14:schemeClr w14:val="tx1"/>
            </w14:solidFill>
          </w14:textFill>
        </w:rPr>
        <w:t>接入</w:t>
      </w:r>
      <w:r>
        <w:rPr>
          <w:rFonts w:ascii="Times New Roman" w:hAnsi="Times New Roman" w:eastAsia="仿宋_GB2312" w:cs="Times New Roman"/>
          <w:color w:val="000000" w:themeColor="text1"/>
          <w:sz w:val="28"/>
          <w:szCs w:val="28"/>
          <w14:textFill>
            <w14:solidFill>
              <w14:schemeClr w14:val="tx1"/>
            </w14:solidFill>
          </w14:textFill>
        </w:rPr>
        <w:t>民谊变电</w:t>
      </w:r>
      <w:r>
        <w:rPr>
          <w:rFonts w:hint="eastAsia" w:ascii="Times New Roman" w:hAnsi="Times New Roman" w:eastAsia="仿宋_GB2312" w:cs="Times New Roman"/>
          <w:color w:val="000000" w:themeColor="text1"/>
          <w:sz w:val="28"/>
          <w:szCs w:val="28"/>
          <w14:textFill>
            <w14:solidFill>
              <w14:schemeClr w14:val="tx1"/>
            </w14:solidFill>
          </w14:textFill>
        </w:rPr>
        <w:t>站</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并网条件基本具备。</w:t>
      </w:r>
    </w:p>
    <w:p>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3</w:t>
      </w:r>
      <w:r>
        <w:rPr>
          <w:rFonts w:hint="eastAsia"/>
          <w:b/>
          <w:color w:val="000000" w:themeColor="text1"/>
          <w:sz w:val="28"/>
          <w:szCs w:val="28"/>
          <w14:textFill>
            <w14:solidFill>
              <w14:schemeClr w14:val="tx1"/>
            </w14:solidFill>
          </w14:textFill>
        </w:rPr>
        <w:t>）尖山新区第二公共热源点</w:t>
      </w:r>
    </w:p>
    <w:p>
      <w:pPr>
        <w:pStyle w:val="61"/>
        <w:ind w:firstLine="560"/>
        <w:rPr>
          <w:color w:val="000000" w:themeColor="text1"/>
          <w:sz w:val="28"/>
          <w:szCs w:val="28"/>
          <w14:textFill>
            <w14:solidFill>
              <w14:schemeClr w14:val="tx1"/>
            </w14:solidFill>
          </w14:textFill>
        </w:rPr>
      </w:pPr>
      <w:r>
        <w:rPr>
          <w:rFonts w:hint="eastAsia" w:cs="宋体"/>
          <w:sz w:val="28"/>
        </w:rPr>
        <w:t>尖山新区第二公共热源点</w:t>
      </w:r>
      <w:r>
        <w:rPr>
          <w:rFonts w:hint="eastAsia"/>
          <w:color w:val="000000" w:themeColor="text1"/>
          <w:sz w:val="28"/>
          <w:szCs w:val="28"/>
          <w14:textFill>
            <w14:solidFill>
              <w14:schemeClr w14:val="tx1"/>
            </w14:solidFill>
          </w14:textFill>
        </w:rPr>
        <w:t>拟通过安江变</w:t>
      </w:r>
      <w:r>
        <w:rPr>
          <w:color w:val="000000" w:themeColor="text1"/>
          <w:sz w:val="28"/>
          <w:szCs w:val="28"/>
          <w14:textFill>
            <w14:solidFill>
              <w14:schemeClr w14:val="tx1"/>
            </w14:solidFill>
          </w14:textFill>
        </w:rPr>
        <w:t>110KV线路接入市电网系</w:t>
      </w:r>
      <w:r>
        <w:rPr>
          <w:rFonts w:hint="eastAsia"/>
          <w:color w:val="000000" w:themeColor="text1"/>
          <w:sz w:val="28"/>
          <w:szCs w:val="28"/>
          <w14:textFill>
            <w14:solidFill>
              <w14:schemeClr w14:val="tx1"/>
            </w14:solidFill>
          </w14:textFill>
        </w:rPr>
        <w:t>，并网条件基本具备。</w:t>
      </w:r>
    </w:p>
    <w:p>
      <w:pPr>
        <w:pStyle w:val="61"/>
        <w:ind w:firstLine="562"/>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w:t>
      </w:r>
      <w:r>
        <w:rPr>
          <w:b/>
          <w:color w:val="000000" w:themeColor="text1"/>
          <w:sz w:val="28"/>
          <w:szCs w:val="28"/>
          <w14:textFill>
            <w14:solidFill>
              <w14:schemeClr w14:val="tx1"/>
            </w14:solidFill>
          </w14:textFill>
        </w:rPr>
        <w:t>4</w:t>
      </w:r>
      <w:r>
        <w:rPr>
          <w:rFonts w:hint="eastAsia"/>
          <w:b/>
          <w:color w:val="000000" w:themeColor="text1"/>
          <w:sz w:val="28"/>
          <w:szCs w:val="28"/>
          <w14:textFill>
            <w14:solidFill>
              <w14:schemeClr w14:val="tx1"/>
            </w14:solidFill>
          </w14:textFill>
        </w:rPr>
        <w:t>）海宁绿动海云环保能源有限</w:t>
      </w:r>
      <w:r>
        <w:rPr>
          <w:b/>
          <w:color w:val="000000" w:themeColor="text1"/>
          <w:sz w:val="28"/>
          <w:szCs w:val="28"/>
          <w14:textFill>
            <w14:solidFill>
              <w14:schemeClr w14:val="tx1"/>
            </w14:solidFill>
          </w14:textFill>
        </w:rPr>
        <w:t>公司</w:t>
      </w:r>
    </w:p>
    <w:p>
      <w:pPr>
        <w:spacing w:line="580" w:lineRule="exact"/>
        <w:ind w:firstLine="573"/>
        <w:rPr>
          <w:rFonts w:ascii="Times New Roman" w:hAnsi="Times New Roman" w:eastAsia="仿宋_GB2312" w:cs="Times New Roman"/>
          <w:color w:val="000000" w:themeColor="text1"/>
          <w:szCs w:val="21"/>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海宁绿动海云环保能源有限公司规划期内计划实施供热改造，并网方式维持不变。</w:t>
      </w:r>
    </w:p>
    <w:p/>
    <w:p>
      <w:pPr>
        <w:spacing w:line="580" w:lineRule="exact"/>
        <w:ind w:firstLine="570"/>
        <w:rPr>
          <w:rFonts w:ascii="Times New Roman" w:hAnsi="Times New Roman" w:eastAsia="仿宋_GB2312" w:cs="Times New Roman"/>
          <w:sz w:val="28"/>
          <w:szCs w:val="28"/>
        </w:rPr>
        <w:sectPr>
          <w:footerReference r:id="rId8" w:type="default"/>
          <w:pgSz w:w="11906" w:h="16838"/>
          <w:pgMar w:top="1474" w:right="1588" w:bottom="1701" w:left="1588" w:header="851" w:footer="992" w:gutter="0"/>
          <w:cols w:space="425" w:num="1"/>
          <w:docGrid w:type="lines" w:linePitch="312" w:charSpace="0"/>
        </w:sectPr>
      </w:pPr>
    </w:p>
    <w:p>
      <w:pPr>
        <w:pStyle w:val="2"/>
      </w:pPr>
      <w:bookmarkStart w:id="396" w:name="_Toc188636940"/>
      <w:r>
        <w:rPr>
          <w:rFonts w:hint="eastAsia"/>
        </w:rPr>
        <w:t>六、热网规划</w:t>
      </w:r>
      <w:bookmarkEnd w:id="396"/>
    </w:p>
    <w:p>
      <w:pPr>
        <w:pStyle w:val="3"/>
      </w:pPr>
      <w:bookmarkStart w:id="397" w:name="_Toc188636941"/>
      <w:r>
        <w:t>6.1</w:t>
      </w:r>
      <w:r>
        <w:rPr>
          <w:rFonts w:hint="eastAsia"/>
        </w:rPr>
        <w:t>供热管网布置原则</w:t>
      </w:r>
      <w:bookmarkEnd w:id="397"/>
    </w:p>
    <w:p>
      <w:pPr>
        <w:spacing w:line="580" w:lineRule="exact"/>
        <w:ind w:firstLine="57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按照《小型节能热电项目可行性研究性技术的规定》及附件，投资超过</w:t>
      </w:r>
      <w:r>
        <w:rPr>
          <w:rFonts w:ascii="Times New Roman" w:hAnsi="Times New Roman" w:eastAsia="仿宋_GB2312" w:cs="Times New Roman"/>
          <w:sz w:val="28"/>
          <w:szCs w:val="28"/>
        </w:rPr>
        <w:t>1500万元的热力网应单独编制可行性研究报告。供热管网及配套设施的设计、建设应与新增热源点项目同步进行，确保新增热源点建成投运时，热力管网建设完成并具备供热条件。</w:t>
      </w:r>
      <w:r>
        <w:rPr>
          <w:rFonts w:hint="eastAsia" w:ascii="Times New Roman" w:hAnsi="Times New Roman" w:eastAsia="仿宋_GB2312" w:cs="Times New Roman"/>
          <w:sz w:val="28"/>
          <w:szCs w:val="28"/>
        </w:rPr>
        <w:t>鼓励在有条件的地区实施热源点联网供热和长距离供热。</w:t>
      </w:r>
    </w:p>
    <w:p>
      <w:pPr>
        <w:pStyle w:val="3"/>
      </w:pPr>
      <w:bookmarkStart w:id="398" w:name="_Toc188636942"/>
      <w:r>
        <w:t>6.2</w:t>
      </w:r>
      <w:r>
        <w:rPr>
          <w:rFonts w:hint="eastAsia"/>
        </w:rPr>
        <w:t>热网系统概述</w:t>
      </w:r>
      <w:bookmarkEnd w:id="398"/>
    </w:p>
    <w:p>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供热管网的敷设涉及到国土空间总体规划、道路交通、市政管线走廊、</w:t>
      </w:r>
      <w:r>
        <w:rPr>
          <w:rFonts w:hint="eastAsia" w:ascii="Times New Roman" w:hAnsi="Times New Roman" w:eastAsia="仿宋_GB2312" w:cs="Times New Roman"/>
          <w:sz w:val="28"/>
          <w:szCs w:val="28"/>
        </w:rPr>
        <w:t>海宁市</w:t>
      </w:r>
      <w:r>
        <w:rPr>
          <w:rFonts w:ascii="Times New Roman" w:hAnsi="Times New Roman" w:eastAsia="仿宋_GB2312" w:cs="Times New Roman"/>
          <w:sz w:val="28"/>
          <w:szCs w:val="28"/>
        </w:rPr>
        <w:t>城市景观等各方面问题，必须与相关部门充分协调。具体实施应遵循以下原则：</w:t>
      </w:r>
    </w:p>
    <w:p>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（1）管网布置要符合</w:t>
      </w:r>
      <w:r>
        <w:rPr>
          <w:rFonts w:hint="eastAsia" w:ascii="Times New Roman" w:hAnsi="Times New Roman" w:eastAsia="仿宋_GB2312" w:cs="Times New Roman"/>
          <w:sz w:val="28"/>
          <w:szCs w:val="28"/>
        </w:rPr>
        <w:t>海宁市</w:t>
      </w:r>
      <w:r>
        <w:rPr>
          <w:rFonts w:ascii="Times New Roman" w:hAnsi="Times New Roman" w:eastAsia="仿宋_GB2312" w:cs="Times New Roman"/>
          <w:sz w:val="28"/>
          <w:szCs w:val="28"/>
        </w:rPr>
        <w:t>国土空间总体规划，走向考虑到各功能分区的产业结构和特点，热负荷的分布、热源点的位置，以及与各种地上和地下管线及构筑物、园林绿地的关系和水文地质条件、道路等。</w:t>
      </w:r>
    </w:p>
    <w:p>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2）城市道路上的热力网管道应平行于道路中心线，并宜敷设在车行道以外的地方，且在车行道、人行道不宜设置热力井，同一条管道应只沿街道的一侧敷设；穿过厂区的城市热力网管道应敷设在易于检修和维护的位置；通过非建筑区的热力网管道应沿公路敷设；尽量不影响城镇或开发区的整体形象；当平行于道路时，热力网管道选线时宜避开土质松软地区、地震断裂带、滑坡危险地带以及高地下水位区等不利地段。</w:t>
      </w:r>
    </w:p>
    <w:p>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3）供热管道与建筑物以及其它市政管线的最小水平距离、垂直距离应符合《城镇供热管网设计规范》（CJJ34-2010）相关要求。管道尽可能与电力网、电话线路、煤气管道城市给排水管道以及构筑物相互协调。相互之间的距离应能保证运行安全和施工及检修方便。</w:t>
      </w:r>
    </w:p>
    <w:p>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4）供热管网的敷设在经济上要合理。主干线尽量走热负荷集中区，支线应尽量靠近用户，力求达到最短的管线和最经济的造价。要注意管线上的阀门、补偿器和某些管道附件（如放气、放水、疏水等装置）的合理布置，以尽可能减少检测室、操作平台的数量。</w:t>
      </w:r>
    </w:p>
    <w:p>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（5）布置上考虑分期实施的可能性，尽可能做到新规划的管线不影响原有管线的正常运行。</w:t>
      </w:r>
    </w:p>
    <w:p>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6）敷设方式视热用户的实际情况因地制宜，各种方式相结合。在穿越主要城区或开发区主要道路时尽量考虑沿河道及规划道路的管线走廊或绿地进行敷设，并适当考虑地沟或地埋敷设。管道敷设以地上架空为主，埋地方式为辅，地上架空以中、低支架相结合，具体视规划、城建等综合要求在设计阶段确定。穿越道路、工厂大门时，可采取地下埋管形式穿越。同一路由布置两条管道时，尽量采用双层布置，以节约管廊占地面积。</w:t>
      </w:r>
    </w:p>
    <w:p>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架空和埋地热力管道与建筑物（构筑物）或其他管线的最小距离，分别见表6.2-1和表6.2-2：</w:t>
      </w:r>
    </w:p>
    <w:p>
      <w:pPr>
        <w:spacing w:before="156" w:beforeLines="50" w:line="360" w:lineRule="auto"/>
        <w:jc w:val="center"/>
        <w:rPr>
          <w:rFonts w:ascii="黑体" w:hAnsi="黑体" w:eastAsia="黑体" w:cs="Times New Roman"/>
          <w:sz w:val="28"/>
          <w:szCs w:val="28"/>
        </w:rPr>
      </w:pPr>
      <w:r>
        <w:rPr>
          <w:rFonts w:ascii="黑体" w:hAnsi="黑体" w:eastAsia="黑体" w:cs="Times New Roman"/>
          <w:sz w:val="28"/>
          <w:szCs w:val="28"/>
        </w:rPr>
        <w:t>表6.2-1 埋地热力管道与建筑物或其他管线的最小距离</w:t>
      </w:r>
    </w:p>
    <w:tbl>
      <w:tblPr>
        <w:tblStyle w:val="24"/>
        <w:tblW w:w="48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681"/>
        <w:gridCol w:w="2282"/>
        <w:gridCol w:w="168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17" w:type="pct"/>
            <w:gridSpan w:val="3"/>
            <w:noWrap/>
            <w:vAlign w:val="center"/>
          </w:tcPr>
          <w:p>
            <w:pPr>
              <w:adjustRightInd w:val="0"/>
              <w:snapToGrid w:val="0"/>
              <w:jc w:val="center"/>
              <w:rPr>
                <w:rFonts w:ascii="Times New Roman" w:hAnsi="Times New Roman" w:eastAsia="仿宋_GB2312" w:cs="Times New Roman"/>
                <w:b/>
                <w:sz w:val="22"/>
              </w:rPr>
            </w:pPr>
            <w:r>
              <w:rPr>
                <w:rFonts w:ascii="Times New Roman" w:hAnsi="Times New Roman" w:eastAsia="仿宋_GB2312" w:cs="Times New Roman"/>
                <w:b/>
                <w:sz w:val="22"/>
              </w:rPr>
              <w:t>建筑物、构筑物或管线名称</w:t>
            </w:r>
          </w:p>
        </w:tc>
        <w:tc>
          <w:tcPr>
            <w:tcW w:w="962" w:type="pct"/>
            <w:noWrap/>
            <w:vAlign w:val="center"/>
          </w:tcPr>
          <w:p>
            <w:pPr>
              <w:adjustRightInd w:val="0"/>
              <w:snapToGrid w:val="0"/>
              <w:jc w:val="center"/>
              <w:rPr>
                <w:rFonts w:ascii="Times New Roman" w:hAnsi="Times New Roman" w:eastAsia="仿宋_GB2312" w:cs="Times New Roman"/>
                <w:b/>
                <w:sz w:val="22"/>
              </w:rPr>
            </w:pPr>
            <w:r>
              <w:rPr>
                <w:rFonts w:ascii="Times New Roman" w:hAnsi="Times New Roman" w:eastAsia="仿宋_GB2312" w:cs="Times New Roman"/>
                <w:b/>
                <w:sz w:val="22"/>
              </w:rPr>
              <w:t>最小水平净距</w:t>
            </w:r>
          </w:p>
          <w:p>
            <w:pPr>
              <w:adjustRightInd w:val="0"/>
              <w:snapToGrid w:val="0"/>
              <w:jc w:val="center"/>
              <w:rPr>
                <w:rFonts w:ascii="Times New Roman" w:hAnsi="Times New Roman" w:eastAsia="仿宋_GB2312" w:cs="Times New Roman"/>
                <w:b/>
                <w:sz w:val="22"/>
              </w:rPr>
            </w:pPr>
            <w:r>
              <w:rPr>
                <w:rFonts w:hint="eastAsia" w:ascii="Times New Roman" w:hAnsi="Times New Roman" w:eastAsia="仿宋_GB2312" w:cs="Times New Roman"/>
                <w:b/>
                <w:sz w:val="22"/>
              </w:rPr>
              <w:t>（米）</w:t>
            </w:r>
          </w:p>
        </w:tc>
        <w:tc>
          <w:tcPr>
            <w:tcW w:w="1221" w:type="pct"/>
            <w:noWrap/>
            <w:vAlign w:val="center"/>
          </w:tcPr>
          <w:p>
            <w:pPr>
              <w:adjustRightInd w:val="0"/>
              <w:snapToGrid w:val="0"/>
              <w:jc w:val="center"/>
              <w:rPr>
                <w:rFonts w:ascii="Times New Roman" w:hAnsi="Times New Roman" w:eastAsia="仿宋_GB2312" w:cs="Times New Roman"/>
                <w:b/>
                <w:sz w:val="22"/>
              </w:rPr>
            </w:pPr>
            <w:r>
              <w:rPr>
                <w:rFonts w:ascii="Times New Roman" w:hAnsi="Times New Roman" w:eastAsia="仿宋_GB2312" w:cs="Times New Roman"/>
                <w:b/>
                <w:sz w:val="22"/>
              </w:rPr>
              <w:t>最小垂直净距</w:t>
            </w:r>
          </w:p>
          <w:p>
            <w:pPr>
              <w:adjustRightInd w:val="0"/>
              <w:snapToGrid w:val="0"/>
              <w:jc w:val="center"/>
              <w:rPr>
                <w:rFonts w:ascii="Times New Roman" w:hAnsi="Times New Roman" w:eastAsia="仿宋_GB2312" w:cs="Times New Roman"/>
                <w:b/>
                <w:sz w:val="22"/>
              </w:rPr>
            </w:pPr>
            <w:r>
              <w:rPr>
                <w:rFonts w:hint="eastAsia" w:ascii="Times New Roman" w:hAnsi="Times New Roman" w:eastAsia="仿宋_GB2312" w:cs="Times New Roman"/>
                <w:b/>
                <w:sz w:val="22"/>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49" w:type="pct"/>
            <w:vMerge w:val="restart"/>
            <w:noWrap/>
            <w:vAlign w:val="center"/>
          </w:tcPr>
          <w:p>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建筑物</w:t>
            </w:r>
          </w:p>
          <w:p>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基础</w:t>
            </w:r>
          </w:p>
        </w:tc>
        <w:tc>
          <w:tcPr>
            <w:tcW w:w="2268" w:type="pct"/>
            <w:gridSpan w:val="2"/>
            <w:noWrap/>
            <w:vAlign w:val="center"/>
          </w:tcPr>
          <w:p>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管沟敷设热力网管道</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0.5</w:t>
            </w:r>
          </w:p>
        </w:tc>
        <w:tc>
          <w:tcPr>
            <w:tcW w:w="1221" w:type="pct"/>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49" w:type="pct"/>
            <w:vMerge w:val="continue"/>
            <w:noWrap/>
            <w:vAlign w:val="center"/>
          </w:tcPr>
          <w:p>
            <w:pPr>
              <w:adjustRightInd w:val="0"/>
              <w:snapToGrid w:val="0"/>
              <w:rPr>
                <w:rFonts w:ascii="Times New Roman" w:hAnsi="Times New Roman" w:eastAsia="仿宋_GB2312" w:cs="Times New Roman"/>
                <w:sz w:val="22"/>
              </w:rPr>
            </w:pPr>
          </w:p>
        </w:tc>
        <w:tc>
          <w:tcPr>
            <w:tcW w:w="962" w:type="pct"/>
            <w:vMerge w:val="restart"/>
            <w:noWrap/>
            <w:vAlign w:val="center"/>
          </w:tcPr>
          <w:p>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直埋闭式热水</w:t>
            </w:r>
          </w:p>
          <w:p>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热力网管道</w:t>
            </w:r>
          </w:p>
        </w:tc>
        <w:tc>
          <w:tcPr>
            <w:tcW w:w="1306" w:type="pct"/>
            <w:noWrap/>
            <w:vAlign w:val="center"/>
          </w:tcPr>
          <w:p>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DN≤250</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2.5</w:t>
            </w:r>
          </w:p>
        </w:tc>
        <w:tc>
          <w:tcPr>
            <w:tcW w:w="1221" w:type="pct"/>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549" w:type="pct"/>
            <w:vMerge w:val="continue"/>
            <w:noWrap/>
            <w:vAlign w:val="center"/>
          </w:tcPr>
          <w:p>
            <w:pPr>
              <w:adjustRightInd w:val="0"/>
              <w:snapToGrid w:val="0"/>
              <w:rPr>
                <w:rFonts w:ascii="Times New Roman" w:hAnsi="Times New Roman" w:eastAsia="仿宋_GB2312" w:cs="Times New Roman"/>
                <w:sz w:val="22"/>
              </w:rPr>
            </w:pPr>
          </w:p>
        </w:tc>
        <w:tc>
          <w:tcPr>
            <w:tcW w:w="962" w:type="pct"/>
            <w:vMerge w:val="continue"/>
            <w:noWrap/>
            <w:vAlign w:val="center"/>
          </w:tcPr>
          <w:p>
            <w:pPr>
              <w:adjustRightInd w:val="0"/>
              <w:snapToGrid w:val="0"/>
              <w:rPr>
                <w:rFonts w:ascii="Times New Roman" w:hAnsi="Times New Roman" w:eastAsia="仿宋_GB2312" w:cs="Times New Roman"/>
                <w:sz w:val="22"/>
              </w:rPr>
            </w:pPr>
          </w:p>
        </w:tc>
        <w:tc>
          <w:tcPr>
            <w:tcW w:w="1306" w:type="pct"/>
            <w:noWrap/>
            <w:vAlign w:val="center"/>
          </w:tcPr>
          <w:p>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DN≥300</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3.0</w:t>
            </w:r>
          </w:p>
        </w:tc>
        <w:tc>
          <w:tcPr>
            <w:tcW w:w="1221" w:type="pct"/>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549" w:type="pct"/>
            <w:vMerge w:val="continue"/>
            <w:noWrap/>
            <w:vAlign w:val="center"/>
          </w:tcPr>
          <w:p>
            <w:pPr>
              <w:adjustRightInd w:val="0"/>
              <w:snapToGrid w:val="0"/>
              <w:rPr>
                <w:rFonts w:ascii="Times New Roman" w:hAnsi="Times New Roman" w:eastAsia="仿宋_GB2312" w:cs="Times New Roman"/>
                <w:sz w:val="22"/>
              </w:rPr>
            </w:pPr>
          </w:p>
        </w:tc>
        <w:tc>
          <w:tcPr>
            <w:tcW w:w="2268" w:type="pct"/>
            <w:gridSpan w:val="2"/>
            <w:noWrap/>
            <w:vAlign w:val="center"/>
          </w:tcPr>
          <w:p>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直埋开式热水热力网管道</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5.0</w:t>
            </w:r>
          </w:p>
        </w:tc>
        <w:tc>
          <w:tcPr>
            <w:tcW w:w="1221" w:type="pct"/>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铁路钢轨</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钢轨外侧3.0</w:t>
            </w:r>
          </w:p>
        </w:tc>
        <w:tc>
          <w:tcPr>
            <w:tcW w:w="1221"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轨底1.2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电车钢轨</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钢轨外侧2.0</w:t>
            </w:r>
          </w:p>
        </w:tc>
        <w:tc>
          <w:tcPr>
            <w:tcW w:w="1221"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轨底1.0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与公路、铁路控制区域边缘</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c>
          <w:tcPr>
            <w:tcW w:w="1221" w:type="pct"/>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通信、照明或10千伏以下电力线路电杆</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c>
          <w:tcPr>
            <w:tcW w:w="1221" w:type="pct"/>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与桥墩（高架桥、栈桥）控制区域边缘</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2.0</w:t>
            </w:r>
          </w:p>
        </w:tc>
        <w:tc>
          <w:tcPr>
            <w:tcW w:w="1221" w:type="pct"/>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架空管道支架基础边缘</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221" w:type="pct"/>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高压输电线铁塔基础边缘35千伏~220千伏</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3.0</w:t>
            </w:r>
          </w:p>
        </w:tc>
        <w:tc>
          <w:tcPr>
            <w:tcW w:w="1221" w:type="pct"/>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通信电缆管块</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c>
          <w:tcPr>
            <w:tcW w:w="1221"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直埋通信电缆（光缆）</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c>
          <w:tcPr>
            <w:tcW w:w="1221"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11" w:type="pct"/>
            <w:gridSpan w:val="2"/>
            <w:vMerge w:val="restar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电力电缆和控制电缆</w:t>
            </w:r>
          </w:p>
        </w:tc>
        <w:tc>
          <w:tcPr>
            <w:tcW w:w="1306"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35千伏以下</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2.0</w:t>
            </w:r>
          </w:p>
        </w:tc>
        <w:tc>
          <w:tcPr>
            <w:tcW w:w="1221"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511" w:type="pct"/>
            <w:gridSpan w:val="2"/>
            <w:vMerge w:val="continue"/>
            <w:noWrap/>
            <w:vAlign w:val="center"/>
          </w:tcPr>
          <w:p>
            <w:pPr>
              <w:adjustRightInd w:val="0"/>
              <w:snapToGrid w:val="0"/>
              <w:jc w:val="center"/>
              <w:rPr>
                <w:rFonts w:ascii="Times New Roman" w:hAnsi="Times New Roman" w:eastAsia="仿宋_GB2312" w:cs="Times New Roman"/>
                <w:sz w:val="22"/>
              </w:rPr>
            </w:pPr>
          </w:p>
        </w:tc>
        <w:tc>
          <w:tcPr>
            <w:tcW w:w="1306"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110千伏</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2.0</w:t>
            </w:r>
          </w:p>
        </w:tc>
        <w:tc>
          <w:tcPr>
            <w:tcW w:w="1221"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restar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w:t>
            </w:r>
          </w:p>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管道</w:t>
            </w:r>
          </w:p>
        </w:tc>
        <w:tc>
          <w:tcPr>
            <w:tcW w:w="962" w:type="pct"/>
            <w:vMerge w:val="restar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管沟敷设</w:t>
            </w:r>
          </w:p>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热力网管道</w:t>
            </w:r>
          </w:p>
        </w:tc>
        <w:tc>
          <w:tcPr>
            <w:tcW w:w="1306"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燃气压力＜0.01兆帕</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c>
          <w:tcPr>
            <w:tcW w:w="1221" w:type="pct"/>
            <w:vMerge w:val="restar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钢管0.15；</w:t>
            </w:r>
          </w:p>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聚乙烯管在上0.2；</w:t>
            </w:r>
          </w:p>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聚乙烯管在下0.3。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ign w:val="center"/>
          </w:tcPr>
          <w:p>
            <w:pPr>
              <w:adjustRightInd w:val="0"/>
              <w:snapToGrid w:val="0"/>
              <w:rPr>
                <w:rFonts w:ascii="Times New Roman" w:hAnsi="Times New Roman" w:eastAsia="仿宋_GB2312" w:cs="Times New Roman"/>
                <w:sz w:val="22"/>
              </w:rPr>
            </w:pPr>
          </w:p>
        </w:tc>
        <w:tc>
          <w:tcPr>
            <w:tcW w:w="962" w:type="pct"/>
            <w:vMerge w:val="continue"/>
            <w:noWrap/>
            <w:vAlign w:val="center"/>
          </w:tcPr>
          <w:p>
            <w:pPr>
              <w:adjustRightInd w:val="0"/>
              <w:snapToGrid w:val="0"/>
              <w:jc w:val="center"/>
              <w:rPr>
                <w:rFonts w:ascii="Times New Roman" w:hAnsi="Times New Roman" w:eastAsia="仿宋_GB2312" w:cs="Times New Roman"/>
                <w:sz w:val="22"/>
              </w:rPr>
            </w:pPr>
          </w:p>
        </w:tc>
        <w:tc>
          <w:tcPr>
            <w:tcW w:w="1306"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燃气压力≤0.4兆帕</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221" w:type="pct"/>
            <w:vMerge w:val="continue"/>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9" w:type="pct"/>
            <w:vMerge w:val="continue"/>
            <w:noWrap/>
            <w:vAlign w:val="center"/>
          </w:tcPr>
          <w:p>
            <w:pPr>
              <w:adjustRightInd w:val="0"/>
              <w:snapToGrid w:val="0"/>
              <w:rPr>
                <w:rFonts w:ascii="Times New Roman" w:hAnsi="Times New Roman" w:eastAsia="仿宋_GB2312" w:cs="Times New Roman"/>
                <w:sz w:val="22"/>
              </w:rPr>
            </w:pPr>
          </w:p>
        </w:tc>
        <w:tc>
          <w:tcPr>
            <w:tcW w:w="962" w:type="pct"/>
            <w:vMerge w:val="continue"/>
            <w:noWrap/>
            <w:vAlign w:val="center"/>
          </w:tcPr>
          <w:p>
            <w:pPr>
              <w:adjustRightInd w:val="0"/>
              <w:snapToGrid w:val="0"/>
              <w:jc w:val="center"/>
              <w:rPr>
                <w:rFonts w:ascii="Times New Roman" w:hAnsi="Times New Roman" w:eastAsia="仿宋_GB2312" w:cs="Times New Roman"/>
                <w:sz w:val="22"/>
              </w:rPr>
            </w:pPr>
          </w:p>
        </w:tc>
        <w:tc>
          <w:tcPr>
            <w:tcW w:w="1306"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燃气压力≤0.8兆帕</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2.0</w:t>
            </w:r>
          </w:p>
        </w:tc>
        <w:tc>
          <w:tcPr>
            <w:tcW w:w="1221" w:type="pct"/>
            <w:vMerge w:val="continue"/>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ign w:val="center"/>
          </w:tcPr>
          <w:p>
            <w:pPr>
              <w:adjustRightInd w:val="0"/>
              <w:snapToGrid w:val="0"/>
              <w:rPr>
                <w:rFonts w:ascii="Times New Roman" w:hAnsi="Times New Roman" w:eastAsia="仿宋_GB2312" w:cs="Times New Roman"/>
                <w:sz w:val="22"/>
              </w:rPr>
            </w:pPr>
          </w:p>
        </w:tc>
        <w:tc>
          <w:tcPr>
            <w:tcW w:w="962" w:type="pct"/>
            <w:vMerge w:val="continue"/>
            <w:noWrap/>
            <w:vAlign w:val="center"/>
          </w:tcPr>
          <w:p>
            <w:pPr>
              <w:adjustRightInd w:val="0"/>
              <w:snapToGrid w:val="0"/>
              <w:jc w:val="center"/>
              <w:rPr>
                <w:rFonts w:ascii="Times New Roman" w:hAnsi="Times New Roman" w:eastAsia="仿宋_GB2312" w:cs="Times New Roman"/>
                <w:sz w:val="22"/>
              </w:rPr>
            </w:pPr>
          </w:p>
        </w:tc>
        <w:tc>
          <w:tcPr>
            <w:tcW w:w="1306"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燃气压力＞0.8兆帕</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4.0</w:t>
            </w:r>
          </w:p>
        </w:tc>
        <w:tc>
          <w:tcPr>
            <w:tcW w:w="1221" w:type="pct"/>
            <w:vMerge w:val="continue"/>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ign w:val="center"/>
          </w:tcPr>
          <w:p>
            <w:pPr>
              <w:adjustRightInd w:val="0"/>
              <w:snapToGrid w:val="0"/>
              <w:rPr>
                <w:rFonts w:ascii="Times New Roman" w:hAnsi="Times New Roman" w:eastAsia="仿宋_GB2312" w:cs="Times New Roman"/>
                <w:sz w:val="22"/>
              </w:rPr>
            </w:pPr>
          </w:p>
        </w:tc>
        <w:tc>
          <w:tcPr>
            <w:tcW w:w="962" w:type="pct"/>
            <w:vMerge w:val="restar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直埋敷设热水</w:t>
            </w:r>
          </w:p>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热力网管道</w:t>
            </w:r>
          </w:p>
        </w:tc>
        <w:tc>
          <w:tcPr>
            <w:tcW w:w="1306"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燃气压力≤0.4兆帕</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c>
          <w:tcPr>
            <w:tcW w:w="1221" w:type="pct"/>
            <w:vMerge w:val="restar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钢管0.15；</w:t>
            </w:r>
          </w:p>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聚乙烯管在上0.5；</w:t>
            </w:r>
          </w:p>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聚乙烯管在下1.0。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ign w:val="center"/>
          </w:tcPr>
          <w:p>
            <w:pPr>
              <w:adjustRightInd w:val="0"/>
              <w:snapToGrid w:val="0"/>
              <w:rPr>
                <w:rFonts w:ascii="Times New Roman" w:hAnsi="Times New Roman" w:eastAsia="仿宋_GB2312" w:cs="Times New Roman"/>
                <w:sz w:val="22"/>
              </w:rPr>
            </w:pPr>
          </w:p>
        </w:tc>
        <w:tc>
          <w:tcPr>
            <w:tcW w:w="962" w:type="pct"/>
            <w:vMerge w:val="continue"/>
            <w:noWrap/>
            <w:vAlign w:val="center"/>
          </w:tcPr>
          <w:p>
            <w:pPr>
              <w:adjustRightInd w:val="0"/>
              <w:snapToGrid w:val="0"/>
              <w:rPr>
                <w:rFonts w:ascii="Times New Roman" w:hAnsi="Times New Roman" w:eastAsia="仿宋_GB2312" w:cs="Times New Roman"/>
                <w:sz w:val="22"/>
              </w:rPr>
            </w:pPr>
          </w:p>
        </w:tc>
        <w:tc>
          <w:tcPr>
            <w:tcW w:w="1306"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燃气压力≤0.8兆帕</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221" w:type="pct"/>
            <w:vMerge w:val="continue"/>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Merge w:val="continue"/>
            <w:noWrap/>
            <w:vAlign w:val="center"/>
          </w:tcPr>
          <w:p>
            <w:pPr>
              <w:adjustRightInd w:val="0"/>
              <w:snapToGrid w:val="0"/>
              <w:rPr>
                <w:rFonts w:ascii="Times New Roman" w:hAnsi="Times New Roman" w:eastAsia="仿宋_GB2312" w:cs="Times New Roman"/>
                <w:sz w:val="22"/>
              </w:rPr>
            </w:pPr>
          </w:p>
        </w:tc>
        <w:tc>
          <w:tcPr>
            <w:tcW w:w="962" w:type="pct"/>
            <w:vMerge w:val="continue"/>
            <w:noWrap/>
            <w:vAlign w:val="center"/>
          </w:tcPr>
          <w:p>
            <w:pPr>
              <w:adjustRightInd w:val="0"/>
              <w:snapToGrid w:val="0"/>
              <w:rPr>
                <w:rFonts w:ascii="Times New Roman" w:hAnsi="Times New Roman" w:eastAsia="仿宋_GB2312" w:cs="Times New Roman"/>
                <w:sz w:val="22"/>
              </w:rPr>
            </w:pPr>
          </w:p>
        </w:tc>
        <w:tc>
          <w:tcPr>
            <w:tcW w:w="1306"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燃气压力＞0.8兆帕</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2.0</w:t>
            </w:r>
          </w:p>
        </w:tc>
        <w:tc>
          <w:tcPr>
            <w:tcW w:w="1221" w:type="pct"/>
            <w:vMerge w:val="continue"/>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17" w:type="pct"/>
            <w:gridSpan w:val="3"/>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给水管道</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221"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排水管道</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221"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地铁</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5.0</w:t>
            </w:r>
          </w:p>
        </w:tc>
        <w:tc>
          <w:tcPr>
            <w:tcW w:w="1221"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17" w:type="pct"/>
            <w:gridSpan w:val="3"/>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电气铁路接触网电杆基础</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3.0</w:t>
            </w:r>
          </w:p>
        </w:tc>
        <w:tc>
          <w:tcPr>
            <w:tcW w:w="1221" w:type="pct"/>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乔木（中心）</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221" w:type="pct"/>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灌木</w:t>
            </w:r>
          </w:p>
        </w:tc>
        <w:tc>
          <w:tcPr>
            <w:tcW w:w="962"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221" w:type="pct"/>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pct"/>
            <w:gridSpan w:val="3"/>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车行道路面</w:t>
            </w:r>
          </w:p>
        </w:tc>
        <w:tc>
          <w:tcPr>
            <w:tcW w:w="962" w:type="pct"/>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c>
          <w:tcPr>
            <w:tcW w:w="1221" w:type="pct"/>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0.7</w:t>
            </w:r>
          </w:p>
        </w:tc>
      </w:tr>
    </w:tbl>
    <w:p>
      <w:pPr>
        <w:spacing w:before="156" w:beforeLines="50" w:line="360" w:lineRule="auto"/>
        <w:jc w:val="center"/>
        <w:rPr>
          <w:rFonts w:ascii="黑体" w:hAnsi="黑体" w:eastAsia="黑体" w:cs="Times New Roman"/>
          <w:sz w:val="28"/>
          <w:szCs w:val="28"/>
        </w:rPr>
      </w:pPr>
      <w:r>
        <w:rPr>
          <w:rFonts w:ascii="黑体" w:hAnsi="黑体" w:eastAsia="黑体" w:cs="Times New Roman"/>
          <w:sz w:val="28"/>
          <w:szCs w:val="28"/>
        </w:rPr>
        <w:t>表6.2-2 架空热力管道与建筑物或其他管线的最小距离</w:t>
      </w:r>
    </w:p>
    <w:tbl>
      <w:tblPr>
        <w:tblStyle w:val="24"/>
        <w:tblW w:w="8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3"/>
        <w:gridCol w:w="2718"/>
        <w:gridCol w:w="1684"/>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731" w:type="dxa"/>
            <w:gridSpan w:val="2"/>
            <w:noWrap/>
            <w:vAlign w:val="center"/>
          </w:tcPr>
          <w:p>
            <w:pPr>
              <w:adjustRightInd w:val="0"/>
              <w:snapToGrid w:val="0"/>
              <w:jc w:val="center"/>
              <w:rPr>
                <w:rFonts w:ascii="Times New Roman" w:hAnsi="Times New Roman" w:eastAsia="仿宋_GB2312" w:cs="Times New Roman"/>
                <w:b/>
                <w:sz w:val="22"/>
              </w:rPr>
            </w:pPr>
            <w:r>
              <w:rPr>
                <w:rFonts w:ascii="Times New Roman" w:hAnsi="Times New Roman" w:eastAsia="仿宋_GB2312" w:cs="Times New Roman"/>
                <w:b/>
                <w:sz w:val="22"/>
              </w:rPr>
              <w:t>建筑物、构筑物或管线名称</w:t>
            </w:r>
          </w:p>
        </w:tc>
        <w:tc>
          <w:tcPr>
            <w:tcW w:w="1684" w:type="dxa"/>
            <w:noWrap/>
            <w:vAlign w:val="center"/>
          </w:tcPr>
          <w:p>
            <w:pPr>
              <w:adjustRightInd w:val="0"/>
              <w:snapToGrid w:val="0"/>
              <w:jc w:val="center"/>
              <w:rPr>
                <w:rFonts w:ascii="Times New Roman" w:hAnsi="Times New Roman" w:eastAsia="仿宋_GB2312" w:cs="Times New Roman"/>
                <w:b/>
                <w:sz w:val="22"/>
              </w:rPr>
            </w:pPr>
            <w:r>
              <w:rPr>
                <w:rFonts w:ascii="Times New Roman" w:hAnsi="Times New Roman" w:eastAsia="仿宋_GB2312" w:cs="Times New Roman"/>
                <w:b/>
                <w:sz w:val="22"/>
              </w:rPr>
              <w:t>最小水平净距</w:t>
            </w:r>
          </w:p>
          <w:p>
            <w:pPr>
              <w:adjustRightInd w:val="0"/>
              <w:snapToGrid w:val="0"/>
              <w:jc w:val="center"/>
              <w:rPr>
                <w:rFonts w:ascii="Times New Roman" w:hAnsi="Times New Roman" w:eastAsia="仿宋_GB2312" w:cs="Times New Roman"/>
                <w:b/>
                <w:sz w:val="22"/>
              </w:rPr>
            </w:pPr>
            <w:r>
              <w:rPr>
                <w:rFonts w:hint="eastAsia" w:ascii="Times New Roman" w:hAnsi="Times New Roman" w:eastAsia="仿宋_GB2312" w:cs="Times New Roman"/>
                <w:b/>
                <w:sz w:val="22"/>
              </w:rPr>
              <w:t>（米）</w:t>
            </w:r>
          </w:p>
        </w:tc>
        <w:tc>
          <w:tcPr>
            <w:tcW w:w="1953" w:type="dxa"/>
            <w:noWrap/>
            <w:vAlign w:val="center"/>
          </w:tcPr>
          <w:p>
            <w:pPr>
              <w:adjustRightInd w:val="0"/>
              <w:snapToGrid w:val="0"/>
              <w:jc w:val="center"/>
              <w:rPr>
                <w:rFonts w:ascii="Times New Roman" w:hAnsi="Times New Roman" w:eastAsia="仿宋_GB2312" w:cs="Times New Roman"/>
                <w:b/>
                <w:sz w:val="22"/>
              </w:rPr>
            </w:pPr>
            <w:r>
              <w:rPr>
                <w:rFonts w:ascii="Times New Roman" w:hAnsi="Times New Roman" w:eastAsia="仿宋_GB2312" w:cs="Times New Roman"/>
                <w:b/>
                <w:sz w:val="22"/>
              </w:rPr>
              <w:t>最小垂直净距</w:t>
            </w:r>
          </w:p>
          <w:p>
            <w:pPr>
              <w:adjustRightInd w:val="0"/>
              <w:snapToGrid w:val="0"/>
              <w:jc w:val="center"/>
              <w:rPr>
                <w:rFonts w:ascii="Times New Roman" w:hAnsi="Times New Roman" w:eastAsia="仿宋_GB2312" w:cs="Times New Roman"/>
                <w:b/>
                <w:sz w:val="22"/>
              </w:rPr>
            </w:pPr>
            <w:r>
              <w:rPr>
                <w:rFonts w:hint="eastAsia" w:ascii="Times New Roman" w:hAnsi="Times New Roman" w:eastAsia="仿宋_GB2312" w:cs="Times New Roman"/>
                <w:b/>
                <w:sz w:val="22"/>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731" w:type="dxa"/>
            <w:gridSpan w:val="2"/>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铁路钢轨</w:t>
            </w:r>
          </w:p>
        </w:tc>
        <w:tc>
          <w:tcPr>
            <w:tcW w:w="1684"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钢轨外侧3.0</w:t>
            </w:r>
          </w:p>
        </w:tc>
        <w:tc>
          <w:tcPr>
            <w:tcW w:w="1953"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一般为5.5</w:t>
            </w:r>
          </w:p>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电气铁路6.55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731" w:type="dxa"/>
            <w:gridSpan w:val="2"/>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电车钢轨</w:t>
            </w:r>
          </w:p>
        </w:tc>
        <w:tc>
          <w:tcPr>
            <w:tcW w:w="1684"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钢轨外侧2.0</w:t>
            </w:r>
          </w:p>
        </w:tc>
        <w:tc>
          <w:tcPr>
            <w:tcW w:w="1953" w:type="dxa"/>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731" w:type="dxa"/>
            <w:gridSpan w:val="2"/>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与公路控制区域边缘</w:t>
            </w:r>
          </w:p>
        </w:tc>
        <w:tc>
          <w:tcPr>
            <w:tcW w:w="1684"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953" w:type="dxa"/>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731" w:type="dxa"/>
            <w:gridSpan w:val="2"/>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公路路面</w:t>
            </w:r>
          </w:p>
        </w:tc>
        <w:tc>
          <w:tcPr>
            <w:tcW w:w="1684" w:type="dxa"/>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c>
          <w:tcPr>
            <w:tcW w:w="1953"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013" w:type="dxa"/>
            <w:vMerge w:val="restart"/>
            <w:noWrap/>
            <w:vAlign w:val="center"/>
          </w:tcPr>
          <w:p>
            <w:pPr>
              <w:adjustRightInd w:val="0"/>
              <w:snapToGrid w:val="0"/>
              <w:rPr>
                <w:rFonts w:ascii="Times New Roman" w:hAnsi="Times New Roman" w:eastAsia="仿宋_GB2312" w:cs="Times New Roman"/>
                <w:sz w:val="22"/>
              </w:rPr>
            </w:pPr>
            <w:r>
              <w:rPr>
                <w:rFonts w:ascii="Times New Roman" w:hAnsi="Times New Roman" w:eastAsia="仿宋_GB2312" w:cs="Times New Roman"/>
                <w:sz w:val="22"/>
              </w:rPr>
              <w:t>架空输电线（水平净距：导线最大风偏时；垂直净距；热力管网道在下面交叉通过导线最大垂直时）</w:t>
            </w:r>
          </w:p>
        </w:tc>
        <w:tc>
          <w:tcPr>
            <w:tcW w:w="2718"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＜1千伏</w:t>
            </w:r>
          </w:p>
        </w:tc>
        <w:tc>
          <w:tcPr>
            <w:tcW w:w="1684"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1.5</w:t>
            </w:r>
          </w:p>
        </w:tc>
        <w:tc>
          <w:tcPr>
            <w:tcW w:w="1953"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13" w:type="dxa"/>
            <w:vMerge w:val="continue"/>
            <w:noWrap/>
            <w:vAlign w:val="center"/>
          </w:tcPr>
          <w:p>
            <w:pPr>
              <w:adjustRightInd w:val="0"/>
              <w:snapToGrid w:val="0"/>
              <w:rPr>
                <w:rFonts w:ascii="Times New Roman" w:hAnsi="Times New Roman" w:eastAsia="仿宋_GB2312" w:cs="Times New Roman"/>
                <w:sz w:val="22"/>
              </w:rPr>
            </w:pPr>
          </w:p>
        </w:tc>
        <w:tc>
          <w:tcPr>
            <w:tcW w:w="2718"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1千伏~10千伏</w:t>
            </w:r>
          </w:p>
        </w:tc>
        <w:tc>
          <w:tcPr>
            <w:tcW w:w="1684"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2.0</w:t>
            </w:r>
          </w:p>
        </w:tc>
        <w:tc>
          <w:tcPr>
            <w:tcW w:w="1953"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13" w:type="dxa"/>
            <w:vMerge w:val="continue"/>
            <w:noWrap/>
            <w:vAlign w:val="center"/>
          </w:tcPr>
          <w:p>
            <w:pPr>
              <w:adjustRightInd w:val="0"/>
              <w:snapToGrid w:val="0"/>
              <w:rPr>
                <w:rFonts w:ascii="Times New Roman" w:hAnsi="Times New Roman" w:eastAsia="仿宋_GB2312" w:cs="Times New Roman"/>
                <w:sz w:val="22"/>
              </w:rPr>
            </w:pPr>
          </w:p>
        </w:tc>
        <w:tc>
          <w:tcPr>
            <w:tcW w:w="2718"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35千伏~110千伏</w:t>
            </w:r>
          </w:p>
        </w:tc>
        <w:tc>
          <w:tcPr>
            <w:tcW w:w="1684"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4.0</w:t>
            </w:r>
          </w:p>
        </w:tc>
        <w:tc>
          <w:tcPr>
            <w:tcW w:w="1953"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13" w:type="dxa"/>
            <w:vMerge w:val="continue"/>
            <w:noWrap/>
            <w:vAlign w:val="center"/>
          </w:tcPr>
          <w:p>
            <w:pPr>
              <w:adjustRightInd w:val="0"/>
              <w:snapToGrid w:val="0"/>
              <w:rPr>
                <w:rFonts w:ascii="Times New Roman" w:hAnsi="Times New Roman" w:eastAsia="仿宋_GB2312" w:cs="Times New Roman"/>
                <w:sz w:val="22"/>
              </w:rPr>
            </w:pPr>
          </w:p>
        </w:tc>
        <w:tc>
          <w:tcPr>
            <w:tcW w:w="2718"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220千伏</w:t>
            </w:r>
          </w:p>
        </w:tc>
        <w:tc>
          <w:tcPr>
            <w:tcW w:w="1684"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5.0</w:t>
            </w:r>
          </w:p>
        </w:tc>
        <w:tc>
          <w:tcPr>
            <w:tcW w:w="1953"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13" w:type="dxa"/>
            <w:vMerge w:val="continue"/>
            <w:noWrap/>
            <w:vAlign w:val="center"/>
          </w:tcPr>
          <w:p>
            <w:pPr>
              <w:adjustRightInd w:val="0"/>
              <w:snapToGrid w:val="0"/>
              <w:rPr>
                <w:rFonts w:ascii="Times New Roman" w:hAnsi="Times New Roman" w:eastAsia="仿宋_GB2312" w:cs="Times New Roman"/>
                <w:sz w:val="22"/>
              </w:rPr>
            </w:pPr>
          </w:p>
        </w:tc>
        <w:tc>
          <w:tcPr>
            <w:tcW w:w="2718"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330千伏</w:t>
            </w:r>
          </w:p>
        </w:tc>
        <w:tc>
          <w:tcPr>
            <w:tcW w:w="1684"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6.0</w:t>
            </w:r>
          </w:p>
        </w:tc>
        <w:tc>
          <w:tcPr>
            <w:tcW w:w="1953"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13" w:type="dxa"/>
            <w:vMerge w:val="continue"/>
            <w:noWrap/>
            <w:vAlign w:val="center"/>
          </w:tcPr>
          <w:p>
            <w:pPr>
              <w:adjustRightInd w:val="0"/>
              <w:snapToGrid w:val="0"/>
              <w:rPr>
                <w:rFonts w:ascii="Times New Roman" w:hAnsi="Times New Roman" w:eastAsia="仿宋_GB2312" w:cs="Times New Roman"/>
                <w:sz w:val="22"/>
              </w:rPr>
            </w:pPr>
          </w:p>
        </w:tc>
        <w:tc>
          <w:tcPr>
            <w:tcW w:w="2718"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500千伏</w:t>
            </w:r>
          </w:p>
        </w:tc>
        <w:tc>
          <w:tcPr>
            <w:tcW w:w="1684"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6.5</w:t>
            </w:r>
          </w:p>
        </w:tc>
        <w:tc>
          <w:tcPr>
            <w:tcW w:w="1953"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731" w:type="dxa"/>
            <w:gridSpan w:val="2"/>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树冠（到树中不小于0.2）</w:t>
            </w:r>
          </w:p>
        </w:tc>
        <w:tc>
          <w:tcPr>
            <w:tcW w:w="1684" w:type="dxa"/>
            <w:noWrap/>
            <w:vAlign w:val="center"/>
          </w:tcPr>
          <w:p>
            <w:pPr>
              <w:adjustRightInd w:val="0"/>
              <w:snapToGrid w:val="0"/>
              <w:jc w:val="center"/>
              <w:rPr>
                <w:rFonts w:ascii="Times New Roman" w:hAnsi="Times New Roman" w:eastAsia="仿宋_GB2312" w:cs="Times New Roman"/>
                <w:sz w:val="22"/>
              </w:rPr>
            </w:pPr>
            <w:r>
              <w:rPr>
                <w:rFonts w:ascii="Times New Roman" w:hAnsi="Times New Roman" w:eastAsia="仿宋_GB2312" w:cs="Times New Roman"/>
                <w:sz w:val="22"/>
              </w:rPr>
              <w:t>0.5</w:t>
            </w:r>
          </w:p>
        </w:tc>
        <w:tc>
          <w:tcPr>
            <w:tcW w:w="1953" w:type="dxa"/>
            <w:tcBorders>
              <w:tr2bl w:val="single" w:color="auto" w:sz="4" w:space="0"/>
            </w:tcBorders>
            <w:noWrap/>
            <w:vAlign w:val="center"/>
          </w:tcPr>
          <w:p>
            <w:pPr>
              <w:adjustRightInd w:val="0"/>
              <w:snapToGrid w:val="0"/>
              <w:jc w:val="center"/>
              <w:rPr>
                <w:rFonts w:ascii="Times New Roman" w:hAnsi="Times New Roman" w:eastAsia="仿宋_GB2312" w:cs="Times New Roman"/>
                <w:sz w:val="22"/>
              </w:rPr>
            </w:pPr>
          </w:p>
        </w:tc>
      </w:tr>
    </w:tbl>
    <w:p>
      <w:pPr>
        <w:spacing w:before="156" w:beforeLines="50" w:line="580" w:lineRule="exact"/>
        <w:ind w:firstLine="573"/>
        <w:rPr>
          <w:rFonts w:ascii="Times New Roman" w:hAnsi="Times New Roman" w:eastAsia="仿宋_GB2312" w:cs="Times New Roman"/>
          <w:sz w:val="28"/>
          <w:szCs w:val="28"/>
        </w:rPr>
      </w:pPr>
      <w:r>
        <w:rPr>
          <w:rFonts w:ascii="Times New Roman" w:hAnsi="Times New Roman" w:eastAsia="仿宋_GB2312" w:cs="Times New Roman"/>
          <w:sz w:val="28"/>
          <w:szCs w:val="28"/>
        </w:rPr>
        <w:t>（7）在条件允许的情况下，鼓励热源点之间供热管网互联互通，保障区域用热需求，提高供热可靠性。</w:t>
      </w:r>
    </w:p>
    <w:p>
      <w:pPr>
        <w:spacing w:line="580" w:lineRule="exact"/>
        <w:ind w:firstLine="570"/>
        <w:rPr>
          <w:rFonts w:ascii="Times New Roman" w:hAnsi="Times New Roman" w:eastAsia="仿宋_GB2312" w:cs="Times New Roman"/>
          <w:sz w:val="28"/>
          <w:szCs w:val="28"/>
        </w:rPr>
      </w:pPr>
      <w:r>
        <w:rPr>
          <w:rFonts w:ascii="Times New Roman" w:hAnsi="Times New Roman" w:eastAsia="仿宋_GB2312" w:cs="Times New Roman"/>
          <w:sz w:val="28"/>
          <w:szCs w:val="28"/>
        </w:rPr>
        <w:t>（8）管网主干线尽可能通过热负荷中心，在管网改建、扩建过程中，应尽可能做到新设计的管线不影响原有管道正常运行。</w:t>
      </w:r>
    </w:p>
    <w:p>
      <w:pPr>
        <w:pStyle w:val="3"/>
      </w:pPr>
      <w:bookmarkStart w:id="399" w:name="_Toc188636943"/>
      <w:r>
        <w:t>6.3供热管网布局</w:t>
      </w:r>
      <w:bookmarkEnd w:id="399"/>
    </w:p>
    <w:p>
      <w:pPr>
        <w:pStyle w:val="19"/>
        <w:spacing w:line="580" w:lineRule="exact"/>
        <w:ind w:firstLine="560" w:firstLineChars="200"/>
        <w:rPr>
          <w:rFonts w:eastAsia="仿宋_GB2312"/>
          <w:snapToGrid w:val="0"/>
          <w:color w:val="auto"/>
          <w:kern w:val="0"/>
        </w:rPr>
      </w:pPr>
      <w:r>
        <w:rPr>
          <w:rFonts w:eastAsia="仿宋_GB2312"/>
          <w:snapToGrid w:val="0"/>
          <w:color w:val="auto"/>
          <w:kern w:val="0"/>
        </w:rPr>
        <w:t>根据热源点的位置、热用户分布以及国土空间总体规划道路情况，进行热网布局规划。各热电厂管网情况如下：</w:t>
      </w:r>
    </w:p>
    <w:p>
      <w:pPr>
        <w:pStyle w:val="19"/>
        <w:spacing w:line="580" w:lineRule="exact"/>
        <w:ind w:firstLine="560" w:firstLineChars="200"/>
        <w:rPr>
          <w:rFonts w:eastAsia="仿宋_GB2312"/>
          <w:snapToGrid w:val="0"/>
          <w:color w:val="auto"/>
          <w:kern w:val="0"/>
        </w:rPr>
      </w:pPr>
      <w:r>
        <w:rPr>
          <w:rFonts w:eastAsia="仿宋_GB2312"/>
          <w:snapToGrid w:val="0"/>
          <w:color w:val="auto"/>
          <w:kern w:val="0"/>
        </w:rPr>
        <w:t>根据热源点的位置、热用户分布以及国土空间总体规划道路情况，进行热网布局规划。各热电厂管网情况如下：</w:t>
      </w:r>
    </w:p>
    <w:p>
      <w:pPr>
        <w:pStyle w:val="4"/>
      </w:pPr>
      <w:bookmarkStart w:id="400" w:name="_Toc188636944"/>
      <w:bookmarkStart w:id="401" w:name="_Toc144301048"/>
      <w:bookmarkStart w:id="402" w:name="_Toc171197892"/>
      <w:bookmarkStart w:id="403" w:name="_Toc144301267"/>
      <w:bookmarkStart w:id="404" w:name="_Toc181983802"/>
      <w:bookmarkStart w:id="405" w:name="_Toc183631819"/>
      <w:r>
        <w:rPr>
          <w:rFonts w:hint="eastAsia"/>
        </w:rPr>
        <w:t>6.3.1浙江宝峰热电有限公司</w:t>
      </w:r>
      <w:bookmarkEnd w:id="400"/>
      <w:bookmarkEnd w:id="401"/>
      <w:bookmarkEnd w:id="402"/>
      <w:bookmarkEnd w:id="403"/>
      <w:bookmarkEnd w:id="404"/>
      <w:bookmarkEnd w:id="405"/>
    </w:p>
    <w:p>
      <w:pPr>
        <w:spacing w:line="580" w:lineRule="exact"/>
        <w:ind w:firstLine="562" w:firstLineChars="200"/>
        <w:rPr>
          <w:rFonts w:ascii="Times New Roman" w:hAnsi="Times New Roman" w:eastAsia="仿宋_GB2312"/>
          <w:sz w:val="28"/>
          <w:szCs w:val="28"/>
        </w:rPr>
      </w:pPr>
      <w:r>
        <w:rPr>
          <w:rFonts w:hint="eastAsia" w:ascii="Times New Roman" w:hAnsi="Times New Roman" w:eastAsia="仿宋_GB2312" w:cs="Times New Roman"/>
          <w:b/>
          <w:color w:val="000000"/>
          <w:sz w:val="28"/>
          <w:szCs w:val="24"/>
          <w:lang w:bidi="ar"/>
        </w:rPr>
        <w:t>现有供热管网：</w:t>
      </w:r>
      <w:r>
        <w:rPr>
          <w:rFonts w:hint="eastAsia" w:ascii="Times New Roman" w:hAnsi="Times New Roman" w:eastAsia="仿宋_GB2312"/>
          <w:sz w:val="28"/>
          <w:szCs w:val="28"/>
        </w:rPr>
        <w:t>供热管道从热电厂出发后分四路路，第一路由宝峰热电厂区围墙外出发沿孙桥村金家沓、清寺河、永北路、昌浦港桥、320国道铺设，供应伟龙印染、金能达印染、恒生印染、金义家纺、鼎顺纺织等热用户，管路全长约9公里，管道口径为DN600、DN450、DN300。第二路由清寺河出发沿清寺河、老塘许线铺设，供应建利纺织、宏达高科等热用户，管路全长约4公里，管道口径为DN350。第三路由厂区围墙出发沿泥坝港河往北铺设，供应海龙建材、陈氏印染、荡湾印染、云强布业等热用户，管路全长约3公里，管道口径为DN350。第四路由厂区围墙出发沿泥坝港河、运输河、白龙港、太平河至前进工业区铺设，供应振海印染、恒励印染、华德利印染、利得宝印染、佳龙织染，许巷工业区、翁许路、景许路工业区、前进工业区等热用户，管路全长约13公里，管道口径为DN450、DN350、DN300、DN250等。</w:t>
      </w:r>
    </w:p>
    <w:p>
      <w:pPr>
        <w:spacing w:line="580" w:lineRule="exact"/>
        <w:ind w:firstLine="562" w:firstLineChars="200"/>
        <w:rPr>
          <w:rFonts w:ascii="Times New Roman" w:hAnsi="Times New Roman" w:eastAsia="仿宋_GB2312"/>
          <w:sz w:val="28"/>
          <w:szCs w:val="28"/>
        </w:rPr>
      </w:pPr>
      <w:r>
        <w:rPr>
          <w:rFonts w:hint="eastAsia" w:ascii="Times New Roman" w:hAnsi="Times New Roman" w:eastAsia="仿宋_GB2312" w:cs="Times New Roman"/>
          <w:b/>
          <w:color w:val="000000"/>
          <w:sz w:val="28"/>
          <w:szCs w:val="24"/>
          <w:lang w:bidi="ar"/>
        </w:rPr>
        <w:t>规划供热管网：</w:t>
      </w:r>
      <w:r>
        <w:rPr>
          <w:rFonts w:hint="eastAsia" w:ascii="Times New Roman" w:hAnsi="Times New Roman" w:eastAsia="仿宋_GB2312"/>
          <w:sz w:val="28"/>
          <w:szCs w:val="28"/>
        </w:rPr>
        <w:t>规划西线供热线路。第一路由泥坝港桥出发沿庄湾工业区铺设，供应时代汽车零部件等热用户，管路全长约2公里，管道口径为D</w:t>
      </w:r>
      <w:r>
        <w:rPr>
          <w:rFonts w:ascii="Times New Roman" w:hAnsi="Times New Roman" w:eastAsia="仿宋_GB2312"/>
          <w:sz w:val="28"/>
          <w:szCs w:val="28"/>
        </w:rPr>
        <w:t>N</w:t>
      </w:r>
      <w:r>
        <w:rPr>
          <w:rFonts w:hint="eastAsia" w:ascii="Times New Roman" w:hAnsi="Times New Roman" w:eastAsia="仿宋_GB2312"/>
          <w:sz w:val="28"/>
          <w:szCs w:val="28"/>
        </w:rPr>
        <w:t>300。第二路由厂区围墙外出发往沿规划锦绣路铺设至杭海新城，供应杭海新城商品房住宅用户，管路全长约3公里</w:t>
      </w:r>
      <w:r>
        <w:rPr>
          <w:rFonts w:ascii="Times New Roman" w:hAnsi="Times New Roman" w:eastAsia="仿宋_GB2312"/>
          <w:sz w:val="28"/>
          <w:szCs w:val="28"/>
        </w:rPr>
        <w:t>,</w:t>
      </w:r>
      <w:r>
        <w:rPr>
          <w:rFonts w:hint="eastAsia" w:ascii="Times New Roman" w:hAnsi="Times New Roman" w:eastAsia="仿宋_GB2312"/>
          <w:sz w:val="28"/>
          <w:szCs w:val="28"/>
        </w:rPr>
        <w:t>管道口径为D</w:t>
      </w:r>
      <w:r>
        <w:rPr>
          <w:rFonts w:ascii="Times New Roman" w:hAnsi="Times New Roman" w:eastAsia="仿宋_GB2312"/>
          <w:sz w:val="28"/>
          <w:szCs w:val="28"/>
        </w:rPr>
        <w:t>N</w:t>
      </w:r>
      <w:r>
        <w:rPr>
          <w:rFonts w:hint="eastAsia" w:ascii="Times New Roman" w:hAnsi="Times New Roman" w:eastAsia="仿宋_GB2312"/>
          <w:sz w:val="28"/>
          <w:szCs w:val="28"/>
        </w:rPr>
        <w:t>250。规划建设供热线路合计共5公里。</w:t>
      </w:r>
    </w:p>
    <w:p>
      <w:pPr>
        <w:pStyle w:val="4"/>
      </w:pPr>
      <w:bookmarkStart w:id="406" w:name="_Toc181983803"/>
      <w:bookmarkStart w:id="407" w:name="_Toc183631820"/>
      <w:bookmarkStart w:id="408" w:name="_Toc188636945"/>
      <w:bookmarkStart w:id="409" w:name="_Toc171197893"/>
      <w:bookmarkStart w:id="410" w:name="_Toc144301049"/>
      <w:bookmarkStart w:id="411" w:name="_Toc144301268"/>
      <w:r>
        <w:rPr>
          <w:rFonts w:hint="eastAsia"/>
        </w:rPr>
        <w:t>6.3.2海宁马桥大都市热电有限公司</w:t>
      </w:r>
      <w:bookmarkEnd w:id="406"/>
      <w:bookmarkEnd w:id="407"/>
      <w:bookmarkEnd w:id="408"/>
      <w:bookmarkEnd w:id="409"/>
      <w:bookmarkEnd w:id="410"/>
      <w:bookmarkEnd w:id="411"/>
    </w:p>
    <w:p>
      <w:pPr>
        <w:pStyle w:val="43"/>
        <w:spacing w:line="580" w:lineRule="exact"/>
        <w:ind w:firstLine="562"/>
        <w:rPr>
          <w:rFonts w:ascii="Times New Roman" w:hAnsi="Times New Roman" w:eastAsia="仿宋_GB2312"/>
          <w:sz w:val="28"/>
          <w:szCs w:val="28"/>
        </w:rPr>
      </w:pPr>
      <w:r>
        <w:rPr>
          <w:rFonts w:hint="eastAsia" w:ascii="Times New Roman" w:hAnsi="Times New Roman" w:eastAsia="仿宋_GB2312" w:cs="Times New Roman"/>
          <w:b/>
          <w:color w:val="000000"/>
          <w:sz w:val="28"/>
          <w:szCs w:val="24"/>
          <w:lang w:bidi="ar"/>
        </w:rPr>
        <w:t>现有供热管网：</w:t>
      </w:r>
      <w:r>
        <w:rPr>
          <w:rFonts w:hint="eastAsia" w:ascii="Times New Roman" w:hAnsi="Times New Roman" w:eastAsia="仿宋_GB2312"/>
          <w:sz w:val="28"/>
          <w:szCs w:val="28"/>
        </w:rPr>
        <w:t>供热管道从热电厂出发后分6路。第一路由电厂出发沿经都四路、经编二路、新民路、红旗路铺设，供应</w:t>
      </w:r>
      <w:bookmarkStart w:id="412" w:name="_Hlk139544578"/>
      <w:r>
        <w:rPr>
          <w:rFonts w:hint="eastAsia" w:ascii="Times New Roman" w:hAnsi="Times New Roman" w:eastAsia="仿宋_GB2312"/>
          <w:sz w:val="28"/>
          <w:szCs w:val="28"/>
        </w:rPr>
        <w:t>伟伦纺织</w:t>
      </w:r>
      <w:bookmarkEnd w:id="412"/>
      <w:r>
        <w:rPr>
          <w:rFonts w:hint="eastAsia" w:ascii="Times New Roman" w:hAnsi="Times New Roman" w:eastAsia="仿宋_GB2312"/>
          <w:sz w:val="28"/>
          <w:szCs w:val="28"/>
        </w:rPr>
        <w:t>、华昌纺织、中龙印染等51家热用户，管路全长约10公里，管道口径为DN600-50。第二路由电厂出发沿平阳堰港铺、戚姬港铺设，供应佳力印染、新万年染整、德塞尔印染等41家热用户，管路全长约23公里（总管二条），管道口径为DN450-50。第三路由电厂出发沿姚九线、新建路、洛塘河南侧铺设，供应昊吉力针织、新创纳、长海包装、卡森皮革等36家热用户，管路全长约28公里，管道口径为DN450-50。第四路由电厂出发沿平阳堰港铺设，供应康华医院、海宁皮革城、海州饭店、市政府等13家热用户，管路全长约15公里，管道口径为DN450-50。第五路（中压）由电厂出发沿平阳堰港铺设，供应佳力印染、新万年染整、宇承新材料等4家热用户，管路全长约8公里，管道口径为DN300-150。第六路（中压）由电厂出发沿丁国师桥港铺设，供应伟伦纺织、华昌纺织，共计2家热用户，管路全长约4公里，管道口径为DN250-150。</w:t>
      </w:r>
    </w:p>
    <w:p>
      <w:pPr>
        <w:spacing w:line="580" w:lineRule="exact"/>
        <w:ind w:firstLine="562" w:firstLineChars="200"/>
        <w:rPr>
          <w:rFonts w:ascii="等线" w:hAnsi="等线" w:eastAsia="等线" w:cs="宋体"/>
          <w:szCs w:val="21"/>
        </w:rPr>
      </w:pPr>
      <w:r>
        <w:rPr>
          <w:rFonts w:hint="eastAsia" w:ascii="Times New Roman" w:hAnsi="Times New Roman" w:eastAsia="仿宋_GB2312" w:cs="Times New Roman"/>
          <w:b/>
          <w:color w:val="000000"/>
          <w:sz w:val="28"/>
          <w:szCs w:val="24"/>
          <w:lang w:bidi="ar"/>
        </w:rPr>
        <w:t>规划供热管网：</w:t>
      </w:r>
      <w:r>
        <w:rPr>
          <w:rFonts w:hint="eastAsia" w:ascii="Times New Roman" w:hAnsi="Times New Roman" w:eastAsia="仿宋_GB2312"/>
          <w:sz w:val="28"/>
          <w:szCs w:val="28"/>
        </w:rPr>
        <w:t>规划</w:t>
      </w:r>
      <w:r>
        <w:rPr>
          <w:rFonts w:ascii="Times New Roman" w:hAnsi="Times New Roman" w:eastAsia="仿宋_GB2312"/>
          <w:sz w:val="28"/>
          <w:szCs w:val="28"/>
        </w:rPr>
        <w:t>2路供热线路。第一路由丁桥钱江园区佳力印染处出发沿戚姬港铺设，供应金茂经编等热用户，管路全长约1.4公里，管道口径为DN200。第二路由斜桥镇前步桥出发沿油车港铺设，供应斜桥蔬菜园区等热用户，管路全长约1.5公里，管道口径为DN200。规划建设供热线路合计约2.9公里</w:t>
      </w:r>
      <w:r>
        <w:rPr>
          <w:rFonts w:hint="eastAsia" w:ascii="Times New Roman" w:hAnsi="Times New Roman" w:eastAsia="仿宋_GB2312"/>
          <w:sz w:val="28"/>
          <w:szCs w:val="28"/>
        </w:rPr>
        <w:t>。</w:t>
      </w:r>
    </w:p>
    <w:p>
      <w:pPr>
        <w:pStyle w:val="4"/>
      </w:pPr>
      <w:bookmarkStart w:id="413" w:name="_Toc183631821"/>
      <w:bookmarkStart w:id="414" w:name="_Toc144301269"/>
      <w:bookmarkStart w:id="415" w:name="_Toc171197894"/>
      <w:bookmarkStart w:id="416" w:name="_Toc181983804"/>
      <w:bookmarkStart w:id="417" w:name="_Toc188636946"/>
      <w:bookmarkStart w:id="418" w:name="_Toc144301050"/>
      <w:r>
        <w:rPr>
          <w:rFonts w:hint="eastAsia"/>
        </w:rPr>
        <w:t>6.3.3海宁光耀热电有限公司</w:t>
      </w:r>
      <w:bookmarkEnd w:id="413"/>
      <w:bookmarkEnd w:id="414"/>
      <w:bookmarkEnd w:id="415"/>
      <w:bookmarkEnd w:id="416"/>
      <w:bookmarkEnd w:id="417"/>
      <w:bookmarkEnd w:id="418"/>
    </w:p>
    <w:p>
      <w:pPr>
        <w:spacing w:line="580" w:lineRule="exact"/>
        <w:ind w:firstLine="562" w:firstLineChars="200"/>
        <w:rPr>
          <w:rFonts w:ascii="Times New Roman" w:hAnsi="Times New Roman" w:eastAsia="仿宋_GB2312" w:cs="Times New Roman"/>
          <w:b/>
          <w:color w:val="000000"/>
          <w:sz w:val="28"/>
          <w:szCs w:val="24"/>
          <w:lang w:bidi="ar"/>
        </w:rPr>
      </w:pPr>
      <w:r>
        <w:rPr>
          <w:rFonts w:hint="eastAsia" w:ascii="Times New Roman" w:hAnsi="Times New Roman" w:eastAsia="仿宋_GB2312" w:cs="Times New Roman"/>
          <w:b/>
          <w:color w:val="000000"/>
          <w:sz w:val="28"/>
          <w:szCs w:val="24"/>
          <w:lang w:bidi="ar"/>
        </w:rPr>
        <w:t>现有供热管网：</w:t>
      </w:r>
      <w:r>
        <w:rPr>
          <w:rFonts w:hint="eastAsia" w:ascii="Times New Roman" w:hAnsi="Times New Roman" w:eastAsia="仿宋_GB2312"/>
          <w:sz w:val="28"/>
          <w:szCs w:val="28"/>
        </w:rPr>
        <w:t>1#站：供热管道从1#站出发后分三路，第一路由DN500总管出发沿东铺设，供应芯美生物、荣鑫染整、路宝经编、敦奴服饰、安正时尚等热用户，管路全长约25公里，管道口径为DN400~DN65。第二路由1#站DN500总管出发沿西铺设，供应同兴智慧园、罗纳服饰、针永体育等热用户，管路全长约4.3公里，管道口径为DN350~DN50。第三路由1#站DN500总管出发沿南铺设，供应八方水洗等热用户，管路全长约1.5公里，管道口径为DN350~DN50。2#站：供热管道从2#站出发后分两路，第一路由2#站DN500总管出发沿北方向铺设，供应红狮、华立、皮意等热用户，管路全长约4.1公里，管道口径为DN500~DN100。第二路由2#站DN500总管出发沿西铺设，供应多元、得伟、钱江生化等热用户，管路全长约16.9公里，管道口径为DN500~DN50。</w:t>
      </w:r>
    </w:p>
    <w:p>
      <w:pPr>
        <w:spacing w:line="580" w:lineRule="exact"/>
        <w:ind w:firstLine="562" w:firstLineChars="200"/>
        <w:rPr>
          <w:rFonts w:ascii="Times New Roman" w:hAnsi="Times New Roman" w:eastAsia="仿宋_GB2312" w:cs="Times New Roman"/>
          <w:color w:val="000000"/>
          <w:sz w:val="28"/>
          <w:szCs w:val="24"/>
        </w:rPr>
      </w:pPr>
      <w:r>
        <w:rPr>
          <w:rFonts w:hint="eastAsia" w:ascii="Times New Roman" w:hAnsi="Times New Roman" w:eastAsia="仿宋_GB2312" w:cs="Times New Roman"/>
          <w:b/>
          <w:color w:val="000000"/>
          <w:sz w:val="28"/>
          <w:szCs w:val="24"/>
          <w:lang w:bidi="ar"/>
        </w:rPr>
        <w:t>规划供热管网：</w:t>
      </w:r>
      <w:r>
        <w:rPr>
          <w:rFonts w:hint="eastAsia" w:ascii="Times New Roman" w:hAnsi="Times New Roman" w:eastAsia="仿宋_GB2312" w:cs="Times New Roman"/>
          <w:color w:val="000000"/>
          <w:sz w:val="28"/>
          <w:szCs w:val="24"/>
          <w:lang w:bidi="ar"/>
        </w:rPr>
        <w:t>根据区域热负荷增长及热用户分布情况，维持现有供热管网即可。</w:t>
      </w:r>
    </w:p>
    <w:p>
      <w:pPr>
        <w:pStyle w:val="4"/>
      </w:pPr>
      <w:bookmarkStart w:id="419" w:name="_Toc171197895"/>
      <w:bookmarkStart w:id="420" w:name="_Toc144301051"/>
      <w:bookmarkStart w:id="421" w:name="_Toc144301270"/>
      <w:bookmarkStart w:id="422" w:name="_Toc181983805"/>
      <w:bookmarkStart w:id="423" w:name="_Toc183631822"/>
      <w:bookmarkStart w:id="424" w:name="_Toc188636947"/>
      <w:r>
        <w:rPr>
          <w:rFonts w:hint="eastAsia"/>
        </w:rPr>
        <w:t>6.3.4海宁恒逸热电有限公司</w:t>
      </w:r>
      <w:bookmarkEnd w:id="419"/>
      <w:bookmarkEnd w:id="420"/>
      <w:bookmarkEnd w:id="421"/>
      <w:bookmarkEnd w:id="422"/>
      <w:bookmarkEnd w:id="423"/>
      <w:bookmarkEnd w:id="424"/>
    </w:p>
    <w:p>
      <w:pPr>
        <w:spacing w:line="580" w:lineRule="exact"/>
        <w:ind w:firstLine="562" w:firstLineChars="200"/>
        <w:rPr>
          <w:rFonts w:ascii="Times New Roman" w:hAnsi="Times New Roman" w:eastAsia="仿宋_GB2312" w:cs="Times New Roman"/>
          <w:color w:val="000000"/>
          <w:sz w:val="28"/>
          <w:szCs w:val="24"/>
          <w:lang w:bidi="ar"/>
        </w:rPr>
      </w:pPr>
      <w:r>
        <w:rPr>
          <w:rFonts w:hint="eastAsia" w:ascii="Times New Roman" w:hAnsi="Times New Roman" w:eastAsia="仿宋_GB2312" w:cs="Times New Roman"/>
          <w:b/>
          <w:color w:val="000000"/>
          <w:sz w:val="28"/>
          <w:szCs w:val="24"/>
          <w:lang w:bidi="ar"/>
        </w:rPr>
        <w:t>现有供热管网：</w:t>
      </w:r>
      <w:r>
        <w:rPr>
          <w:rFonts w:hint="eastAsia" w:ascii="Times New Roman" w:hAnsi="Times New Roman" w:eastAsia="仿宋_GB2312" w:cs="Times New Roman"/>
          <w:color w:val="000000"/>
          <w:sz w:val="28"/>
          <w:szCs w:val="24"/>
          <w:lang w:bidi="ar"/>
        </w:rPr>
        <w:t>供热管道从热电厂出发后分</w:t>
      </w:r>
      <w:r>
        <w:rPr>
          <w:rFonts w:ascii="Times New Roman" w:hAnsi="Times New Roman" w:eastAsia="仿宋_GB2312" w:cs="Times New Roman"/>
          <w:color w:val="000000"/>
          <w:sz w:val="28"/>
          <w:szCs w:val="24"/>
          <w:lang w:bidi="ar"/>
        </w:rPr>
        <w:t>4路，第一路由热电出发沿公司内部管廊铺设，供应恒逸新材料聚酯装置，管路全长约2</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，管道口径为DN400。第二路由热电出发沿公司内部管廊铺设，供应恒逸新材料其他热用户，管路全长约3</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，管道口径为DN400。第三路由热电出发沿万凯公司南围墙铺设，供应联鑫板材公司，管路全长约2</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，管道口径为DN300。第四路由热电出发沿凤凰河铺设，供应鑫宁农业公司，管路全长约3</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，管道口径为DN200。</w:t>
      </w:r>
    </w:p>
    <w:p>
      <w:pPr>
        <w:spacing w:line="580" w:lineRule="exact"/>
        <w:ind w:firstLine="562" w:firstLineChars="200"/>
        <w:rPr>
          <w:rFonts w:ascii="Times New Roman" w:hAnsi="Times New Roman" w:eastAsia="仿宋_GB2312" w:cs="Times New Roman"/>
          <w:color w:val="000000"/>
          <w:sz w:val="28"/>
          <w:szCs w:val="24"/>
          <w:lang w:bidi="ar"/>
        </w:rPr>
      </w:pPr>
      <w:r>
        <w:rPr>
          <w:rFonts w:hint="eastAsia" w:ascii="Times New Roman" w:hAnsi="Times New Roman" w:eastAsia="仿宋_GB2312" w:cs="Times New Roman"/>
          <w:b/>
          <w:color w:val="000000"/>
          <w:sz w:val="28"/>
          <w:szCs w:val="24"/>
          <w:lang w:bidi="ar"/>
        </w:rPr>
        <w:t>规划供热管网：</w:t>
      </w:r>
      <w:r>
        <w:rPr>
          <w:rFonts w:hint="eastAsia" w:ascii="Times New Roman" w:hAnsi="Times New Roman" w:eastAsia="仿宋_GB2312" w:cs="Times New Roman"/>
          <w:color w:val="000000"/>
          <w:sz w:val="28"/>
          <w:szCs w:val="24"/>
          <w:lang w:bidi="ar"/>
        </w:rPr>
        <w:t>规划新增高压蒸汽管线，由现厂房西端至热电界区，长度约</w:t>
      </w:r>
      <w:r>
        <w:rPr>
          <w:rFonts w:ascii="Times New Roman" w:hAnsi="Times New Roman" w:eastAsia="仿宋_GB2312" w:cs="Times New Roman"/>
          <w:color w:val="000000"/>
          <w:sz w:val="28"/>
          <w:szCs w:val="24"/>
          <w:lang w:bidi="ar"/>
        </w:rPr>
        <w:t>1</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，管径DN400；低压蒸汽管线利用原蒸汽管网，不</w:t>
      </w:r>
      <w:r>
        <w:rPr>
          <w:rFonts w:hint="eastAsia" w:ascii="Times New Roman" w:hAnsi="Times New Roman" w:eastAsia="仿宋_GB2312" w:cs="Times New Roman"/>
          <w:color w:val="000000"/>
          <w:sz w:val="28"/>
          <w:szCs w:val="24"/>
          <w:lang w:bidi="ar"/>
        </w:rPr>
        <w:t>再新建</w:t>
      </w:r>
      <w:r>
        <w:rPr>
          <w:rFonts w:ascii="Times New Roman" w:hAnsi="Times New Roman" w:eastAsia="仿宋_GB2312" w:cs="Times New Roman"/>
          <w:color w:val="000000"/>
          <w:sz w:val="28"/>
          <w:szCs w:val="24"/>
          <w:lang w:bidi="ar"/>
        </w:rPr>
        <w:t>。</w:t>
      </w:r>
    </w:p>
    <w:p>
      <w:pPr>
        <w:pStyle w:val="4"/>
      </w:pPr>
      <w:bookmarkStart w:id="425" w:name="_Toc171197896"/>
      <w:bookmarkStart w:id="426" w:name="_Toc144301271"/>
      <w:bookmarkStart w:id="427" w:name="_Toc181983806"/>
      <w:bookmarkStart w:id="428" w:name="_Toc144301052"/>
      <w:bookmarkStart w:id="429" w:name="_Toc183631823"/>
      <w:bookmarkStart w:id="430" w:name="_Toc188636948"/>
      <w:r>
        <w:rPr>
          <w:rFonts w:hint="eastAsia"/>
        </w:rPr>
        <w:t>6.3.5海宁市红宝热电有限公司</w:t>
      </w:r>
      <w:bookmarkEnd w:id="425"/>
      <w:bookmarkEnd w:id="426"/>
      <w:bookmarkEnd w:id="427"/>
      <w:bookmarkEnd w:id="428"/>
      <w:bookmarkEnd w:id="429"/>
      <w:bookmarkEnd w:id="430"/>
    </w:p>
    <w:p>
      <w:pPr>
        <w:spacing w:line="580" w:lineRule="exact"/>
        <w:ind w:firstLine="562" w:firstLineChars="200"/>
        <w:rPr>
          <w:rFonts w:ascii="Times New Roman" w:hAnsi="Times New Roman" w:eastAsia="仿宋_GB2312" w:cs="Times New Roman"/>
          <w:color w:val="000000"/>
          <w:sz w:val="28"/>
          <w:szCs w:val="24"/>
          <w:lang w:bidi="ar"/>
        </w:rPr>
      </w:pPr>
      <w:r>
        <w:rPr>
          <w:rFonts w:hint="eastAsia" w:ascii="Times New Roman" w:hAnsi="Times New Roman" w:eastAsia="仿宋_GB2312" w:cs="Times New Roman"/>
          <w:b/>
          <w:color w:val="000000"/>
          <w:sz w:val="28"/>
          <w:szCs w:val="24"/>
          <w:lang w:bidi="ar"/>
        </w:rPr>
        <w:t>现有供热管网：</w:t>
      </w:r>
      <w:r>
        <w:rPr>
          <w:rFonts w:hint="eastAsia" w:ascii="Times New Roman" w:hAnsi="Times New Roman" w:eastAsia="仿宋_GB2312" w:cs="Times New Roman"/>
          <w:color w:val="000000"/>
          <w:sz w:val="28"/>
          <w:szCs w:val="24"/>
          <w:lang w:bidi="ar"/>
        </w:rPr>
        <w:t>供热管道从热电厂出发后分六路，第一路由电厂出发沿中堤路铺设，供应华元纺织等热用户，管路全长约</w:t>
      </w:r>
      <w:r>
        <w:rPr>
          <w:rFonts w:ascii="Times New Roman" w:hAnsi="Times New Roman" w:eastAsia="仿宋_GB2312" w:cs="Times New Roman"/>
          <w:color w:val="000000"/>
          <w:sz w:val="28"/>
          <w:szCs w:val="24"/>
          <w:lang w:bidi="ar"/>
        </w:rPr>
        <w:t>4</w:t>
      </w:r>
      <w:r>
        <w:rPr>
          <w:rFonts w:hint="eastAsia" w:ascii="Times New Roman" w:hAnsi="Times New Roman" w:eastAsia="仿宋_GB2312" w:cs="Times New Roman"/>
          <w:color w:val="000000"/>
          <w:sz w:val="28"/>
          <w:szCs w:val="24"/>
          <w:lang w:bidi="ar"/>
        </w:rPr>
        <w:t>.</w:t>
      </w:r>
      <w:r>
        <w:rPr>
          <w:rFonts w:ascii="Times New Roman" w:hAnsi="Times New Roman" w:eastAsia="仿宋_GB2312" w:cs="Times New Roman"/>
          <w:color w:val="000000"/>
          <w:sz w:val="28"/>
          <w:szCs w:val="24"/>
          <w:lang w:bidi="ar"/>
        </w:rPr>
        <w:t>36</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，管道口径为DN426。第二路由电厂出发沿新一路铺设，供应森宝印染等热用户，管路全长约1</w:t>
      </w:r>
      <w:r>
        <w:rPr>
          <w:rFonts w:hint="eastAsia" w:ascii="Times New Roman" w:hAnsi="Times New Roman" w:eastAsia="仿宋_GB2312" w:cs="Times New Roman"/>
          <w:color w:val="000000"/>
          <w:sz w:val="28"/>
          <w:szCs w:val="24"/>
          <w:lang w:bidi="ar"/>
        </w:rPr>
        <w:t>.</w:t>
      </w:r>
      <w:r>
        <w:rPr>
          <w:rFonts w:ascii="Times New Roman" w:hAnsi="Times New Roman" w:eastAsia="仿宋_GB2312" w:cs="Times New Roman"/>
          <w:color w:val="000000"/>
          <w:sz w:val="28"/>
          <w:szCs w:val="24"/>
          <w:lang w:bidi="ar"/>
        </w:rPr>
        <w:t>9</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，管道口径为DN426。第三路由电厂出发沿中堤路、中心河、白沙路铺设，供应雅昌、鑫港源印染等热用户，管路全长约4</w:t>
      </w:r>
      <w:r>
        <w:rPr>
          <w:rFonts w:hint="eastAsia" w:ascii="Times New Roman" w:hAnsi="Times New Roman" w:eastAsia="仿宋_GB2312" w:cs="Times New Roman"/>
          <w:color w:val="000000"/>
          <w:sz w:val="28"/>
          <w:szCs w:val="24"/>
          <w:lang w:bidi="ar"/>
        </w:rPr>
        <w:t>.</w:t>
      </w:r>
      <w:r>
        <w:rPr>
          <w:rFonts w:ascii="Times New Roman" w:hAnsi="Times New Roman" w:eastAsia="仿宋_GB2312" w:cs="Times New Roman"/>
          <w:color w:val="000000"/>
          <w:sz w:val="28"/>
          <w:szCs w:val="24"/>
          <w:lang w:bidi="ar"/>
        </w:rPr>
        <w:t>5</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，管道口径为DN426；第四路由电厂出发沿中堤路、中心河、秋潮路铺设，供应恒力羊绒、诚信包装、龙氏包装等热用户，管路全长约5</w:t>
      </w:r>
      <w:r>
        <w:rPr>
          <w:rFonts w:hint="eastAsia" w:ascii="Times New Roman" w:hAnsi="Times New Roman" w:eastAsia="仿宋_GB2312" w:cs="Times New Roman"/>
          <w:color w:val="000000"/>
          <w:sz w:val="28"/>
          <w:szCs w:val="24"/>
          <w:lang w:bidi="ar"/>
        </w:rPr>
        <w:t>.</w:t>
      </w:r>
      <w:r>
        <w:rPr>
          <w:rFonts w:ascii="Times New Roman" w:hAnsi="Times New Roman" w:eastAsia="仿宋_GB2312" w:cs="Times New Roman"/>
          <w:color w:val="000000"/>
          <w:sz w:val="28"/>
          <w:szCs w:val="24"/>
          <w:lang w:bidi="ar"/>
        </w:rPr>
        <w:t>5</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，管道口径为DN426-377-273。第五路电厂至娃哈哈延之</w:t>
      </w:r>
      <w:r>
        <w:rPr>
          <w:rFonts w:hint="eastAsia" w:ascii="Times New Roman" w:hAnsi="Times New Roman" w:eastAsia="仿宋_GB2312" w:cs="Times New Roman"/>
          <w:color w:val="000000"/>
          <w:sz w:val="28"/>
          <w:szCs w:val="24"/>
          <w:lang w:bidi="ar"/>
        </w:rPr>
        <w:t>江路铺设，全长</w:t>
      </w:r>
      <w:r>
        <w:rPr>
          <w:rFonts w:ascii="Times New Roman" w:hAnsi="Times New Roman" w:eastAsia="仿宋_GB2312" w:cs="Times New Roman"/>
          <w:color w:val="000000"/>
          <w:sz w:val="28"/>
          <w:szCs w:val="24"/>
          <w:lang w:bidi="ar"/>
        </w:rPr>
        <w:t>3</w:t>
      </w:r>
      <w:r>
        <w:rPr>
          <w:rFonts w:hint="eastAsia" w:ascii="Times New Roman" w:hAnsi="Times New Roman" w:eastAsia="仿宋_GB2312" w:cs="Times New Roman"/>
          <w:color w:val="000000"/>
          <w:sz w:val="28"/>
          <w:szCs w:val="24"/>
          <w:lang w:bidi="ar"/>
        </w:rPr>
        <w:t>.</w:t>
      </w:r>
      <w:r>
        <w:rPr>
          <w:rFonts w:ascii="Times New Roman" w:hAnsi="Times New Roman" w:eastAsia="仿宋_GB2312" w:cs="Times New Roman"/>
          <w:color w:val="000000"/>
          <w:sz w:val="28"/>
          <w:szCs w:val="24"/>
          <w:lang w:bidi="ar"/>
        </w:rPr>
        <w:t>4</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，管径426，供应娃哈哈等企业。第六路中温中压路线同第三路铺设全长</w:t>
      </w:r>
      <w:r>
        <w:rPr>
          <w:rFonts w:hint="eastAsia" w:ascii="Times New Roman" w:hAnsi="Times New Roman" w:eastAsia="仿宋_GB2312" w:cs="Times New Roman"/>
          <w:color w:val="000000"/>
          <w:sz w:val="28"/>
          <w:szCs w:val="24"/>
          <w:lang w:bidi="ar"/>
        </w:rPr>
        <w:t>约</w:t>
      </w:r>
      <w:r>
        <w:rPr>
          <w:rFonts w:ascii="Times New Roman" w:hAnsi="Times New Roman" w:eastAsia="仿宋_GB2312" w:cs="Times New Roman"/>
          <w:color w:val="000000"/>
          <w:sz w:val="28"/>
          <w:szCs w:val="24"/>
          <w:lang w:bidi="ar"/>
        </w:rPr>
        <w:t>4</w:t>
      </w:r>
      <w:r>
        <w:rPr>
          <w:rFonts w:hint="eastAsia" w:ascii="Times New Roman" w:hAnsi="Times New Roman" w:eastAsia="仿宋_GB2312" w:cs="Times New Roman"/>
          <w:color w:val="000000"/>
          <w:sz w:val="28"/>
          <w:szCs w:val="24"/>
          <w:lang w:bidi="ar"/>
        </w:rPr>
        <w:t>.</w:t>
      </w:r>
      <w:r>
        <w:rPr>
          <w:rFonts w:ascii="Times New Roman" w:hAnsi="Times New Roman" w:eastAsia="仿宋_GB2312" w:cs="Times New Roman"/>
          <w:color w:val="000000"/>
          <w:sz w:val="28"/>
          <w:szCs w:val="24"/>
          <w:lang w:bidi="ar"/>
        </w:rPr>
        <w:t>05</w:t>
      </w:r>
      <w:r>
        <w:rPr>
          <w:rFonts w:hint="eastAsia" w:ascii="Times New Roman" w:hAnsi="Times New Roman" w:eastAsia="仿宋_GB2312"/>
          <w:sz w:val="28"/>
          <w:szCs w:val="28"/>
        </w:rPr>
        <w:t>公里</w:t>
      </w:r>
      <w:r>
        <w:rPr>
          <w:rFonts w:ascii="Times New Roman" w:hAnsi="Times New Roman" w:eastAsia="仿宋_GB2312" w:cs="Times New Roman"/>
          <w:color w:val="000000"/>
          <w:sz w:val="28"/>
          <w:szCs w:val="24"/>
          <w:lang w:bidi="ar"/>
        </w:rPr>
        <w:t>，供应沿途中温中压用户，管径DN325-159。</w:t>
      </w:r>
    </w:p>
    <w:p>
      <w:pPr>
        <w:spacing w:line="580" w:lineRule="exact"/>
        <w:ind w:firstLine="562" w:firstLineChars="200"/>
        <w:rPr>
          <w:rFonts w:ascii="Times New Roman" w:hAnsi="Times New Roman" w:eastAsia="仿宋_GB2312" w:cs="Times New Roman"/>
          <w:color w:val="000000"/>
          <w:sz w:val="28"/>
          <w:szCs w:val="24"/>
          <w:lang w:bidi="ar"/>
        </w:rPr>
      </w:pPr>
      <w:r>
        <w:rPr>
          <w:rFonts w:hint="eastAsia" w:ascii="Times New Roman" w:hAnsi="Times New Roman" w:eastAsia="仿宋_GB2312" w:cs="Times New Roman"/>
          <w:b/>
          <w:color w:val="000000"/>
          <w:sz w:val="28"/>
          <w:szCs w:val="24"/>
          <w:lang w:bidi="ar"/>
        </w:rPr>
        <w:t>规划供热管网：</w:t>
      </w:r>
      <w:r>
        <w:rPr>
          <w:rFonts w:hint="eastAsia" w:ascii="Times New Roman" w:hAnsi="Times New Roman" w:eastAsia="仿宋_GB2312" w:cs="Times New Roman"/>
          <w:color w:val="000000"/>
          <w:sz w:val="28"/>
          <w:szCs w:val="24"/>
          <w:lang w:bidi="ar"/>
        </w:rPr>
        <w:t>规划新敷设三路管线。第一路为东线，由新厂址出发往浙江泰亿能源有限公司铺设，经过仰山路、东西大道，管路全长约9.8公里，分别为低压和中压两支管道，其中低压管道口径为DN600，中压管道口径为DN250，中压用户目前有帝龙永孚新材料、兄弟科技等</w:t>
      </w:r>
      <w:r>
        <w:rPr>
          <w:rFonts w:ascii="Times New Roman" w:hAnsi="Times New Roman" w:eastAsia="仿宋_GB2312" w:cs="Times New Roman"/>
          <w:color w:val="000000"/>
          <w:sz w:val="28"/>
          <w:szCs w:val="24"/>
          <w:lang w:bidi="ar"/>
        </w:rPr>
        <w:t>。第二路为西线，由新厂址出发往总分气缸铺设，经过潮涌路、新兴路、栋梁路，管路全长约6.5公里，管道口径为DN500。第三路为北线，由新厂址出发往新世纪皮鞋铺设，经过仰山路、崇长线，管路全长约9公里，管道口径为DN400。此外，海宁红宝热电有限公司对浙江泰亿能源有限公司供热管网采用租赁或收购的模式，尽可能利用原有管路</w:t>
      </w:r>
      <w:r>
        <w:rPr>
          <w:rFonts w:hint="eastAsia" w:ascii="Times New Roman" w:hAnsi="Times New Roman" w:eastAsia="仿宋_GB2312" w:cs="Times New Roman"/>
          <w:color w:val="000000"/>
          <w:sz w:val="28"/>
          <w:szCs w:val="24"/>
          <w:lang w:bidi="ar"/>
        </w:rPr>
        <w:t>对</w:t>
      </w:r>
      <w:r>
        <w:rPr>
          <w:rFonts w:ascii="Times New Roman" w:hAnsi="Times New Roman" w:eastAsia="仿宋_GB2312" w:cs="Times New Roman"/>
          <w:color w:val="000000"/>
          <w:sz w:val="28"/>
          <w:szCs w:val="24"/>
          <w:lang w:bidi="ar"/>
        </w:rPr>
        <w:t>浙江泰亿能源有限公司</w:t>
      </w:r>
      <w:r>
        <w:rPr>
          <w:rFonts w:hint="eastAsia" w:ascii="Times New Roman" w:hAnsi="Times New Roman" w:eastAsia="仿宋_GB2312" w:cs="Times New Roman"/>
          <w:color w:val="000000"/>
          <w:sz w:val="28"/>
          <w:szCs w:val="24"/>
          <w:lang w:bidi="ar"/>
        </w:rPr>
        <w:t>原有的热用户</w:t>
      </w:r>
      <w:r>
        <w:rPr>
          <w:rFonts w:ascii="Times New Roman" w:hAnsi="Times New Roman" w:eastAsia="仿宋_GB2312" w:cs="Times New Roman"/>
          <w:color w:val="000000"/>
          <w:sz w:val="28"/>
          <w:szCs w:val="24"/>
          <w:lang w:bidi="ar"/>
        </w:rPr>
        <w:t>进行集中供热</w:t>
      </w:r>
      <w:r>
        <w:rPr>
          <w:rFonts w:hint="eastAsia" w:ascii="Times New Roman" w:hAnsi="Times New Roman" w:eastAsia="仿宋_GB2312" w:cs="Times New Roman"/>
          <w:color w:val="000000"/>
          <w:sz w:val="28"/>
          <w:szCs w:val="24"/>
          <w:lang w:bidi="ar"/>
        </w:rPr>
        <w:t>。</w:t>
      </w:r>
    </w:p>
    <w:p>
      <w:pPr>
        <w:pStyle w:val="4"/>
      </w:pPr>
      <w:bookmarkStart w:id="431" w:name="_Toc181983807"/>
      <w:bookmarkStart w:id="432" w:name="_Toc183631824"/>
      <w:bookmarkStart w:id="433" w:name="_Toc188636949"/>
      <w:bookmarkStart w:id="434" w:name="_Toc144301272"/>
      <w:bookmarkStart w:id="435" w:name="_Toc144301053"/>
      <w:bookmarkStart w:id="436" w:name="_Toc171197897"/>
      <w:r>
        <w:rPr>
          <w:rFonts w:hint="eastAsia"/>
        </w:rPr>
        <w:t>6.3.6浙江泰亿能源有限公司</w:t>
      </w:r>
      <w:bookmarkEnd w:id="431"/>
      <w:bookmarkEnd w:id="432"/>
      <w:bookmarkEnd w:id="433"/>
      <w:bookmarkEnd w:id="434"/>
      <w:bookmarkEnd w:id="435"/>
      <w:bookmarkEnd w:id="436"/>
    </w:p>
    <w:p>
      <w:pPr>
        <w:spacing w:line="580" w:lineRule="exact"/>
        <w:ind w:firstLine="562" w:firstLineChars="200"/>
        <w:rPr>
          <w:rFonts w:ascii="Times New Roman" w:hAnsi="Times New Roman" w:eastAsia="仿宋_GB2312" w:cs="Times New Roman"/>
          <w:color w:val="000000"/>
          <w:sz w:val="28"/>
          <w:szCs w:val="24"/>
          <w:lang w:bidi="ar"/>
        </w:rPr>
      </w:pPr>
      <w:r>
        <w:rPr>
          <w:rFonts w:hint="eastAsia" w:ascii="Times New Roman" w:hAnsi="Times New Roman" w:eastAsia="仿宋_GB2312" w:cs="Times New Roman"/>
          <w:b/>
          <w:color w:val="000000"/>
          <w:sz w:val="28"/>
          <w:szCs w:val="24"/>
          <w:lang w:bidi="ar"/>
        </w:rPr>
        <w:t>现有供热管网：</w:t>
      </w:r>
      <w:r>
        <w:rPr>
          <w:rFonts w:hint="eastAsia" w:ascii="Times New Roman" w:hAnsi="Times New Roman" w:eastAsia="仿宋_GB2312" w:cs="Times New Roman"/>
          <w:color w:val="000000"/>
          <w:sz w:val="28"/>
          <w:szCs w:val="24"/>
          <w:lang w:bidi="ar"/>
        </w:rPr>
        <w:t>供热管道从热电厂出发后分</w:t>
      </w:r>
      <w:r>
        <w:rPr>
          <w:rFonts w:ascii="Times New Roman" w:hAnsi="Times New Roman" w:eastAsia="仿宋_GB2312" w:cs="Times New Roman"/>
          <w:color w:val="000000"/>
          <w:sz w:val="28"/>
          <w:szCs w:val="24"/>
          <w:lang w:bidi="ar"/>
        </w:rPr>
        <w:t>2路，第一路由热电厂出发沿新坝港向南铺设，供应帝龙永孚、盛华包装、宏成化工、新豪包装等热用户，管路全长约4公里，管道口径为DN400。第二路由热电厂出发沿新坝港向北铺设，供应兄弟科技、凤鸣叶绿素、艾兰得、兄弟皮革等热用户，管路全长约26公里，管道口径为DN400。</w:t>
      </w:r>
    </w:p>
    <w:p>
      <w:pPr>
        <w:spacing w:line="580" w:lineRule="exact"/>
        <w:ind w:firstLine="562" w:firstLineChars="200"/>
        <w:rPr>
          <w:rFonts w:ascii="Times New Roman" w:hAnsi="Times New Roman" w:eastAsia="仿宋_GB2312" w:cs="Times New Roman"/>
          <w:color w:val="000000"/>
          <w:sz w:val="28"/>
          <w:szCs w:val="24"/>
          <w:lang w:bidi="ar"/>
        </w:rPr>
      </w:pPr>
      <w:r>
        <w:rPr>
          <w:rFonts w:hint="eastAsia" w:ascii="Times New Roman" w:hAnsi="Times New Roman" w:eastAsia="仿宋_GB2312" w:cs="Times New Roman"/>
          <w:b/>
          <w:color w:val="000000"/>
          <w:sz w:val="28"/>
          <w:szCs w:val="24"/>
          <w:lang w:bidi="ar"/>
        </w:rPr>
        <w:t>规划供热管网：</w:t>
      </w:r>
      <w:r>
        <w:rPr>
          <w:rFonts w:hint="eastAsia" w:ascii="Times New Roman" w:hAnsi="Times New Roman" w:eastAsia="仿宋_GB2312" w:cs="Times New Roman"/>
          <w:color w:val="000000"/>
          <w:sz w:val="28"/>
          <w:szCs w:val="24"/>
          <w:lang w:bidi="ar"/>
        </w:rPr>
        <w:t>根据区域热负荷增长及热用户分布情况，维持现有供热管网即可。待浙江泰亿能源有限公司关停后，其现有供热管网通过租赁或收购的模式交给海宁市红宝热电有限公司进行集中供热。</w:t>
      </w:r>
    </w:p>
    <w:p>
      <w:pPr>
        <w:pStyle w:val="4"/>
      </w:pPr>
      <w:bookmarkStart w:id="437" w:name="_Toc188636950"/>
      <w:bookmarkStart w:id="438" w:name="_Toc183631825"/>
      <w:bookmarkStart w:id="439" w:name="_Toc181983808"/>
      <w:r>
        <w:rPr>
          <w:rFonts w:hint="eastAsia"/>
        </w:rPr>
        <w:t>6.3.</w:t>
      </w:r>
      <w:r>
        <w:t>7</w:t>
      </w:r>
      <w:r>
        <w:rPr>
          <w:rFonts w:hint="eastAsia"/>
        </w:rPr>
        <w:t>尖山新区第二公共热源点</w:t>
      </w:r>
      <w:bookmarkEnd w:id="437"/>
      <w:bookmarkEnd w:id="438"/>
      <w:bookmarkEnd w:id="439"/>
    </w:p>
    <w:p>
      <w:pPr>
        <w:pStyle w:val="61"/>
        <w:ind w:firstLine="562"/>
        <w:rPr>
          <w:color w:val="000000"/>
          <w:sz w:val="28"/>
          <w:szCs w:val="24"/>
          <w:lang w:bidi="ar"/>
        </w:rPr>
      </w:pPr>
      <w:r>
        <w:rPr>
          <w:rFonts w:hint="eastAsia"/>
          <w:b/>
          <w:color w:val="000000"/>
          <w:sz w:val="28"/>
          <w:szCs w:val="24"/>
          <w:lang w:bidi="ar"/>
        </w:rPr>
        <w:t>现有供热管网：</w:t>
      </w:r>
      <w:r>
        <w:rPr>
          <w:rFonts w:hint="eastAsia"/>
          <w:color w:val="000000"/>
          <w:sz w:val="28"/>
          <w:szCs w:val="24"/>
          <w:lang w:bidi="ar"/>
        </w:rPr>
        <w:t>无。</w:t>
      </w:r>
    </w:p>
    <w:p>
      <w:pPr>
        <w:pStyle w:val="61"/>
        <w:ind w:firstLine="562"/>
        <w:rPr>
          <w:color w:val="000000"/>
          <w:sz w:val="28"/>
          <w:szCs w:val="24"/>
          <w:lang w:bidi="ar"/>
        </w:rPr>
      </w:pPr>
      <w:r>
        <w:rPr>
          <w:rFonts w:hint="eastAsia"/>
          <w:b/>
          <w:color w:val="000000"/>
          <w:sz w:val="28"/>
          <w:szCs w:val="24"/>
          <w:lang w:bidi="ar"/>
        </w:rPr>
        <w:t>规划供热管网：</w:t>
      </w:r>
      <w:r>
        <w:rPr>
          <w:rFonts w:hint="eastAsia"/>
          <w:bCs w:val="0"/>
          <w:color w:val="000000"/>
          <w:sz w:val="28"/>
          <w:szCs w:val="24"/>
          <w:lang w:bidi="ar"/>
        </w:rPr>
        <w:t>规划新建</w:t>
      </w:r>
      <w:r>
        <w:rPr>
          <w:bCs w:val="0"/>
          <w:color w:val="000000"/>
          <w:sz w:val="28"/>
          <w:szCs w:val="24"/>
          <w:lang w:bidi="ar"/>
        </w:rPr>
        <w:t>2</w:t>
      </w:r>
      <w:r>
        <w:rPr>
          <w:rFonts w:hint="eastAsia"/>
          <w:bCs w:val="0"/>
          <w:color w:val="000000"/>
          <w:sz w:val="28"/>
          <w:szCs w:val="24"/>
          <w:lang w:bidi="ar"/>
        </w:rPr>
        <w:t>条高压蒸汽管线</w:t>
      </w:r>
      <w:r>
        <w:rPr>
          <w:bCs w:val="0"/>
          <w:color w:val="000000"/>
          <w:sz w:val="28"/>
          <w:szCs w:val="24"/>
          <w:lang w:bidi="ar"/>
        </w:rPr>
        <w:t>DN450</w:t>
      </w:r>
      <w:r>
        <w:rPr>
          <w:rFonts w:hint="eastAsia"/>
          <w:bCs w:val="0"/>
          <w:color w:val="000000"/>
          <w:sz w:val="28"/>
          <w:szCs w:val="24"/>
          <w:lang w:bidi="ar"/>
        </w:rPr>
        <w:t>和</w:t>
      </w:r>
      <w:r>
        <w:rPr>
          <w:bCs w:val="0"/>
          <w:color w:val="000000"/>
          <w:sz w:val="28"/>
          <w:szCs w:val="24"/>
          <w:lang w:bidi="ar"/>
        </w:rPr>
        <w:t>2</w:t>
      </w:r>
      <w:r>
        <w:rPr>
          <w:rFonts w:hint="eastAsia"/>
          <w:bCs w:val="0"/>
          <w:color w:val="000000"/>
          <w:sz w:val="28"/>
          <w:szCs w:val="24"/>
          <w:lang w:bidi="ar"/>
        </w:rPr>
        <w:t>条</w:t>
      </w:r>
      <w:r>
        <w:rPr>
          <w:bCs w:val="0"/>
          <w:color w:val="000000"/>
          <w:sz w:val="28"/>
          <w:szCs w:val="24"/>
          <w:lang w:bidi="ar"/>
        </w:rPr>
        <w:t>低压蒸汽管线DN350</w:t>
      </w:r>
      <w:r>
        <w:rPr>
          <w:rFonts w:hint="eastAsia"/>
          <w:bCs w:val="0"/>
          <w:color w:val="000000"/>
          <w:sz w:val="28"/>
          <w:szCs w:val="24"/>
          <w:lang w:bidi="ar"/>
        </w:rPr>
        <w:t>，供应</w:t>
      </w:r>
      <w:r>
        <w:rPr>
          <w:rFonts w:hint="eastAsia"/>
          <w:sz w:val="28"/>
          <w:szCs w:val="24"/>
        </w:rPr>
        <w:t>万凯新材料</w:t>
      </w:r>
      <w:r>
        <w:rPr>
          <w:sz w:val="28"/>
          <w:szCs w:val="24"/>
        </w:rPr>
        <w:t>75万吨聚酯切片项目</w:t>
      </w:r>
      <w:r>
        <w:rPr>
          <w:rFonts w:hint="eastAsia"/>
          <w:sz w:val="28"/>
          <w:szCs w:val="24"/>
        </w:rPr>
        <w:t>和</w:t>
      </w:r>
      <w:r>
        <w:rPr>
          <w:rFonts w:hint="eastAsia"/>
          <w:bCs w:val="0"/>
          <w:color w:val="000000"/>
          <w:sz w:val="28"/>
          <w:szCs w:val="24"/>
          <w:lang w:bidi="ar"/>
        </w:rPr>
        <w:t>万凯新材料年新增</w:t>
      </w:r>
      <w:r>
        <w:rPr>
          <w:bCs w:val="0"/>
          <w:color w:val="000000"/>
          <w:sz w:val="28"/>
          <w:szCs w:val="24"/>
          <w:lang w:bidi="ar"/>
        </w:rPr>
        <w:t>315万吨PET项目</w:t>
      </w:r>
      <w:r>
        <w:rPr>
          <w:rFonts w:hint="eastAsia"/>
          <w:bCs w:val="0"/>
          <w:color w:val="000000"/>
          <w:sz w:val="28"/>
          <w:szCs w:val="24"/>
          <w:lang w:bidi="ar"/>
        </w:rPr>
        <w:t>，并与海宁恒逸热电有限公司供热管网联通，</w:t>
      </w:r>
      <w:r>
        <w:rPr>
          <w:rFonts w:hint="eastAsia"/>
          <w:color w:val="000000"/>
          <w:sz w:val="28"/>
          <w:szCs w:val="24"/>
          <w:lang w:bidi="ar"/>
        </w:rPr>
        <w:t>接入海宁市江湾能源有限公司供热管网</w:t>
      </w:r>
      <w:r>
        <w:rPr>
          <w:rFonts w:hint="eastAsia"/>
          <w:bCs w:val="0"/>
          <w:color w:val="000000"/>
          <w:sz w:val="28"/>
          <w:szCs w:val="24"/>
          <w:lang w:bidi="ar"/>
        </w:rPr>
        <w:t>，管路全长约</w:t>
      </w:r>
      <w:r>
        <w:rPr>
          <w:bCs w:val="0"/>
          <w:color w:val="000000"/>
          <w:sz w:val="28"/>
          <w:szCs w:val="24"/>
          <w:lang w:bidi="ar"/>
        </w:rPr>
        <w:t>4.5</w:t>
      </w:r>
      <w:r>
        <w:rPr>
          <w:rFonts w:hint="eastAsia"/>
          <w:bCs w:val="0"/>
          <w:color w:val="000000"/>
          <w:sz w:val="28"/>
          <w:szCs w:val="24"/>
          <w:lang w:bidi="ar"/>
        </w:rPr>
        <w:t>公里。</w:t>
      </w:r>
    </w:p>
    <w:p>
      <w:pPr>
        <w:pStyle w:val="4"/>
      </w:pPr>
      <w:bookmarkStart w:id="440" w:name="_Toc144301273"/>
      <w:bookmarkStart w:id="441" w:name="_Toc171197898"/>
      <w:bookmarkStart w:id="442" w:name="_Toc188636951"/>
      <w:bookmarkStart w:id="443" w:name="_Toc144301054"/>
      <w:bookmarkStart w:id="444" w:name="_Toc181983809"/>
      <w:bookmarkStart w:id="445" w:name="_Toc183631826"/>
      <w:r>
        <w:rPr>
          <w:rFonts w:hint="eastAsia"/>
        </w:rPr>
        <w:t>6.3.</w:t>
      </w:r>
      <w:r>
        <w:t>8</w:t>
      </w:r>
      <w:r>
        <w:rPr>
          <w:rFonts w:hint="eastAsia"/>
        </w:rPr>
        <w:t>海宁绿动海云环保能源有限公司</w:t>
      </w:r>
      <w:bookmarkEnd w:id="440"/>
      <w:bookmarkEnd w:id="441"/>
      <w:bookmarkEnd w:id="442"/>
      <w:bookmarkEnd w:id="443"/>
      <w:bookmarkEnd w:id="444"/>
      <w:bookmarkEnd w:id="445"/>
    </w:p>
    <w:p>
      <w:pPr>
        <w:pStyle w:val="61"/>
        <w:ind w:firstLine="562"/>
        <w:rPr>
          <w:b/>
          <w:color w:val="000000"/>
          <w:sz w:val="28"/>
          <w:szCs w:val="24"/>
          <w:lang w:bidi="ar"/>
        </w:rPr>
      </w:pPr>
      <w:r>
        <w:rPr>
          <w:rFonts w:hint="eastAsia"/>
          <w:b/>
          <w:color w:val="000000"/>
          <w:sz w:val="28"/>
          <w:szCs w:val="24"/>
          <w:lang w:bidi="ar"/>
        </w:rPr>
        <w:t>现有供热管网：</w:t>
      </w:r>
      <w:r>
        <w:rPr>
          <w:rFonts w:hint="eastAsia"/>
          <w:color w:val="000000"/>
          <w:sz w:val="28"/>
          <w:szCs w:val="24"/>
          <w:lang w:bidi="ar"/>
        </w:rPr>
        <w:t>无。</w:t>
      </w:r>
    </w:p>
    <w:p>
      <w:pPr>
        <w:pStyle w:val="61"/>
        <w:ind w:firstLine="562"/>
        <w:rPr>
          <w:color w:val="000000"/>
          <w:sz w:val="28"/>
          <w:szCs w:val="24"/>
          <w:lang w:bidi="ar"/>
        </w:rPr>
      </w:pPr>
      <w:r>
        <w:rPr>
          <w:rFonts w:hint="eastAsia"/>
          <w:b/>
          <w:color w:val="000000"/>
          <w:sz w:val="28"/>
          <w:szCs w:val="24"/>
          <w:lang w:bidi="ar"/>
        </w:rPr>
        <w:t>规划供热管网：</w:t>
      </w:r>
      <w:r>
        <w:rPr>
          <w:rFonts w:hint="eastAsia"/>
          <w:color w:val="000000"/>
          <w:sz w:val="28"/>
          <w:szCs w:val="24"/>
          <w:lang w:bidi="ar"/>
        </w:rPr>
        <w:t>供热改造后，接入海宁市江湾能源有限公司供热管网</w:t>
      </w:r>
      <w:r>
        <w:rPr>
          <w:color w:val="000000"/>
          <w:sz w:val="28"/>
          <w:szCs w:val="24"/>
          <w:lang w:bidi="ar"/>
        </w:rPr>
        <w:t>。</w:t>
      </w:r>
    </w:p>
    <w:p>
      <w:pPr>
        <w:pStyle w:val="4"/>
      </w:pPr>
      <w:bookmarkStart w:id="446" w:name="_Toc188636952"/>
      <w:r>
        <w:rPr>
          <w:rFonts w:hint="eastAsia"/>
        </w:rPr>
        <w:t>6.3.</w:t>
      </w:r>
      <w:r>
        <w:t>9</w:t>
      </w:r>
      <w:r>
        <w:rPr>
          <w:rFonts w:hint="eastAsia"/>
        </w:rPr>
        <w:t>海宁市江湾能源有限公司</w:t>
      </w:r>
      <w:bookmarkEnd w:id="446"/>
    </w:p>
    <w:p>
      <w:pPr>
        <w:pStyle w:val="61"/>
        <w:ind w:firstLine="560"/>
        <w:rPr>
          <w:color w:val="000000" w:themeColor="text1"/>
          <w:sz w:val="28"/>
          <w:szCs w:val="28"/>
          <w14:textFill>
            <w14:solidFill>
              <w14:schemeClr w14:val="tx1"/>
            </w14:solidFill>
          </w14:textFill>
        </w:rPr>
      </w:pPr>
      <w:r>
        <w:rPr>
          <w:rFonts w:hint="eastAsia" w:ascii="仿宋_GB2312"/>
          <w:sz w:val="28"/>
          <w:szCs w:val="28"/>
        </w:rPr>
        <w:t>随着新增尖山新区第二公共热源点以及海宁绿动海云环保能源有限公司开始对外集中供热，尖山新区及周边区块将有三个公共热源点，即海宁恒逸热电有限公司、尖山新区第二公共热源点和海宁绿动海云环保能源有限公司。考虑到海宁恒逸热电有限公司、尖山新区第二公共热源点和海宁绿动海云环保能源有限公司距离较近</w:t>
      </w:r>
      <w:r>
        <w:rPr>
          <w:sz w:val="28"/>
          <w:szCs w:val="28"/>
        </w:rPr>
        <w:t>，且海宁绿动海云环保能源有限公司作为垃圾发电厂对外</w:t>
      </w:r>
      <w:r>
        <w:rPr>
          <w:rFonts w:hint="eastAsia" w:ascii="仿宋_GB2312"/>
          <w:sz w:val="28"/>
          <w:szCs w:val="28"/>
        </w:rPr>
        <w:t>供热稳定性相对较差，为保证该区块集中供热稳定可靠，需要一家热力管网公司对尖山新区及周边区块热用户集中供热进行</w:t>
      </w:r>
      <w:r>
        <w:rPr>
          <w:rFonts w:hint="eastAsia" w:cs="宋体"/>
          <w:sz w:val="28"/>
        </w:rPr>
        <w:t>统筹管理运营，保证热网的可靠运行。</w:t>
      </w:r>
    </w:p>
    <w:p>
      <w:pPr>
        <w:pStyle w:val="61"/>
        <w:ind w:firstLine="560"/>
        <w:rPr>
          <w:b/>
          <w:color w:val="000000"/>
          <w:sz w:val="28"/>
          <w:szCs w:val="24"/>
          <w:lang w:bidi="ar"/>
        </w:rPr>
      </w:pPr>
      <w:r>
        <w:rPr>
          <w:rFonts w:hint="eastAsia"/>
          <w:color w:val="000000" w:themeColor="text1"/>
          <w:sz w:val="28"/>
          <w:szCs w:val="28"/>
          <w14:textFill>
            <w14:solidFill>
              <w14:schemeClr w14:val="tx1"/>
            </w14:solidFill>
          </w14:textFill>
        </w:rPr>
        <w:t>海宁市江湾能源有限公司，成立于</w:t>
      </w:r>
      <w:r>
        <w:rPr>
          <w:color w:val="000000" w:themeColor="text1"/>
          <w:sz w:val="28"/>
          <w:szCs w:val="28"/>
          <w14:textFill>
            <w14:solidFill>
              <w14:schemeClr w14:val="tx1"/>
            </w14:solidFill>
          </w14:textFill>
        </w:rPr>
        <w:t>2023年4月，是一家国有企业，主要负责</w:t>
      </w:r>
      <w:r>
        <w:rPr>
          <w:rFonts w:hint="eastAsia" w:ascii="仿宋_GB2312"/>
          <w:sz w:val="28"/>
          <w:szCs w:val="28"/>
        </w:rPr>
        <w:t>尖山新区及周边区块</w:t>
      </w:r>
      <w:r>
        <w:rPr>
          <w:color w:val="000000" w:themeColor="text1"/>
          <w:sz w:val="28"/>
          <w:szCs w:val="28"/>
          <w14:textFill>
            <w14:solidFill>
              <w14:schemeClr w14:val="tx1"/>
            </w14:solidFill>
          </w14:textFill>
        </w:rPr>
        <w:t>蒸汽管网建设和供热经营</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其股东为海宁市尖山新区开发有限公司</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股权占比60%</w:t>
      </w:r>
      <w:r>
        <w:rPr>
          <w:rFonts w:hint="eastAsia"/>
          <w:color w:val="000000" w:themeColor="text1"/>
          <w:sz w:val="28"/>
          <w:szCs w:val="28"/>
          <w14:textFill>
            <w14:solidFill>
              <w14:schemeClr w14:val="tx1"/>
            </w14:solidFill>
          </w14:textFill>
        </w:rPr>
        <w:t>）和</w:t>
      </w:r>
      <w:r>
        <w:rPr>
          <w:color w:val="000000" w:themeColor="text1"/>
          <w:sz w:val="28"/>
          <w:szCs w:val="28"/>
          <w14:textFill>
            <w14:solidFill>
              <w14:schemeClr w14:val="tx1"/>
            </w14:solidFill>
          </w14:textFill>
        </w:rPr>
        <w:t>海宁市听潮投资开发有限公司</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股权占比40%</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海宁市江湾能源有限公司</w:t>
      </w:r>
      <w:r>
        <w:rPr>
          <w:sz w:val="28"/>
          <w:szCs w:val="24"/>
        </w:rPr>
        <w:t>收购原已建成的蒸汽管线，在原基础上新增建设蒸汽管线，</w:t>
      </w:r>
      <w:r>
        <w:rPr>
          <w:rFonts w:hint="eastAsia"/>
          <w:sz w:val="28"/>
          <w:szCs w:val="24"/>
        </w:rPr>
        <w:t>集中供热管道由海宁市江湾能源有限公司统一建设并运营调度，各热源点之间的对外供热管道互联互通，相互补充。</w:t>
      </w:r>
      <w:r>
        <w:rPr>
          <w:sz w:val="28"/>
          <w:szCs w:val="24"/>
        </w:rPr>
        <w:t>现</w:t>
      </w:r>
      <w:r>
        <w:rPr>
          <w:rFonts w:hint="eastAsia" w:ascii="仿宋_GB2312"/>
          <w:sz w:val="28"/>
          <w:szCs w:val="28"/>
        </w:rPr>
        <w:t>尖山新区及周边区块除了恒逸新材料蒸汽需求由海宁恒逸热电有限公司供应、万凯新材料蒸汽需求由尖山新区第二公共热源点供应以外，其他</w:t>
      </w:r>
      <w:r>
        <w:rPr>
          <w:sz w:val="28"/>
          <w:szCs w:val="24"/>
        </w:rPr>
        <w:t>蒸汽用户都归</w:t>
      </w:r>
      <w:r>
        <w:rPr>
          <w:rFonts w:hint="eastAsia"/>
          <w:color w:val="000000" w:themeColor="text1"/>
          <w:sz w:val="28"/>
          <w:szCs w:val="28"/>
          <w14:textFill>
            <w14:solidFill>
              <w14:schemeClr w14:val="tx1"/>
            </w14:solidFill>
          </w14:textFill>
        </w:rPr>
        <w:t>海宁市江湾能源有限公司</w:t>
      </w:r>
      <w:r>
        <w:rPr>
          <w:sz w:val="28"/>
          <w:szCs w:val="24"/>
        </w:rPr>
        <w:t>经营</w:t>
      </w:r>
      <w:r>
        <w:rPr>
          <w:rFonts w:hint="eastAsia"/>
          <w:sz w:val="28"/>
          <w:szCs w:val="24"/>
        </w:rPr>
        <w:t>。海宁市江湾能源有限公司根据管网实际用汽量向各热源点发布调度指令</w:t>
      </w:r>
      <w:r>
        <w:rPr>
          <w:sz w:val="28"/>
          <w:szCs w:val="24"/>
        </w:rPr>
        <w:t>,当需增加热网负荷时，经与各热源点协商一致后执行；当需降低热网负荷时，各热源点必须无条件服从。</w:t>
      </w:r>
      <w:r>
        <w:rPr>
          <w:rFonts w:hint="eastAsia"/>
          <w:color w:val="000000" w:themeColor="text1"/>
          <w:sz w:val="28"/>
          <w:szCs w:val="28"/>
          <w14:textFill>
            <w14:solidFill>
              <w14:schemeClr w14:val="tx1"/>
            </w14:solidFill>
          </w14:textFill>
        </w:rPr>
        <w:t>海宁市江湾能源有限公司与现有热源点之间的蒸汽供应协议具体见附件。</w:t>
      </w:r>
    </w:p>
    <w:p>
      <w:pPr>
        <w:pStyle w:val="61"/>
        <w:ind w:firstLine="562"/>
        <w:rPr>
          <w:b/>
          <w:color w:val="000000"/>
          <w:sz w:val="28"/>
          <w:szCs w:val="24"/>
          <w:lang w:bidi="ar"/>
        </w:rPr>
      </w:pPr>
      <w:r>
        <w:rPr>
          <w:rFonts w:hint="eastAsia"/>
          <w:b/>
          <w:color w:val="000000"/>
          <w:sz w:val="28"/>
          <w:szCs w:val="24"/>
          <w:lang w:bidi="ar"/>
        </w:rPr>
        <w:t>现有供热管网：</w:t>
      </w:r>
      <w:r>
        <w:rPr>
          <w:rFonts w:hint="eastAsia"/>
          <w:color w:val="000000"/>
          <w:sz w:val="28"/>
          <w:szCs w:val="24"/>
          <w:lang w:bidi="ar"/>
        </w:rPr>
        <w:t>无。</w:t>
      </w:r>
    </w:p>
    <w:p>
      <w:pPr>
        <w:pStyle w:val="61"/>
        <w:ind w:firstLine="562"/>
        <w:rPr>
          <w:sz w:val="28"/>
          <w:szCs w:val="24"/>
        </w:rPr>
      </w:pPr>
      <w:r>
        <w:rPr>
          <w:rFonts w:hint="eastAsia"/>
          <w:b/>
          <w:color w:val="000000"/>
          <w:sz w:val="28"/>
          <w:szCs w:val="24"/>
          <w:lang w:bidi="ar"/>
        </w:rPr>
        <w:t>规划供热管网：</w:t>
      </w:r>
      <w:r>
        <w:rPr>
          <w:rFonts w:hint="eastAsia"/>
          <w:color w:val="000000"/>
          <w:sz w:val="28"/>
          <w:szCs w:val="24"/>
          <w:lang w:bidi="ar"/>
        </w:rPr>
        <w:t>规划</w:t>
      </w:r>
      <w:r>
        <w:rPr>
          <w:color w:val="000000"/>
          <w:sz w:val="28"/>
          <w:szCs w:val="24"/>
          <w:lang w:bidi="ar"/>
        </w:rPr>
        <w:t>2路供热线路。第一路由恒逸热电厂出发沿凤凰河、安江路向西铺设，中途在襄城路东侧接入尖山</w:t>
      </w:r>
      <w:r>
        <w:rPr>
          <w:rFonts w:hint="eastAsia"/>
          <w:color w:val="000000"/>
          <w:sz w:val="28"/>
          <w:szCs w:val="24"/>
          <w:lang w:bidi="ar"/>
        </w:rPr>
        <w:t>新区</w:t>
      </w:r>
      <w:r>
        <w:rPr>
          <w:color w:val="000000"/>
          <w:sz w:val="28"/>
          <w:szCs w:val="24"/>
          <w:lang w:bidi="ar"/>
        </w:rPr>
        <w:t>第二公共热源点供出蒸汽管道，供应晶科储能、合兴包装、嘉洲环保等热用户，管路全长约5公里，管道口径为DN600-DN350；第二路由恒逸热电厂出发沿凤凰河、闻澜路、六平路向东北铺设至凤凰山山脚（包含英德赛段代建管道1.2公里），中途在六平路东侧接入</w:t>
      </w:r>
      <w:r>
        <w:rPr>
          <w:rFonts w:hint="eastAsia"/>
          <w:color w:val="000000"/>
          <w:sz w:val="28"/>
          <w:szCs w:val="24"/>
          <w:lang w:bidi="ar"/>
        </w:rPr>
        <w:t>海宁绿动海云环保能源有限公司</w:t>
      </w:r>
      <w:r>
        <w:rPr>
          <w:color w:val="000000"/>
          <w:sz w:val="28"/>
          <w:szCs w:val="24"/>
          <w:lang w:bidi="ar"/>
        </w:rPr>
        <w:t>供出蒸汽管道，供应华欣包装、科隆光学、元颉新材料、湃邦新材料、艾合新材料、陶特新材料、博菲新材料、海大环保、钱江生化、光合智谷等热用户，管路全长约13.4</w:t>
      </w:r>
      <w:r>
        <w:rPr>
          <w:rFonts w:hint="eastAsia"/>
          <w:color w:val="000000"/>
          <w:sz w:val="28"/>
          <w:szCs w:val="24"/>
          <w:lang w:bidi="ar"/>
        </w:rPr>
        <w:t>公里，管道口径为</w:t>
      </w:r>
      <w:r>
        <w:rPr>
          <w:color w:val="000000"/>
          <w:sz w:val="28"/>
          <w:szCs w:val="24"/>
          <w:lang w:bidi="ar"/>
        </w:rPr>
        <w:t>DN600-DN200。</w:t>
      </w:r>
    </w:p>
    <w:p>
      <w:pPr>
        <w:pStyle w:val="3"/>
      </w:pPr>
      <w:bookmarkStart w:id="447" w:name="_Toc188636953"/>
      <w:r>
        <w:t>6.4</w:t>
      </w:r>
      <w:r>
        <w:rPr>
          <w:rFonts w:hint="eastAsia"/>
        </w:rPr>
        <w:t>热网自控系统</w:t>
      </w:r>
      <w:bookmarkEnd w:id="447"/>
    </w:p>
    <w:p>
      <w:pPr>
        <w:pStyle w:val="61"/>
        <w:ind w:firstLine="560"/>
        <w:rPr>
          <w:rFonts w:ascii="仿宋_GB2312" w:cs="仿宋_GB2312"/>
          <w:sz w:val="28"/>
          <w:szCs w:val="28"/>
          <w:lang w:bidi="ar"/>
        </w:rPr>
      </w:pPr>
      <w:r>
        <w:rPr>
          <w:rFonts w:hint="eastAsia" w:ascii="仿宋_GB2312"/>
          <w:sz w:val="28"/>
          <w:szCs w:val="28"/>
        </w:rPr>
        <w:t>建设</w:t>
      </w:r>
      <w:r>
        <w:rPr>
          <w:sz w:val="28"/>
          <w:szCs w:val="28"/>
        </w:rPr>
        <w:t>GPRS</w:t>
      </w:r>
      <w:r>
        <w:rPr>
          <w:rFonts w:ascii="仿宋_GB2312"/>
          <w:sz w:val="28"/>
          <w:szCs w:val="28"/>
        </w:rPr>
        <w:t>热网监测管理系统，可提高工作效率和计量的准确性和实时性</w:t>
      </w:r>
      <w:r>
        <w:rPr>
          <w:rFonts w:hint="eastAsia" w:ascii="仿宋_GB2312"/>
          <w:sz w:val="28"/>
          <w:szCs w:val="28"/>
        </w:rPr>
        <w:t>。</w:t>
      </w:r>
      <w:r>
        <w:rPr>
          <w:rFonts w:hint="eastAsia" w:ascii="仿宋_GB2312" w:cs="仿宋_GB2312"/>
          <w:sz w:val="28"/>
          <w:szCs w:val="28"/>
          <w:lang w:bidi="ar"/>
        </w:rPr>
        <w:t>通过中控室的远程调节实现城市集中供热系统中的热网控制自动化，使各大热力站得以更好的发挥作用，防止远离热源的用户得不到充足热量的状况，避免紧靠热源的用户出现过热的情况，使得热网能够自动呈现一个比较均匀的温度状态性。鼓励智慧管网建设，实施监测感知管线破损等故障，及时预警、处置管线的异常。通过热网自控系统及智慧管网等系统建设，进一步保证供热系统安全、可靠运行、节约能源，降低运行费用，提高运行管理水平。</w:t>
      </w:r>
    </w:p>
    <w:p>
      <w:pPr>
        <w:pStyle w:val="61"/>
        <w:ind w:firstLine="560"/>
        <w:rPr>
          <w:rFonts w:cs="宋体"/>
          <w:sz w:val="28"/>
        </w:rPr>
      </w:pPr>
    </w:p>
    <w:p>
      <w:pPr>
        <w:spacing w:line="580" w:lineRule="exact"/>
        <w:ind w:firstLine="560" w:firstLineChars="200"/>
        <w:rPr>
          <w:rFonts w:ascii="Times New Roman" w:hAnsi="Times New Roman" w:eastAsia="仿宋_GB2312" w:cs="Times New Roman"/>
          <w:sz w:val="28"/>
          <w:szCs w:val="24"/>
        </w:rPr>
      </w:pPr>
      <w:r>
        <w:rPr>
          <w:rFonts w:ascii="Times New Roman" w:hAnsi="Times New Roman" w:eastAsia="仿宋_GB2312" w:cs="Times New Roman"/>
          <w:sz w:val="28"/>
          <w:szCs w:val="24"/>
        </w:rPr>
        <w:br w:type="page"/>
      </w:r>
    </w:p>
    <w:bookmarkEnd w:id="339"/>
    <w:bookmarkEnd w:id="340"/>
    <w:p>
      <w:pPr>
        <w:pStyle w:val="2"/>
      </w:pPr>
      <w:bookmarkStart w:id="448" w:name="_Toc188636954"/>
      <w:r>
        <w:rPr>
          <w:rFonts w:hint="eastAsia"/>
        </w:rPr>
        <w:t>七、电力系统概述</w:t>
      </w:r>
      <w:bookmarkEnd w:id="448"/>
    </w:p>
    <w:p>
      <w:pPr>
        <w:pStyle w:val="3"/>
      </w:pPr>
      <w:bookmarkStart w:id="449" w:name="_Toc188636955"/>
      <w:bookmarkStart w:id="450" w:name="_Toc144301057"/>
      <w:bookmarkStart w:id="451" w:name="_Toc312171472"/>
      <w:r>
        <w:t>7.1</w:t>
      </w:r>
      <w:r>
        <w:rPr>
          <w:rFonts w:hint="eastAsia"/>
        </w:rPr>
        <w:t>电网现状及规划</w:t>
      </w:r>
      <w:bookmarkEnd w:id="449"/>
      <w:bookmarkEnd w:id="450"/>
      <w:bookmarkEnd w:id="451"/>
    </w:p>
    <w:p>
      <w:pPr>
        <w:widowControl/>
        <w:spacing w:line="580" w:lineRule="exact"/>
        <w:ind w:firstLine="560"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kern w:val="0"/>
          <w:sz w:val="28"/>
          <w:szCs w:val="24"/>
        </w:rPr>
        <w:t>“十三五”期间，海宁市共新增</w:t>
      </w:r>
      <w:r>
        <w:rPr>
          <w:rFonts w:ascii="Times New Roman" w:hAnsi="Times New Roman" w:eastAsia="仿宋_GB2312" w:cs="Times New Roman"/>
          <w:kern w:val="0"/>
          <w:sz w:val="28"/>
          <w:szCs w:val="24"/>
        </w:rPr>
        <w:t>110千伏变电站5座，新增变电容量50万千伏安，分别为110千伏双联变、110千伏广顺变、110千伏郭店变、110千伏康河变、110千伏翁埠变，主要分布在海昌街道、海洲街道、盐官镇、丁桥镇、许村镇，新增10千伏线路67回。海宁市电网500千伏安变电站1座，为500千伏由拳变，变电总容量4000兆伏安，分布在海宁市斜桥镇与桐乡市交界处。220千伏变电站7座，分别为220千伏连杭变、220千伏民谊变、220千伏祝东变、220千伏双山变、220千伏狮岭变、220千伏潮</w:t>
      </w:r>
      <w:r>
        <w:rPr>
          <w:rFonts w:hint="eastAsia" w:ascii="Times New Roman" w:hAnsi="Times New Roman" w:eastAsia="仿宋_GB2312" w:cs="Times New Roman"/>
          <w:kern w:val="0"/>
          <w:sz w:val="28"/>
          <w:szCs w:val="24"/>
        </w:rPr>
        <w:t>乡变、</w:t>
      </w:r>
      <w:r>
        <w:rPr>
          <w:rFonts w:ascii="Times New Roman" w:hAnsi="Times New Roman" w:eastAsia="仿宋_GB2312" w:cs="Times New Roman"/>
          <w:kern w:val="0"/>
          <w:sz w:val="28"/>
          <w:szCs w:val="24"/>
        </w:rPr>
        <w:t>220千伏安江变，主要分布在许村镇、长安镇、斜桥镇、海宁经济开发区、马桥街道、黄湾镇（尖山新区）等区域，变电总容量3750兆伏安。110千伏变电站29座，变电容量3054.5兆伏安，线路长度503.45千米。35千伏变电站3座，分别为35千伏丁桥变、35千伏谈桥变、35千伏皮都变，变电容量147兆伏安，线路长度63.24千米，主要分布在丁桥镇、袁花镇、海宁经济开发区等区域。</w:t>
      </w:r>
    </w:p>
    <w:p>
      <w:pPr>
        <w:widowControl/>
        <w:spacing w:line="580" w:lineRule="exact"/>
        <w:ind w:firstLine="560" w:firstLineChars="200"/>
        <w:rPr>
          <w:rFonts w:ascii="Times New Roman" w:hAnsi="Times New Roman" w:eastAsia="仿宋_GB2312" w:cs="Times New Roman"/>
          <w:kern w:val="0"/>
          <w:sz w:val="28"/>
          <w:szCs w:val="24"/>
        </w:rPr>
      </w:pPr>
      <w:r>
        <w:rPr>
          <w:rFonts w:hint="eastAsia" w:ascii="Times New Roman" w:hAnsi="Times New Roman" w:eastAsia="仿宋_GB2312" w:cs="Times New Roman"/>
          <w:kern w:val="0"/>
          <w:sz w:val="28"/>
          <w:szCs w:val="24"/>
        </w:rPr>
        <w:t>根据《海宁市电网发展“十四五”规划》，</w:t>
      </w:r>
      <w:r>
        <w:rPr>
          <w:rFonts w:ascii="Times New Roman" w:hAnsi="Times New Roman" w:eastAsia="仿宋_GB2312" w:cs="Times New Roman"/>
          <w:kern w:val="0"/>
          <w:sz w:val="28"/>
          <w:szCs w:val="24"/>
        </w:rPr>
        <w:t>220千伏及以上电网，新建220千伏许村变电站和220千伏宁盐变，满足许村镇和尖山地区后续负荷接入需求。110千伏及以下电网，规划新建110千伏变电站5座，开展项目前期2座，扩建2座，新增主变12台，新增变电容量600兆伏安。35千伏配电网，安排35千伏光耀热电送出工程，新建线路长度8.82公里。</w:t>
      </w:r>
    </w:p>
    <w:p>
      <w:pPr>
        <w:pStyle w:val="3"/>
      </w:pPr>
      <w:bookmarkStart w:id="452" w:name="_Toc188636956"/>
      <w:bookmarkStart w:id="453" w:name="_Toc144301058"/>
      <w:r>
        <w:t>7.2</w:t>
      </w:r>
      <w:r>
        <w:rPr>
          <w:rFonts w:hint="eastAsia"/>
        </w:rPr>
        <w:t>热源点接入设想</w:t>
      </w:r>
      <w:bookmarkEnd w:id="452"/>
      <w:bookmarkEnd w:id="453"/>
    </w:p>
    <w:p>
      <w:pPr>
        <w:widowControl/>
        <w:spacing w:line="580" w:lineRule="exact"/>
        <w:ind w:firstLine="560" w:firstLineChars="200"/>
        <w:rPr>
          <w:rFonts w:ascii="Times New Roman" w:hAnsi="Times New Roman" w:eastAsia="仿宋_GB2312" w:cs="宋体"/>
          <w:sz w:val="28"/>
        </w:rPr>
      </w:pPr>
      <w:r>
        <w:rPr>
          <w:rFonts w:hint="eastAsia" w:ascii="Times New Roman" w:hAnsi="Times New Roman" w:eastAsia="仿宋_GB2312" w:cs="宋体"/>
          <w:sz w:val="28"/>
        </w:rPr>
        <w:t>本规划改扩建项目主要涉及海宁恒逸热电有限公司、海宁红宝热电有限公司和海宁绿动海云环保能源有限公司，规划新建尖山新区第二公共热源点。</w:t>
      </w:r>
    </w:p>
    <w:p>
      <w:pPr>
        <w:widowControl/>
        <w:spacing w:line="580" w:lineRule="exact"/>
        <w:ind w:firstLine="560" w:firstLineChars="200"/>
        <w:rPr>
          <w:rFonts w:ascii="Times New Roman" w:hAnsi="Times New Roman" w:eastAsia="仿宋_GB2312" w:cs="宋体"/>
          <w:sz w:val="28"/>
        </w:rPr>
      </w:pPr>
      <w:r>
        <w:rPr>
          <w:rFonts w:hint="eastAsia" w:ascii="Times New Roman" w:hAnsi="Times New Roman" w:eastAsia="仿宋_GB2312" w:cs="宋体"/>
          <w:sz w:val="28"/>
        </w:rPr>
        <w:t>海宁恒逸热电有限公司扩建工程利用现有接入系统并入电网。</w:t>
      </w:r>
    </w:p>
    <w:p>
      <w:pPr>
        <w:widowControl/>
        <w:spacing w:line="580" w:lineRule="exact"/>
        <w:ind w:firstLine="560" w:firstLineChars="200"/>
        <w:rPr>
          <w:rFonts w:ascii="Times New Roman" w:hAnsi="Times New Roman" w:eastAsia="仿宋_GB2312" w:cs="宋体"/>
          <w:sz w:val="28"/>
        </w:rPr>
      </w:pPr>
      <w:r>
        <w:rPr>
          <w:rFonts w:hint="eastAsia" w:ascii="Times New Roman" w:hAnsi="Times New Roman" w:eastAsia="仿宋_GB2312" w:cs="宋体"/>
          <w:sz w:val="28"/>
        </w:rPr>
        <w:t>海宁红宝热电有限公司迁建后</w:t>
      </w:r>
      <w:r>
        <w:rPr>
          <w:rFonts w:ascii="Times New Roman" w:hAnsi="Times New Roman" w:eastAsia="仿宋_GB2312" w:cs="宋体"/>
          <w:sz w:val="28"/>
        </w:rPr>
        <w:t>10kV发电系统拟经110kV升压站接入市电网系统</w:t>
      </w:r>
      <w:r>
        <w:rPr>
          <w:rFonts w:hint="eastAsia" w:ascii="Times New Roman" w:hAnsi="Times New Roman" w:eastAsia="仿宋_GB2312" w:cs="宋体"/>
          <w:sz w:val="28"/>
        </w:rPr>
        <w:t>，</w:t>
      </w:r>
      <w:r>
        <w:rPr>
          <w:rFonts w:ascii="Times New Roman" w:hAnsi="Times New Roman" w:eastAsia="仿宋_GB2312" w:cs="宋体"/>
          <w:sz w:val="28"/>
        </w:rPr>
        <w:t>从企业的整体性和提高集控操作的便捷性考虑，拟从新厂址主厂房东北侧以两回路110kV联络线电缆接入民谊变电站，并网条件基本具备，具体并网方式由热电企业向当地供电部门申请，按照相应的接入系统方案要求实施。</w:t>
      </w:r>
    </w:p>
    <w:p>
      <w:pPr>
        <w:widowControl/>
        <w:spacing w:line="580" w:lineRule="exact"/>
        <w:ind w:firstLine="560" w:firstLineChars="200"/>
        <w:rPr>
          <w:rFonts w:ascii="Times New Roman" w:hAnsi="Times New Roman" w:eastAsia="仿宋_GB2312" w:cs="宋体"/>
          <w:sz w:val="28"/>
        </w:rPr>
      </w:pPr>
      <w:r>
        <w:rPr>
          <w:rFonts w:ascii="Times New Roman" w:hAnsi="Times New Roman" w:eastAsia="仿宋_GB2312" w:cs="宋体"/>
          <w:sz w:val="28"/>
        </w:rPr>
        <w:t>海宁绿动海云环保能源有限公司转为公共热电厂，并网接入方式不变。</w:t>
      </w:r>
    </w:p>
    <w:p>
      <w:pPr>
        <w:pStyle w:val="61"/>
        <w:ind w:firstLine="560"/>
        <w:rPr>
          <w:color w:val="000000" w:themeColor="text1"/>
          <w:sz w:val="28"/>
          <w:szCs w:val="28"/>
          <w14:textFill>
            <w14:solidFill>
              <w14:schemeClr w14:val="tx1"/>
            </w14:solidFill>
          </w14:textFill>
        </w:rPr>
      </w:pPr>
      <w:bookmarkStart w:id="454" w:name="_Toc144301059"/>
      <w:bookmarkStart w:id="455" w:name="_Toc312171474"/>
      <w:r>
        <w:rPr>
          <w:rFonts w:hint="eastAsia" w:cs="宋体"/>
          <w:sz w:val="28"/>
        </w:rPr>
        <w:t>尖山新区第二公共热源点</w:t>
      </w:r>
      <w:r>
        <w:rPr>
          <w:rFonts w:hint="eastAsia"/>
          <w:color w:val="000000" w:themeColor="text1"/>
          <w:sz w:val="28"/>
          <w:szCs w:val="28"/>
          <w14:textFill>
            <w14:solidFill>
              <w14:schemeClr w14:val="tx1"/>
            </w14:solidFill>
          </w14:textFill>
        </w:rPr>
        <w:t>拟通过安江变</w:t>
      </w:r>
      <w:r>
        <w:rPr>
          <w:color w:val="000000" w:themeColor="text1"/>
          <w:sz w:val="28"/>
          <w:szCs w:val="28"/>
          <w14:textFill>
            <w14:solidFill>
              <w14:schemeClr w14:val="tx1"/>
            </w14:solidFill>
          </w14:textFill>
        </w:rPr>
        <w:t>110KV线路接入市电网系</w:t>
      </w:r>
      <w:r>
        <w:rPr>
          <w:rFonts w:hint="eastAsia"/>
          <w:color w:val="000000" w:themeColor="text1"/>
          <w:sz w:val="28"/>
          <w:szCs w:val="28"/>
          <w14:textFill>
            <w14:solidFill>
              <w14:schemeClr w14:val="tx1"/>
            </w14:solidFill>
          </w14:textFill>
        </w:rPr>
        <w:t>，并网条件基本具备。</w:t>
      </w:r>
    </w:p>
    <w:p>
      <w:pPr>
        <w:pStyle w:val="3"/>
      </w:pPr>
      <w:bookmarkStart w:id="456" w:name="_Toc188636957"/>
      <w:r>
        <w:t>7.3</w:t>
      </w:r>
      <w:r>
        <w:rPr>
          <w:rFonts w:hint="eastAsia"/>
        </w:rPr>
        <w:t>热源点在电力系统中的作用</w:t>
      </w:r>
      <w:bookmarkEnd w:id="454"/>
      <w:bookmarkEnd w:id="455"/>
      <w:bookmarkEnd w:id="456"/>
    </w:p>
    <w:p>
      <w:pPr>
        <w:spacing w:line="580" w:lineRule="exact"/>
        <w:ind w:firstLine="560" w:firstLineChars="200"/>
        <w:rPr>
          <w:rFonts w:ascii="Times New Roman" w:hAnsi="Times New Roman" w:eastAsia="仿宋_GB2312" w:cs="Times New Roman"/>
          <w:sz w:val="28"/>
          <w:szCs w:val="24"/>
        </w:rPr>
      </w:pPr>
      <w:r>
        <w:rPr>
          <w:rFonts w:hint="eastAsia" w:ascii="Times New Roman" w:hAnsi="Times New Roman" w:eastAsia="仿宋_GB2312" w:cs="Times New Roman"/>
          <w:sz w:val="28"/>
          <w:szCs w:val="24"/>
        </w:rPr>
        <w:t>近年来，海宁经济发展提速，电力是海宁经济社会发展的重要保障，海宁的负荷、电量增长一直保持强劲趋势，用电需求稳步增长。</w:t>
      </w:r>
      <w:r>
        <w:rPr>
          <w:rFonts w:ascii="Times New Roman" w:hAnsi="Times New Roman" w:eastAsia="仿宋_GB2312" w:cs="Times New Roman"/>
          <w:sz w:val="28"/>
          <w:szCs w:val="24"/>
        </w:rPr>
        <w:t>根据《海宁市电网发展“十四五”规划》，到2025年，海宁市全社会最高负荷将达到289.51万千瓦，用电量将达到162.31亿千瓦时。“十四五”期间，海宁市用电量预计年均增长9.31%，最大负荷年均增长7.77%。</w:t>
      </w:r>
    </w:p>
    <w:p>
      <w:pPr>
        <w:spacing w:line="580" w:lineRule="exact"/>
        <w:ind w:firstLine="560" w:firstLineChars="200"/>
        <w:rPr>
          <w:rFonts w:ascii="Times New Roman" w:hAnsi="Times New Roman" w:eastAsia="仿宋_GB2312" w:cs="Times New Roman"/>
          <w:sz w:val="28"/>
          <w:szCs w:val="24"/>
        </w:rPr>
      </w:pPr>
      <w:r>
        <w:rPr>
          <w:rFonts w:hint="eastAsia" w:ascii="Times New Roman" w:hAnsi="Times New Roman" w:eastAsia="仿宋_GB2312" w:cs="Times New Roman"/>
          <w:sz w:val="28"/>
          <w:szCs w:val="24"/>
        </w:rPr>
        <w:t>本规划规划期内新增装机容量</w:t>
      </w:r>
      <w:r>
        <w:rPr>
          <w:rFonts w:ascii="Times New Roman" w:hAnsi="Times New Roman" w:eastAsia="仿宋_GB2312" w:cs="Times New Roman"/>
          <w:sz w:val="28"/>
          <w:szCs w:val="24"/>
        </w:rPr>
        <w:t>49MW</w:t>
      </w:r>
      <w:r>
        <w:rPr>
          <w:rFonts w:hint="eastAsia" w:ascii="Times New Roman" w:hAnsi="Times New Roman" w:eastAsia="仿宋_GB2312" w:cs="Times New Roman"/>
          <w:sz w:val="28"/>
          <w:szCs w:val="24"/>
        </w:rPr>
        <w:t>。</w:t>
      </w:r>
      <w:r>
        <w:rPr>
          <w:rFonts w:ascii="Times New Roman" w:hAnsi="Times New Roman" w:eastAsia="仿宋_GB2312" w:cs="Times New Roman"/>
          <w:sz w:val="28"/>
          <w:szCs w:val="24"/>
        </w:rPr>
        <w:t>热电厂的发展将纳入电力网发展规划，其发电能力将作为整个电力网的补充，对于提高海宁市供电的可靠性和缓解电力供应紧张的局面具有积极作用。</w:t>
      </w:r>
    </w:p>
    <w:p>
      <w:pPr>
        <w:spacing w:line="580" w:lineRule="exact"/>
        <w:ind w:firstLine="560" w:firstLineChars="200"/>
        <w:rPr>
          <w:rFonts w:ascii="Times New Roman" w:hAnsi="Times New Roman" w:eastAsia="仿宋_GB2312" w:cs="Times New Roman"/>
          <w:sz w:val="28"/>
          <w:szCs w:val="24"/>
        </w:rPr>
      </w:pPr>
      <w:r>
        <w:rPr>
          <w:rFonts w:hint="eastAsia" w:ascii="Times New Roman" w:hAnsi="Times New Roman" w:eastAsia="仿宋_GB2312" w:cs="Times New Roman"/>
          <w:sz w:val="28"/>
          <w:szCs w:val="24"/>
        </w:rPr>
        <w:t>此外，积极探索打造新型电力系统下热电联产发展新样板，鼓励海宁市热电企业配置储热技术装备，在热负荷低谷时将多产热量储存起来，在热负荷高峰时将储存热量释放，实现供热“削峰填谷”，提高供热的稳定性和热电联产机组运行灵活性；鼓励海宁市热电企业配置新型储能装备，让热电厂成为海宁市源网荷储一体化示范区建设的重要组成部分，缓解热电厂“以热定电”导致的用电负荷低谷期发电过度、用电负荷高峰期产电不足的现象，同时参与电力系统调峰调频和紧急事故备用等。</w:t>
      </w:r>
    </w:p>
    <w:p>
      <w:pPr>
        <w:spacing w:line="580" w:lineRule="exact"/>
        <w:ind w:firstLine="560" w:firstLineChars="200"/>
        <w:rPr>
          <w:rFonts w:ascii="Times New Roman" w:hAnsi="Times New Roman" w:eastAsia="仿宋_GB2312" w:cs="Times New Roman"/>
          <w:sz w:val="28"/>
          <w:szCs w:val="24"/>
        </w:rPr>
      </w:pPr>
      <w:r>
        <w:rPr>
          <w:rFonts w:ascii="Times New Roman" w:hAnsi="Times New Roman" w:eastAsia="仿宋_GB2312" w:cs="Times New Roman"/>
          <w:sz w:val="28"/>
          <w:szCs w:val="24"/>
        </w:rPr>
        <w:br w:type="page"/>
      </w:r>
    </w:p>
    <w:p>
      <w:pPr>
        <w:pStyle w:val="2"/>
      </w:pPr>
      <w:bookmarkStart w:id="457" w:name="_Toc188636958"/>
      <w:r>
        <w:rPr>
          <w:rFonts w:hint="eastAsia"/>
        </w:rPr>
        <w:t>八、实施效果评价</w:t>
      </w:r>
      <w:bookmarkEnd w:id="457"/>
    </w:p>
    <w:p>
      <w:pPr>
        <w:pStyle w:val="3"/>
      </w:pPr>
      <w:bookmarkStart w:id="458" w:name="_Toc312171476"/>
      <w:bookmarkStart w:id="459" w:name="_Toc188636959"/>
      <w:r>
        <w:t>8.1</w:t>
      </w:r>
      <w:r>
        <w:rPr>
          <w:rFonts w:hint="eastAsia"/>
        </w:rPr>
        <w:t>节能</w:t>
      </w:r>
      <w:bookmarkEnd w:id="458"/>
      <w:bookmarkEnd w:id="459"/>
    </w:p>
    <w:p>
      <w:pPr>
        <w:pStyle w:val="4"/>
      </w:pPr>
      <w:bookmarkStart w:id="460" w:name="_Toc78117446"/>
      <w:bookmarkStart w:id="461" w:name="_Toc188636960"/>
      <w:bookmarkStart w:id="462" w:name="_Toc144301281"/>
      <w:bookmarkStart w:id="463" w:name="_Toc110595660"/>
      <w:bookmarkStart w:id="464" w:name="_Toc139379175"/>
      <w:bookmarkStart w:id="465" w:name="_Toc171197906"/>
      <w:bookmarkStart w:id="466" w:name="_Toc52265941"/>
      <w:bookmarkStart w:id="467" w:name="_Toc82546962"/>
      <w:bookmarkStart w:id="468" w:name="_Toc110677121"/>
      <w:bookmarkStart w:id="469" w:name="_Toc144301062"/>
      <w:bookmarkStart w:id="470" w:name="_Toc68800967"/>
      <w:bookmarkStart w:id="471" w:name="_Toc136514773"/>
      <w:bookmarkStart w:id="472" w:name="_Toc181983817"/>
      <w:bookmarkStart w:id="473" w:name="_Toc111225980"/>
      <w:bookmarkStart w:id="474" w:name="_Toc51233019"/>
      <w:bookmarkStart w:id="475" w:name="_Toc183631834"/>
      <w:r>
        <w:t>8.1.1节能</w:t>
      </w:r>
      <w:r>
        <w:rPr>
          <w:rFonts w:hint="eastAsia"/>
        </w:rPr>
        <w:t>分析</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pPr>
        <w:spacing w:line="580" w:lineRule="exact"/>
        <w:ind w:firstLine="560" w:firstLineChars="200"/>
        <w:rPr>
          <w:rFonts w:ascii="Times New Roman" w:hAnsi="Times New Roman" w:eastAsia="仿宋_GB2312" w:cs="Times New Roman"/>
          <w:sz w:val="28"/>
        </w:rPr>
      </w:pPr>
      <w:bookmarkStart w:id="476" w:name="_Toc51233020"/>
      <w:bookmarkStart w:id="477" w:name="_Toc78117447"/>
      <w:bookmarkStart w:id="478" w:name="_Toc82546963"/>
      <w:bookmarkStart w:id="479" w:name="_Toc110595661"/>
      <w:bookmarkStart w:id="480" w:name="_Toc52265942"/>
      <w:bookmarkStart w:id="481" w:name="_Toc68800968"/>
      <w:bookmarkStart w:id="482" w:name="_Toc110677122"/>
      <w:r>
        <w:rPr>
          <w:rFonts w:hint="eastAsia" w:ascii="Times New Roman" w:hAnsi="Times New Roman" w:eastAsia="仿宋_GB2312" w:cs="Times New Roman"/>
          <w:sz w:val="28"/>
        </w:rPr>
        <w:t>节约能源，提高效率。一方面，小锅炉分散供热的标煤耗为</w:t>
      </w:r>
      <w:r>
        <w:rPr>
          <w:rFonts w:ascii="Times New Roman" w:hAnsi="Times New Roman" w:eastAsia="仿宋_GB2312" w:cs="Times New Roman"/>
          <w:sz w:val="28"/>
        </w:rPr>
        <w:t>60kg/GJ左右，而热电联产供热标煤耗为41kg/GJ左右，</w:t>
      </w:r>
      <w:r>
        <w:rPr>
          <w:rFonts w:hint="eastAsia" w:ascii="Times New Roman" w:hAnsi="Times New Roman" w:eastAsia="仿宋_GB2312" w:cs="Times New Roman"/>
          <w:sz w:val="28"/>
        </w:rPr>
        <w:t>供</w:t>
      </w:r>
      <w:r>
        <w:rPr>
          <w:rFonts w:ascii="Times New Roman" w:hAnsi="Times New Roman" w:eastAsia="仿宋_GB2312" w:cs="Times New Roman"/>
          <w:sz w:val="28"/>
        </w:rPr>
        <w:t>热标煤耗降低约30%；另一方面，大型冷凝发电厂的热效率一般为35%~40%，热电联产的热效率一般可达到50%以上，热效率有了大幅提升。</w:t>
      </w:r>
    </w:p>
    <w:p>
      <w:pPr>
        <w:spacing w:line="580" w:lineRule="exact"/>
        <w:ind w:firstLine="560" w:firstLineChars="200"/>
      </w:pPr>
      <w:r>
        <w:rPr>
          <w:rFonts w:hint="eastAsia" w:ascii="Times New Roman" w:hAnsi="Times New Roman" w:eastAsia="仿宋_GB2312" w:cs="Times New Roman"/>
          <w:sz w:val="28"/>
        </w:rPr>
        <w:t>热电厂的节能效益主要取决于热负荷大小。根据本规划，到</w:t>
      </w:r>
      <w:r>
        <w:rPr>
          <w:rFonts w:ascii="Times New Roman" w:hAnsi="Times New Roman" w:eastAsia="仿宋_GB2312" w:cs="Times New Roman"/>
          <w:sz w:val="28"/>
        </w:rPr>
        <w:t>2030</w:t>
      </w:r>
      <w:r>
        <w:rPr>
          <w:rFonts w:hint="eastAsia" w:ascii="Times New Roman" w:hAnsi="Times New Roman" w:eastAsia="仿宋_GB2312" w:cs="Times New Roman"/>
          <w:sz w:val="28"/>
        </w:rPr>
        <w:t>年集中供热设计平均热负荷为</w:t>
      </w:r>
      <w:r>
        <w:rPr>
          <w:rFonts w:ascii="Times New Roman" w:hAnsi="Times New Roman" w:eastAsia="仿宋_GB2312" w:cs="Times New Roman"/>
          <w:sz w:val="28"/>
        </w:rPr>
        <w:t>1872.1t/h</w:t>
      </w:r>
      <w:r>
        <w:rPr>
          <w:rFonts w:hint="eastAsia" w:ascii="Times New Roman" w:hAnsi="Times New Roman" w:eastAsia="仿宋_GB2312" w:cs="Times New Roman"/>
          <w:sz w:val="28"/>
        </w:rPr>
        <w:t>，其中设计平均热负荷新增</w:t>
      </w:r>
      <w:r>
        <w:rPr>
          <w:rFonts w:ascii="Times New Roman" w:hAnsi="Times New Roman" w:eastAsia="仿宋_GB2312" w:cs="Times New Roman"/>
          <w:sz w:val="28"/>
        </w:rPr>
        <w:t>1199.2t/h</w:t>
      </w:r>
      <w:r>
        <w:rPr>
          <w:rFonts w:hint="eastAsia" w:ascii="Times New Roman" w:hAnsi="Times New Roman" w:eastAsia="仿宋_GB2312" w:cs="Times New Roman"/>
          <w:sz w:val="28"/>
        </w:rPr>
        <w:t>，由高效率的燃煤大锅炉和生物质锅炉集中供热取代大量分散低效率的小锅炉供热，全年可减少煤炭消耗约</w:t>
      </w:r>
      <w:r>
        <w:rPr>
          <w:rFonts w:ascii="Times New Roman" w:hAnsi="Times New Roman" w:eastAsia="仿宋_GB2312" w:cs="Times New Roman"/>
          <w:sz w:val="28"/>
        </w:rPr>
        <w:t>50.0</w:t>
      </w:r>
      <w:r>
        <w:rPr>
          <w:rFonts w:hint="eastAsia" w:ascii="Times New Roman" w:hAnsi="Times New Roman" w:eastAsia="仿宋_GB2312" w:cs="Times New Roman"/>
          <w:sz w:val="28"/>
        </w:rPr>
        <w:t>万吨标煤。</w:t>
      </w:r>
    </w:p>
    <w:p>
      <w:pPr>
        <w:pStyle w:val="4"/>
      </w:pPr>
      <w:bookmarkStart w:id="483" w:name="_Toc183631835"/>
      <w:bookmarkStart w:id="484" w:name="_Toc181983818"/>
      <w:bookmarkStart w:id="485" w:name="_Toc144301063"/>
      <w:bookmarkStart w:id="486" w:name="_Toc144301282"/>
      <w:bookmarkStart w:id="487" w:name="_Toc136514774"/>
      <w:bookmarkStart w:id="488" w:name="_Toc188636961"/>
      <w:bookmarkStart w:id="489" w:name="_Toc111225981"/>
      <w:bookmarkStart w:id="490" w:name="_Toc171197907"/>
      <w:bookmarkStart w:id="491" w:name="_Toc139379176"/>
      <w:r>
        <w:t>8.1.2</w:t>
      </w:r>
      <w:r>
        <w:rPr>
          <w:rFonts w:hint="eastAsia"/>
        </w:rPr>
        <w:t>热源点及管网节能措施</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热电联产通过能量能级转化利用，在能量转化过程中会消耗部分能量。因此，集中供热规划要切实抓好各项节能措施，从设计、选型、工艺、施工、管理等方面着手，加强节能，落实各项节能措施。</w:t>
      </w:r>
    </w:p>
    <w:p>
      <w:pPr>
        <w:spacing w:line="580" w:lineRule="exact"/>
        <w:ind w:firstLine="560"/>
        <w:rPr>
          <w:rFonts w:ascii="Times New Roman" w:hAnsi="Times New Roman" w:eastAsia="仿宋_GB2312" w:cs="Times New Roman"/>
          <w:sz w:val="28"/>
        </w:rPr>
      </w:pPr>
      <w:r>
        <w:rPr>
          <w:rFonts w:ascii="Times New Roman" w:hAnsi="Times New Roman" w:eastAsia="仿宋_GB2312" w:cs="Times New Roman"/>
          <w:sz w:val="28"/>
        </w:rPr>
        <w:t>1.以大型先进的发电机组挖潜供热，降低了发电煤耗和供热煤耗，本身就是一项节能环保工程，同时采用集中供热替代分散锅炉供热后，能减少污染物的排放，改善环境质量。</w:t>
      </w:r>
    </w:p>
    <w:p>
      <w:pPr>
        <w:spacing w:line="580" w:lineRule="exact"/>
        <w:ind w:firstLine="560"/>
        <w:rPr>
          <w:rFonts w:ascii="Times New Roman" w:hAnsi="Times New Roman" w:eastAsia="仿宋_GB2312" w:cs="Times New Roman"/>
          <w:sz w:val="28"/>
        </w:rPr>
      </w:pPr>
      <w:r>
        <w:rPr>
          <w:rFonts w:ascii="Times New Roman" w:hAnsi="Times New Roman" w:eastAsia="仿宋_GB2312" w:cs="Times New Roman"/>
          <w:sz w:val="28"/>
        </w:rPr>
        <w:t>2.优化系统设计和设备选择，减少能量损失。认真做好系统的设计和设备的选择，在满足安全运行，方便检修的前提下，尽量做到紧凑、合理，以减少各种介质能量的损失。所有热力设备和热力管道增加保温，减少散热损失，节约能源。</w:t>
      </w:r>
    </w:p>
    <w:p>
      <w:pPr>
        <w:spacing w:line="580" w:lineRule="exact"/>
        <w:ind w:firstLine="560"/>
        <w:rPr>
          <w:rFonts w:ascii="Times New Roman" w:hAnsi="Times New Roman" w:eastAsia="仿宋_GB2312" w:cs="Times New Roman"/>
          <w:sz w:val="28"/>
        </w:rPr>
      </w:pPr>
      <w:r>
        <w:rPr>
          <w:rFonts w:ascii="Times New Roman" w:hAnsi="Times New Roman" w:eastAsia="仿宋_GB2312" w:cs="Times New Roman"/>
          <w:sz w:val="28"/>
        </w:rPr>
        <w:t>3.加强热电</w:t>
      </w:r>
      <w:r>
        <w:rPr>
          <w:rFonts w:hint="eastAsia" w:ascii="Times New Roman" w:hAnsi="Times New Roman" w:eastAsia="仿宋_GB2312" w:cs="Times New Roman"/>
          <w:sz w:val="28"/>
        </w:rPr>
        <w:t>企业</w:t>
      </w:r>
      <w:r>
        <w:rPr>
          <w:rFonts w:ascii="Times New Roman" w:hAnsi="Times New Roman" w:eastAsia="仿宋_GB2312" w:cs="Times New Roman"/>
          <w:sz w:val="28"/>
        </w:rPr>
        <w:t>供热节能管理，按照规程规范及国内其他引进设备电厂运行经验，合理选择辅机备用系数和电动机容量，降低厂用电率。</w:t>
      </w:r>
    </w:p>
    <w:p>
      <w:pPr>
        <w:spacing w:line="580" w:lineRule="exact"/>
        <w:ind w:firstLine="560"/>
        <w:rPr>
          <w:rFonts w:ascii="Times New Roman" w:hAnsi="Times New Roman" w:eastAsia="仿宋_GB2312" w:cs="Times New Roman"/>
          <w:sz w:val="28"/>
        </w:rPr>
      </w:pPr>
      <w:r>
        <w:rPr>
          <w:rFonts w:ascii="Times New Roman" w:hAnsi="Times New Roman" w:eastAsia="仿宋_GB2312" w:cs="Times New Roman"/>
          <w:sz w:val="28"/>
        </w:rPr>
        <w:t>4.充分重视主要辅机分包商的选择，要求其有良好运行实绩，以确保机组有较高的可靠性和可用率。</w:t>
      </w:r>
    </w:p>
    <w:p>
      <w:pPr>
        <w:spacing w:line="580" w:lineRule="exact"/>
        <w:ind w:firstLine="560"/>
        <w:rPr>
          <w:rFonts w:ascii="Times New Roman" w:hAnsi="Times New Roman" w:eastAsia="仿宋_GB2312" w:cs="Times New Roman"/>
          <w:sz w:val="28"/>
        </w:rPr>
      </w:pPr>
      <w:r>
        <w:rPr>
          <w:rFonts w:ascii="Times New Roman" w:hAnsi="Times New Roman" w:eastAsia="仿宋_GB2312" w:cs="Times New Roman"/>
          <w:sz w:val="28"/>
        </w:rPr>
        <w:t>5.热力管道采用双层保温结构，选用导热系数低、物理性能好、价格合理的保温材料及绝热支架。同时，在设计中设置合理有效的疏水装置，尽可能减少热力管道的热损。</w:t>
      </w:r>
    </w:p>
    <w:p>
      <w:pPr>
        <w:spacing w:line="580" w:lineRule="exact"/>
        <w:ind w:firstLine="560"/>
        <w:rPr>
          <w:rFonts w:ascii="Times New Roman" w:hAnsi="Times New Roman" w:eastAsia="仿宋_GB2312" w:cs="Times New Roman"/>
          <w:sz w:val="28"/>
        </w:rPr>
      </w:pPr>
      <w:r>
        <w:rPr>
          <w:rFonts w:ascii="Times New Roman" w:hAnsi="Times New Roman" w:eastAsia="仿宋_GB2312" w:cs="Times New Roman"/>
          <w:sz w:val="28"/>
        </w:rPr>
        <w:t>6.降低电耗措施。</w:t>
      </w:r>
    </w:p>
    <w:p>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1）合理选择辅机备用系数和电动机容量，降低厂用电率，避免大马拉小车的浪费现象。</w:t>
      </w:r>
    </w:p>
    <w:p>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2）各类水泵所配电动机均选用节能型，并尽量使用调速泵，降低厂用电，节约能源。</w:t>
      </w:r>
    </w:p>
    <w:p>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3）采用调速汽动给水泵，节省机组启停工况厂用电。</w:t>
      </w:r>
    </w:p>
    <w:p>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4）主变压器、高压厂用变压器、高压起动/备用变压器、低压厂用变压器，采用低损耗变压器，以降低电厂的运行费用。</w:t>
      </w:r>
    </w:p>
    <w:p>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5）选用节能机电产品，杜绝淘汰产品。</w:t>
      </w:r>
    </w:p>
    <w:p>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6）在建筑和工艺上采取措施，提高厂房及建筑物的自然采光和通风率，以节约人工采光和机械通风电耗。</w:t>
      </w:r>
    </w:p>
    <w:p>
      <w:pPr>
        <w:spacing w:line="580" w:lineRule="exact"/>
        <w:ind w:firstLine="560"/>
        <w:rPr>
          <w:rFonts w:ascii="Times New Roman" w:hAnsi="Times New Roman" w:eastAsia="仿宋_GB2312" w:cs="Times New Roman"/>
          <w:sz w:val="28"/>
        </w:rPr>
      </w:pPr>
      <w:r>
        <w:rPr>
          <w:rFonts w:ascii="Times New Roman" w:hAnsi="Times New Roman" w:eastAsia="仿宋_GB2312" w:cs="Times New Roman"/>
          <w:sz w:val="28"/>
        </w:rPr>
        <w:t>7.节约用水措施</w:t>
      </w:r>
      <w:r>
        <w:rPr>
          <w:rFonts w:hint="eastAsia" w:ascii="Times New Roman" w:hAnsi="Times New Roman" w:eastAsia="仿宋_GB2312" w:cs="Times New Roman"/>
          <w:sz w:val="28"/>
        </w:rPr>
        <w:t>。</w:t>
      </w:r>
    </w:p>
    <w:p>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1）在系统设计中，对能够回收利用的汽、水等工质都考虑回收或重复再利用。</w:t>
      </w:r>
    </w:p>
    <w:p>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2）采用反渗透预脱盐处理技术，预先脱除95%以上的盐份，大大降低后级离子交换的酸碱消耗和废水排放量。可使整个电厂大大降低酸碱应用和再生废水排放，具有显着的环境效益。</w:t>
      </w:r>
    </w:p>
    <w:p>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3）发电机组辅助机械设备采用闭式循环冷却水系统，提高循环使用率，减少工业水消耗量，降低工业水系统能耗。</w:t>
      </w:r>
    </w:p>
    <w:p>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4）选择采用强油风冷的主变压器和高压厂用变压器，不采用水冷方式。</w:t>
      </w:r>
    </w:p>
    <w:p>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5）在水系统的关键部位安装流量计实施三级计量，加强用水管理。</w:t>
      </w:r>
    </w:p>
    <w:p>
      <w:pPr>
        <w:spacing w:line="580" w:lineRule="exact"/>
        <w:ind w:firstLine="560"/>
        <w:rPr>
          <w:rFonts w:ascii="Times New Roman" w:hAnsi="Times New Roman" w:eastAsia="仿宋_GB2312" w:cs="Times New Roman"/>
          <w:sz w:val="28"/>
        </w:rPr>
      </w:pPr>
      <w:r>
        <w:rPr>
          <w:rFonts w:hint="eastAsia" w:ascii="Times New Roman" w:hAnsi="Times New Roman" w:eastAsia="仿宋_GB2312" w:cs="Times New Roman"/>
          <w:sz w:val="28"/>
        </w:rPr>
        <w:t>（</w:t>
      </w:r>
      <w:r>
        <w:rPr>
          <w:rFonts w:ascii="Times New Roman" w:hAnsi="Times New Roman" w:eastAsia="仿宋_GB2312" w:cs="Times New Roman"/>
          <w:sz w:val="28"/>
        </w:rPr>
        <w:t>6）应尽可能回收外供蒸汽的凝结水，以节约能源和水资源。</w:t>
      </w:r>
      <w:bookmarkStart w:id="492" w:name="_Toc312171477"/>
    </w:p>
    <w:p>
      <w:pPr>
        <w:pStyle w:val="3"/>
      </w:pPr>
      <w:bookmarkStart w:id="493" w:name="_Toc188636962"/>
      <w:r>
        <w:t>8.2</w:t>
      </w:r>
      <w:r>
        <w:rPr>
          <w:rFonts w:hint="eastAsia"/>
        </w:rPr>
        <w:t>能耗、煤耗平衡</w:t>
      </w:r>
      <w:bookmarkEnd w:id="493"/>
    </w:p>
    <w:p>
      <w:pPr>
        <w:pStyle w:val="4"/>
      </w:pPr>
      <w:bookmarkStart w:id="494" w:name="_Toc171197909"/>
      <w:bookmarkStart w:id="495" w:name="_Toc183631837"/>
      <w:bookmarkStart w:id="496" w:name="_Toc136514776"/>
      <w:bookmarkStart w:id="497" w:name="_Toc188636963"/>
      <w:bookmarkStart w:id="498" w:name="_Toc181983820"/>
      <w:bookmarkStart w:id="499" w:name="_Toc139379178"/>
      <w:bookmarkStart w:id="500" w:name="_Toc144301284"/>
      <w:bookmarkStart w:id="501" w:name="_Toc144301065"/>
      <w:r>
        <w:t>8.2.1</w:t>
      </w:r>
      <w:r>
        <w:rPr>
          <w:rFonts w:hint="eastAsia"/>
        </w:rPr>
        <w:t>能耗平衡</w:t>
      </w:r>
      <w:bookmarkEnd w:id="494"/>
      <w:bookmarkEnd w:id="495"/>
      <w:bookmarkEnd w:id="496"/>
      <w:bookmarkEnd w:id="497"/>
      <w:bookmarkEnd w:id="498"/>
      <w:bookmarkEnd w:id="499"/>
      <w:bookmarkEnd w:id="500"/>
      <w:bookmarkEnd w:id="501"/>
    </w:p>
    <w:p>
      <w:pPr>
        <w:spacing w:line="580" w:lineRule="exact"/>
        <w:ind w:firstLine="556"/>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根据此次规划编制内容，浙江宝峰热电有限公司、海宁马桥大都市热电有限公司、海宁光耀热电有限公司无改扩建计划，不新增能耗指标；规划扩建热源点</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个，即海宁恒逸热电有限公司，预计新增能耗指标约</w:t>
      </w: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万吨标煤；规划迁建热源点</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个，即海宁红宝热电有限公司，该热电厂为</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等容量替代</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搬迁，不新增能耗指标；规划新增热源点</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个，其中，尖山新区第二公共热源点预计新增能耗指标约</w:t>
      </w:r>
      <w:r>
        <w:rPr>
          <w:rFonts w:ascii="Times New Roman" w:hAnsi="Times New Roman" w:eastAsia="仿宋_GB2312" w:cs="Times New Roman"/>
          <w:sz w:val="28"/>
          <w:szCs w:val="28"/>
        </w:rPr>
        <w:t>2.4</w:t>
      </w:r>
      <w:r>
        <w:rPr>
          <w:rFonts w:hint="eastAsia" w:ascii="Times New Roman" w:hAnsi="Times New Roman" w:eastAsia="仿宋_GB2312" w:cs="Times New Roman"/>
          <w:sz w:val="28"/>
          <w:szCs w:val="28"/>
        </w:rPr>
        <w:t>万吨标煤，海宁绿动海云环保能源有限公司供热改造仅限于热力管道，不增加能耗指标；规划关停热源点</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个，即浙江泰亿能源有限公司，不增加能耗指标，浙江泰亿能源有限公司关停后腾出的能耗指标由周王庙镇收回后统筹处理。综上所述，本规划海宁恒逸热电有限公司扩建和尖山新区第二公共热源点新建新增能耗指标约</w:t>
      </w:r>
      <w:r>
        <w:rPr>
          <w:rFonts w:ascii="Times New Roman" w:hAnsi="Times New Roman" w:eastAsia="仿宋_GB2312" w:cs="Times New Roman"/>
          <w:sz w:val="28"/>
          <w:szCs w:val="28"/>
        </w:rPr>
        <w:t>5.4</w:t>
      </w:r>
      <w:r>
        <w:rPr>
          <w:rFonts w:hint="eastAsia" w:ascii="Times New Roman" w:hAnsi="Times New Roman" w:eastAsia="仿宋_GB2312" w:cs="Times New Roman"/>
          <w:sz w:val="28"/>
          <w:szCs w:val="28"/>
        </w:rPr>
        <w:t>万吨标煤，计划通过淘汰落后产能、购买绿证等方式进行能耗指标平衡。</w:t>
      </w:r>
    </w:p>
    <w:p>
      <w:pPr>
        <w:spacing w:line="580" w:lineRule="exact"/>
        <w:ind w:firstLine="556"/>
        <w:rPr>
          <w:rFonts w:ascii="Times New Roman" w:hAnsi="Times New Roman" w:eastAsia="仿宋_GB2312" w:cs="Times New Roman"/>
          <w:sz w:val="28"/>
          <w:szCs w:val="28"/>
        </w:rPr>
      </w:pPr>
    </w:p>
    <w:p>
      <w:pPr>
        <w:spacing w:line="580" w:lineRule="exact"/>
        <w:ind w:firstLine="556"/>
        <w:rPr>
          <w:rFonts w:ascii="Times New Roman" w:hAnsi="Times New Roman" w:eastAsia="仿宋_GB2312" w:cs="Times New Roman"/>
          <w:sz w:val="28"/>
          <w:szCs w:val="28"/>
        </w:rPr>
      </w:pPr>
    </w:p>
    <w:p>
      <w:pPr>
        <w:spacing w:line="580" w:lineRule="exact"/>
        <w:ind w:firstLine="556"/>
        <w:rPr>
          <w:rFonts w:ascii="Times New Roman" w:hAnsi="Times New Roman" w:eastAsia="仿宋_GB2312" w:cs="Times New Roman"/>
          <w:sz w:val="28"/>
          <w:szCs w:val="28"/>
        </w:rPr>
      </w:pPr>
    </w:p>
    <w:p>
      <w:pPr>
        <w:spacing w:line="580" w:lineRule="exact"/>
        <w:jc w:val="center"/>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8.2-1 </w:t>
      </w:r>
      <w:r>
        <w:rPr>
          <w:rFonts w:hint="eastAsia" w:ascii="黑体" w:hAnsi="黑体" w:eastAsia="黑体" w:cs="Times New Roman"/>
          <w:sz w:val="28"/>
          <w:szCs w:val="28"/>
        </w:rPr>
        <w:t>能耗指标平衡方案</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829"/>
        <w:gridCol w:w="1744"/>
        <w:gridCol w:w="4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7" w:hRule="atLeast"/>
          <w:tblHeader/>
          <w:jc w:val="center"/>
        </w:trPr>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序号</w:t>
            </w:r>
          </w:p>
        </w:tc>
        <w:tc>
          <w:tcPr>
            <w:tcW w:w="10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平衡方案</w:t>
            </w:r>
          </w:p>
        </w:tc>
        <w:tc>
          <w:tcPr>
            <w:tcW w:w="9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腾出能耗量</w:t>
            </w:r>
          </w:p>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（万吨标煤）</w:t>
            </w:r>
          </w:p>
        </w:tc>
        <w:tc>
          <w:tcPr>
            <w:tcW w:w="25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p>
        </w:tc>
        <w:tc>
          <w:tcPr>
            <w:tcW w:w="10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淘汰落后用能</w:t>
            </w:r>
          </w:p>
        </w:tc>
        <w:tc>
          <w:tcPr>
            <w:tcW w:w="9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2</w:t>
            </w:r>
            <w:r>
              <w:rPr>
                <w:rFonts w:ascii="Times New Roman" w:hAnsi="Times New Roman" w:eastAsia="仿宋_GB2312" w:cs="Times New Roman"/>
                <w:sz w:val="24"/>
                <w:szCs w:val="24"/>
              </w:rPr>
              <w:t>.7</w:t>
            </w:r>
          </w:p>
        </w:tc>
        <w:tc>
          <w:tcPr>
            <w:tcW w:w="25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通过关停淘汰盐官镇及袁花镇区域内的企业，合计腾出用能总量约为</w:t>
            </w:r>
            <w:r>
              <w:rPr>
                <w:rFonts w:ascii="Times New Roman" w:hAnsi="Times New Roman" w:eastAsia="仿宋_GB2312" w:cs="Times New Roman"/>
                <w:sz w:val="24"/>
                <w:szCs w:val="24"/>
              </w:rPr>
              <w:t>30716.24吨标煤，</w:t>
            </w:r>
            <w:r>
              <w:rPr>
                <w:rFonts w:hint="eastAsia" w:ascii="Times New Roman" w:hAnsi="Times New Roman" w:eastAsia="仿宋_GB2312" w:cs="Times New Roman"/>
                <w:sz w:val="24"/>
                <w:szCs w:val="24"/>
              </w:rPr>
              <w:t>其中</w:t>
            </w:r>
            <w:r>
              <w:rPr>
                <w:rFonts w:ascii="Times New Roman" w:hAnsi="Times New Roman" w:eastAsia="仿宋_GB2312" w:cs="Times New Roman"/>
                <w:sz w:val="24"/>
                <w:szCs w:val="24"/>
              </w:rPr>
              <w:t>27000吨标煤</w:t>
            </w:r>
            <w:r>
              <w:rPr>
                <w:rFonts w:hint="eastAsia" w:ascii="Times New Roman" w:hAnsi="Times New Roman" w:eastAsia="仿宋_GB2312" w:cs="Times New Roman"/>
                <w:sz w:val="24"/>
                <w:szCs w:val="24"/>
              </w:rPr>
              <w:t>指标</w:t>
            </w:r>
            <w:r>
              <w:rPr>
                <w:rFonts w:ascii="Times New Roman" w:hAnsi="Times New Roman" w:eastAsia="仿宋_GB2312" w:cs="Times New Roman"/>
                <w:sz w:val="24"/>
                <w:szCs w:val="24"/>
              </w:rPr>
              <w:t>用于扩建热源点新增能耗平衡</w:t>
            </w:r>
            <w:r>
              <w:rPr>
                <w:rFonts w:hint="eastAsia" w:ascii="Times New Roman" w:hAnsi="Times New Roman"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10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企业购买绿证</w:t>
            </w:r>
          </w:p>
        </w:tc>
        <w:tc>
          <w:tcPr>
            <w:tcW w:w="9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2.7</w:t>
            </w:r>
          </w:p>
        </w:tc>
        <w:tc>
          <w:tcPr>
            <w:tcW w:w="25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p>
        </w:tc>
        <w:tc>
          <w:tcPr>
            <w:tcW w:w="10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合计</w:t>
            </w:r>
          </w:p>
        </w:tc>
        <w:tc>
          <w:tcPr>
            <w:tcW w:w="9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5.4</w:t>
            </w:r>
          </w:p>
        </w:tc>
        <w:tc>
          <w:tcPr>
            <w:tcW w:w="256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p>
        </w:tc>
      </w:tr>
    </w:tbl>
    <w:p>
      <w:pPr>
        <w:spacing w:line="580" w:lineRule="exact"/>
        <w:rPr>
          <w:rFonts w:ascii="Times New Roman" w:hAnsi="Times New Roman" w:eastAsia="仿宋_GB2312" w:cs="Times New Roman"/>
          <w:sz w:val="28"/>
          <w:szCs w:val="28"/>
        </w:rPr>
      </w:pPr>
    </w:p>
    <w:p>
      <w:pPr>
        <w:pStyle w:val="4"/>
      </w:pPr>
      <w:bookmarkStart w:id="502" w:name="_Toc181983821"/>
      <w:bookmarkStart w:id="503" w:name="_Toc188636964"/>
      <w:bookmarkStart w:id="504" w:name="_Toc144301285"/>
      <w:bookmarkStart w:id="505" w:name="_Toc183631838"/>
      <w:bookmarkStart w:id="506" w:name="_Toc139379179"/>
      <w:bookmarkStart w:id="507" w:name="_Toc144301066"/>
      <w:bookmarkStart w:id="508" w:name="_Toc136514777"/>
      <w:bookmarkStart w:id="509" w:name="_Toc171197910"/>
      <w:r>
        <w:t>8.2.2</w:t>
      </w:r>
      <w:r>
        <w:rPr>
          <w:rFonts w:hint="eastAsia"/>
        </w:rPr>
        <w:t>煤耗平衡</w:t>
      </w:r>
      <w:bookmarkEnd w:id="502"/>
      <w:bookmarkEnd w:id="503"/>
      <w:bookmarkEnd w:id="504"/>
      <w:bookmarkEnd w:id="505"/>
      <w:bookmarkEnd w:id="506"/>
      <w:bookmarkEnd w:id="507"/>
      <w:bookmarkEnd w:id="508"/>
      <w:bookmarkEnd w:id="509"/>
    </w:p>
    <w:p>
      <w:pPr>
        <w:spacing w:line="580" w:lineRule="exact"/>
        <w:ind w:firstLine="556"/>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根据此次规划编制内容，用煤方面，浙江宝峰热电有限公司、海宁马桥大都市热电有限公司无改扩建计划，不新增原煤指标；规划扩建热源点</w:t>
      </w:r>
      <w:r>
        <w:rPr>
          <w:rFonts w:ascii="Times New Roman" w:hAnsi="Times New Roman" w:eastAsia="仿宋_GB2312" w:cs="Times New Roman"/>
          <w:sz w:val="28"/>
          <w:szCs w:val="28"/>
        </w:rPr>
        <w:t>1个，即海宁恒逸热电有限公司，</w:t>
      </w:r>
      <w:r>
        <w:rPr>
          <w:rFonts w:hint="eastAsia" w:ascii="Times New Roman" w:hAnsi="Times New Roman" w:eastAsia="仿宋_GB2312" w:cs="Times New Roman"/>
          <w:sz w:val="28"/>
          <w:szCs w:val="28"/>
        </w:rPr>
        <w:t>预计新增原煤指标约</w:t>
      </w:r>
      <w:r>
        <w:rPr>
          <w:rFonts w:ascii="Times New Roman" w:hAnsi="Times New Roman" w:eastAsia="仿宋_GB2312" w:cs="Times New Roman"/>
          <w:sz w:val="28"/>
          <w:szCs w:val="28"/>
        </w:rPr>
        <w:t>26</w:t>
      </w:r>
      <w:r>
        <w:rPr>
          <w:rFonts w:hint="eastAsia" w:ascii="Times New Roman" w:hAnsi="Times New Roman" w:eastAsia="仿宋_GB2312" w:cs="Times New Roman"/>
          <w:sz w:val="28"/>
          <w:szCs w:val="28"/>
        </w:rPr>
        <w:t>万吨；规划迁建热源点</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rPr>
        <w:t>个，即海宁红宝热电有限公司，该热电厂为</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等容量替代</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搬迁，不新增原煤指标；规划新增热源点</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个，其中，尖山新区第二公共热源点预计新增原煤指标约</w:t>
      </w:r>
      <w:r>
        <w:rPr>
          <w:rFonts w:ascii="Times New Roman" w:hAnsi="Times New Roman" w:eastAsia="仿宋_GB2312" w:cs="Times New Roman"/>
          <w:sz w:val="28"/>
          <w:szCs w:val="28"/>
        </w:rPr>
        <w:t>45</w:t>
      </w:r>
      <w:r>
        <w:rPr>
          <w:rFonts w:hint="eastAsia" w:ascii="Times New Roman" w:hAnsi="Times New Roman" w:eastAsia="仿宋_GB2312" w:cs="Times New Roman"/>
          <w:sz w:val="28"/>
          <w:szCs w:val="28"/>
        </w:rPr>
        <w:t>万吨，海宁绿动海云环保能源有限公司为垃圾电厂，不新增原煤指标；规划关停热源点</w:t>
      </w:r>
      <w:r>
        <w:rPr>
          <w:rFonts w:ascii="Times New Roman" w:hAnsi="Times New Roman" w:eastAsia="仿宋_GB2312" w:cs="Times New Roman"/>
          <w:sz w:val="28"/>
          <w:szCs w:val="28"/>
        </w:rPr>
        <w:t>1个，即浙江泰亿能源有限公司</w:t>
      </w:r>
      <w:r>
        <w:rPr>
          <w:rFonts w:hint="eastAsia" w:ascii="Times New Roman" w:hAnsi="Times New Roman" w:eastAsia="仿宋_GB2312" w:cs="Times New Roman"/>
          <w:sz w:val="28"/>
          <w:szCs w:val="28"/>
        </w:rPr>
        <w:t>，预计腾出原煤指标</w:t>
      </w:r>
      <w:r>
        <w:rPr>
          <w:rFonts w:ascii="Times New Roman" w:hAnsi="Times New Roman" w:eastAsia="仿宋_GB2312" w:cs="Times New Roman"/>
          <w:sz w:val="28"/>
          <w:szCs w:val="28"/>
        </w:rPr>
        <w:t>12.63</w:t>
      </w:r>
      <w:r>
        <w:rPr>
          <w:rFonts w:hint="eastAsia" w:ascii="Times New Roman" w:hAnsi="Times New Roman" w:eastAsia="仿宋_GB2312" w:cs="Times New Roman"/>
          <w:sz w:val="28"/>
          <w:szCs w:val="28"/>
        </w:rPr>
        <w:t>万吨。综上所述，本规划</w:t>
      </w:r>
      <w:r>
        <w:rPr>
          <w:rFonts w:ascii="Times New Roman" w:hAnsi="Times New Roman" w:eastAsia="仿宋_GB2312" w:cs="Times New Roman"/>
          <w:sz w:val="28"/>
          <w:szCs w:val="28"/>
        </w:rPr>
        <w:t>海宁恒逸热电有限公司</w:t>
      </w:r>
      <w:r>
        <w:rPr>
          <w:rFonts w:hint="eastAsia" w:ascii="Times New Roman" w:hAnsi="Times New Roman" w:eastAsia="仿宋_GB2312" w:cs="Times New Roman"/>
          <w:sz w:val="28"/>
          <w:szCs w:val="28"/>
        </w:rPr>
        <w:t>扩建和尖山新区第二公共热源点新建合计新增原煤指标约</w:t>
      </w:r>
      <w:r>
        <w:rPr>
          <w:rFonts w:ascii="Times New Roman" w:hAnsi="Times New Roman" w:eastAsia="仿宋_GB2312" w:cs="Times New Roman"/>
          <w:sz w:val="28"/>
          <w:szCs w:val="28"/>
        </w:rPr>
        <w:t>71</w:t>
      </w:r>
      <w:r>
        <w:rPr>
          <w:rFonts w:hint="eastAsia" w:ascii="Times New Roman" w:hAnsi="Times New Roman" w:eastAsia="仿宋_GB2312" w:cs="Times New Roman"/>
          <w:sz w:val="28"/>
          <w:szCs w:val="28"/>
        </w:rPr>
        <w:t>万吨，计划通过关停</w:t>
      </w:r>
      <w:r>
        <w:rPr>
          <w:rFonts w:ascii="Times New Roman" w:hAnsi="Times New Roman" w:eastAsia="仿宋_GB2312" w:cs="Times New Roman"/>
          <w:sz w:val="28"/>
          <w:szCs w:val="28"/>
        </w:rPr>
        <w:t>浙江泰亿能源有限公司</w:t>
      </w:r>
      <w:r>
        <w:rPr>
          <w:rFonts w:hint="eastAsia" w:ascii="Times New Roman" w:hAnsi="Times New Roman" w:eastAsia="仿宋_GB2312" w:cs="Times New Roman"/>
          <w:sz w:val="28"/>
          <w:szCs w:val="28"/>
        </w:rPr>
        <w:t>、关停分散燃煤锅炉等方式进行原煤指标平衡。</w:t>
      </w:r>
    </w:p>
    <w:p>
      <w:pPr>
        <w:spacing w:line="580" w:lineRule="exact"/>
        <w:ind w:firstLine="556"/>
        <w:rPr>
          <w:rFonts w:ascii="Times New Roman" w:hAnsi="Times New Roman" w:eastAsia="仿宋_GB2312" w:cs="Times New Roman"/>
          <w:sz w:val="28"/>
          <w:szCs w:val="28"/>
        </w:rPr>
      </w:pPr>
    </w:p>
    <w:p>
      <w:pPr>
        <w:spacing w:line="580" w:lineRule="exact"/>
        <w:ind w:firstLine="556"/>
        <w:rPr>
          <w:rFonts w:ascii="Times New Roman" w:hAnsi="Times New Roman" w:eastAsia="仿宋_GB2312" w:cs="Times New Roman"/>
          <w:sz w:val="28"/>
          <w:szCs w:val="28"/>
        </w:rPr>
      </w:pPr>
    </w:p>
    <w:p>
      <w:pPr>
        <w:spacing w:line="580" w:lineRule="exact"/>
        <w:ind w:firstLine="556"/>
        <w:rPr>
          <w:rFonts w:ascii="Times New Roman" w:hAnsi="Times New Roman" w:eastAsia="仿宋_GB2312" w:cs="Times New Roman"/>
          <w:sz w:val="28"/>
          <w:szCs w:val="28"/>
        </w:rPr>
      </w:pPr>
    </w:p>
    <w:p>
      <w:pPr>
        <w:spacing w:line="580" w:lineRule="exact"/>
        <w:ind w:firstLine="556"/>
        <w:rPr>
          <w:rFonts w:ascii="Times New Roman" w:hAnsi="Times New Roman" w:eastAsia="仿宋_GB2312" w:cs="Times New Roman"/>
          <w:sz w:val="28"/>
          <w:szCs w:val="28"/>
        </w:rPr>
      </w:pPr>
    </w:p>
    <w:p>
      <w:pPr>
        <w:spacing w:line="580" w:lineRule="exact"/>
        <w:ind w:firstLine="556"/>
        <w:rPr>
          <w:rFonts w:ascii="Times New Roman" w:hAnsi="Times New Roman" w:eastAsia="仿宋_GB2312" w:cs="Times New Roman"/>
          <w:sz w:val="28"/>
          <w:szCs w:val="28"/>
        </w:rPr>
      </w:pPr>
    </w:p>
    <w:p>
      <w:pPr>
        <w:spacing w:line="580" w:lineRule="exact"/>
        <w:jc w:val="center"/>
        <w:rPr>
          <w:rFonts w:ascii="黑体" w:hAnsi="黑体" w:eastAsia="黑体"/>
        </w:rPr>
      </w:pPr>
      <w:r>
        <w:rPr>
          <w:rFonts w:hint="eastAsia" w:ascii="黑体" w:hAnsi="黑体" w:eastAsia="黑体" w:cs="Times New Roman"/>
          <w:sz w:val="28"/>
          <w:szCs w:val="28"/>
        </w:rPr>
        <w:t>表</w:t>
      </w:r>
      <w:r>
        <w:rPr>
          <w:rFonts w:ascii="黑体" w:hAnsi="黑体" w:eastAsia="黑体" w:cs="Times New Roman"/>
          <w:sz w:val="28"/>
          <w:szCs w:val="28"/>
        </w:rPr>
        <w:t xml:space="preserve">8.2-2 </w:t>
      </w:r>
      <w:r>
        <w:rPr>
          <w:rFonts w:hint="eastAsia" w:ascii="黑体" w:hAnsi="黑体" w:eastAsia="黑体" w:cs="Times New Roman"/>
          <w:sz w:val="28"/>
          <w:szCs w:val="28"/>
        </w:rPr>
        <w:t>原煤指标平衡方案</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902"/>
        <w:gridCol w:w="2707"/>
        <w:gridCol w:w="2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序号</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平衡方案</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腾出原煤量（万吨）</w:t>
            </w:r>
          </w:p>
        </w:tc>
        <w:tc>
          <w:tcPr>
            <w:tcW w:w="142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原有万凯</w:t>
            </w:r>
            <w:r>
              <w:rPr>
                <w:rFonts w:ascii="Times New Roman" w:hAnsi="Times New Roman" w:eastAsia="仿宋_GB2312" w:cs="Times New Roman"/>
                <w:sz w:val="24"/>
                <w:szCs w:val="24"/>
              </w:rPr>
              <w:t>75万吨PET项目的用煤指标</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7</w:t>
            </w:r>
            <w:r>
              <w:rPr>
                <w:rFonts w:ascii="Times New Roman" w:hAnsi="Times New Roman" w:eastAsia="仿宋_GB2312" w:cs="Times New Roman"/>
                <w:sz w:val="24"/>
                <w:szCs w:val="24"/>
              </w:rPr>
              <w:t>.43</w:t>
            </w:r>
          </w:p>
        </w:tc>
        <w:tc>
          <w:tcPr>
            <w:tcW w:w="142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海宁市区域平衡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关停浙江泰亿能源有限公司</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2.63</w:t>
            </w:r>
          </w:p>
        </w:tc>
        <w:tc>
          <w:tcPr>
            <w:tcW w:w="142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海宁市区域平衡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3</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关停华德利燃煤锅炉</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w:t>
            </w:r>
          </w:p>
        </w:tc>
        <w:tc>
          <w:tcPr>
            <w:tcW w:w="142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海宁市区域平衡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4</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关停恒生印染燃煤锅炉</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r>
              <w:rPr>
                <w:rFonts w:ascii="Times New Roman" w:hAnsi="Times New Roman" w:eastAsia="仿宋_GB2312" w:cs="Times New Roman"/>
                <w:sz w:val="24"/>
                <w:szCs w:val="24"/>
              </w:rPr>
              <w:t>.87</w:t>
            </w:r>
          </w:p>
        </w:tc>
        <w:tc>
          <w:tcPr>
            <w:tcW w:w="142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海宁市区域平衡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关停嘉善中成热电</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7.21</w:t>
            </w:r>
          </w:p>
        </w:tc>
        <w:tc>
          <w:tcPr>
            <w:tcW w:w="142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嘉兴市市级层面统筹平衡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南湖区能达步云热电改造</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4.45</w:t>
            </w:r>
          </w:p>
        </w:tc>
        <w:tc>
          <w:tcPr>
            <w:tcW w:w="142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嘉兴市市级层面统筹平衡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w:t>
            </w: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嘉兴电厂一期淘汰</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32.41</w:t>
            </w:r>
          </w:p>
        </w:tc>
        <w:tc>
          <w:tcPr>
            <w:tcW w:w="142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由浙江省省级层面统筹平衡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p>
        </w:tc>
        <w:tc>
          <w:tcPr>
            <w:tcW w:w="162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合计</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71</w:t>
            </w:r>
          </w:p>
        </w:tc>
        <w:tc>
          <w:tcPr>
            <w:tcW w:w="142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p>
        </w:tc>
      </w:tr>
    </w:tbl>
    <w:p>
      <w:pPr>
        <w:pStyle w:val="3"/>
      </w:pPr>
      <w:bookmarkStart w:id="510" w:name="_Toc188636965"/>
      <w:r>
        <w:t>8.</w:t>
      </w:r>
      <w:bookmarkEnd w:id="492"/>
      <w:r>
        <w:t>3</w:t>
      </w:r>
      <w:r>
        <w:rPr>
          <w:rFonts w:hint="eastAsia"/>
        </w:rPr>
        <w:t>环保</w:t>
      </w:r>
      <w:bookmarkEnd w:id="510"/>
    </w:p>
    <w:p>
      <w:pPr>
        <w:pStyle w:val="4"/>
      </w:pPr>
      <w:bookmarkStart w:id="511" w:name="_Toc52265944"/>
      <w:bookmarkStart w:id="512" w:name="_Toc139379181"/>
      <w:bookmarkStart w:id="513" w:name="_Toc110595663"/>
      <w:bookmarkStart w:id="514" w:name="_Toc110677124"/>
      <w:bookmarkStart w:id="515" w:name="_Toc188636966"/>
      <w:bookmarkStart w:id="516" w:name="_Toc68800970"/>
      <w:bookmarkStart w:id="517" w:name="_Toc144301287"/>
      <w:bookmarkStart w:id="518" w:name="_Toc82546965"/>
      <w:bookmarkStart w:id="519" w:name="_Toc171197912"/>
      <w:bookmarkStart w:id="520" w:name="_Toc51233022"/>
      <w:bookmarkStart w:id="521" w:name="_Toc136514779"/>
      <w:bookmarkStart w:id="522" w:name="_Toc144301068"/>
      <w:bookmarkStart w:id="523" w:name="_Toc111225983"/>
      <w:bookmarkStart w:id="524" w:name="_Toc78117449"/>
      <w:bookmarkStart w:id="525" w:name="_Toc181983823"/>
      <w:bookmarkStart w:id="526" w:name="_Toc183631840"/>
      <w:r>
        <w:t>8.3.1</w:t>
      </w:r>
      <w:r>
        <w:rPr>
          <w:rFonts w:hint="eastAsia"/>
        </w:rPr>
        <w:t>绿色低碳</w:t>
      </w:r>
      <w:r>
        <w:t>目标</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“十四五”时期</w:t>
      </w:r>
      <w:r>
        <w:rPr>
          <w:rFonts w:ascii="Times New Roman" w:hAnsi="Times New Roman" w:eastAsia="仿宋_GB2312" w:cs="Times New Roman"/>
          <w:sz w:val="28"/>
        </w:rPr>
        <w:t>，</w:t>
      </w:r>
      <w:r>
        <w:rPr>
          <w:rFonts w:hint="eastAsia" w:ascii="Times New Roman" w:hAnsi="Times New Roman" w:eastAsia="仿宋_GB2312" w:cs="Times New Roman"/>
          <w:sz w:val="28"/>
        </w:rPr>
        <w:t>海宁市</w:t>
      </w:r>
      <w:r>
        <w:rPr>
          <w:rFonts w:ascii="Times New Roman" w:hAnsi="Times New Roman" w:eastAsia="仿宋_GB2312" w:cs="Times New Roman"/>
          <w:sz w:val="28"/>
        </w:rPr>
        <w:t>将继续按照国家和省里的总体部署，结合</w:t>
      </w:r>
      <w:r>
        <w:rPr>
          <w:rFonts w:hint="eastAsia" w:ascii="Times New Roman" w:hAnsi="Times New Roman" w:eastAsia="仿宋_GB2312" w:cs="Times New Roman"/>
          <w:sz w:val="28"/>
        </w:rPr>
        <w:t>海宁市</w:t>
      </w:r>
      <w:r>
        <w:rPr>
          <w:rFonts w:ascii="Times New Roman" w:hAnsi="Times New Roman" w:eastAsia="仿宋_GB2312" w:cs="Times New Roman"/>
          <w:sz w:val="28"/>
        </w:rPr>
        <w:t>实际情况，深入推进污染物</w:t>
      </w:r>
      <w:r>
        <w:rPr>
          <w:rFonts w:hint="eastAsia" w:ascii="Times New Roman" w:hAnsi="Times New Roman" w:eastAsia="仿宋_GB2312" w:cs="Times New Roman"/>
          <w:sz w:val="28"/>
        </w:rPr>
        <w:t>、二氧化碳</w:t>
      </w:r>
      <w:r>
        <w:rPr>
          <w:rFonts w:ascii="Times New Roman" w:hAnsi="Times New Roman" w:eastAsia="仿宋_GB2312" w:cs="Times New Roman"/>
          <w:sz w:val="28"/>
        </w:rPr>
        <w:t>减排工作。</w:t>
      </w:r>
    </w:p>
    <w:p>
      <w:pPr>
        <w:pStyle w:val="4"/>
      </w:pPr>
      <w:bookmarkStart w:id="527" w:name="_Toc181983824"/>
      <w:bookmarkStart w:id="528" w:name="_Toc139379182"/>
      <w:bookmarkStart w:id="529" w:name="_Toc188636967"/>
      <w:bookmarkStart w:id="530" w:name="_Toc171197913"/>
      <w:bookmarkStart w:id="531" w:name="_Toc183631841"/>
      <w:bookmarkStart w:id="532" w:name="_Toc111225984"/>
      <w:bookmarkStart w:id="533" w:name="_Toc68800971"/>
      <w:bookmarkStart w:id="534" w:name="_Toc110595664"/>
      <w:bookmarkStart w:id="535" w:name="_Toc144301069"/>
      <w:bookmarkStart w:id="536" w:name="_Toc78117450"/>
      <w:bookmarkStart w:id="537" w:name="_Toc110677125"/>
      <w:bookmarkStart w:id="538" w:name="_Toc51233023"/>
      <w:bookmarkStart w:id="539" w:name="_Toc144301288"/>
      <w:bookmarkStart w:id="540" w:name="_Toc136514780"/>
      <w:bookmarkStart w:id="541" w:name="_Toc52265945"/>
      <w:bookmarkStart w:id="542" w:name="_Toc82546966"/>
      <w:r>
        <w:t>8.3.2</w:t>
      </w:r>
      <w:r>
        <w:rPr>
          <w:rFonts w:hint="eastAsia"/>
        </w:rPr>
        <w:t>环保与减碳</w:t>
      </w:r>
      <w:r>
        <w:t>效益</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pPr>
        <w:spacing w:line="580" w:lineRule="exact"/>
        <w:ind w:firstLine="561"/>
        <w:rPr>
          <w:rFonts w:ascii="Times New Roman" w:hAnsi="Times New Roman" w:eastAsia="仿宋_GB2312" w:cs="Times New Roman"/>
          <w:sz w:val="28"/>
        </w:rPr>
      </w:pPr>
      <w:r>
        <w:rPr>
          <w:rFonts w:hint="eastAsia" w:ascii="Times New Roman" w:hAnsi="Times New Roman" w:eastAsia="仿宋_GB2312" w:cs="Times New Roman"/>
          <w:sz w:val="28"/>
        </w:rPr>
        <w:t>热电联产对提高大气质量、改善环境效果显着。本规划实施后，将有效改善区域的大气环境。</w:t>
      </w:r>
      <w:r>
        <w:rPr>
          <w:rFonts w:ascii="Times New Roman" w:hAnsi="Times New Roman" w:eastAsia="仿宋_GB2312" w:cs="Times New Roman"/>
          <w:sz w:val="28"/>
        </w:rPr>
        <w:t>热电厂锅炉容量大，热效率高，烟囱高，扩散效果好，循环流化床锅炉可炉内脱硫。锅炉烟气污染物（烟尘、二氧化硫）采用集中治理，相比目前分散锅炉房烟尘治理效果差、无脱硫治理状况而言，区域内烟尘排放量，特别是二氧化硫排放量将明显降低。同时，热电厂采用高烟囱烟气排放，增大扩散面积，相比分散锅炉房低烟囱排放状况，规划区域污染物落地浓度将降低，有利于区域环境条件的改善。</w:t>
      </w:r>
      <w:r>
        <w:rPr>
          <w:rFonts w:hint="eastAsia" w:ascii="Times New Roman" w:hAnsi="Times New Roman" w:eastAsia="仿宋_GB2312" w:cs="Times New Roman"/>
          <w:sz w:val="28"/>
        </w:rPr>
        <w:t>采用集中供热，用汽企业还可减少分散小锅炉房及煤场、灰场占用土地，既改善环境，又节省宝贵的建设用地。同时集中供热可以在热源点集中绿化建设，减少烟尘的扩散，控制噪</w:t>
      </w:r>
      <w:r>
        <w:rPr>
          <w:rFonts w:hint="eastAsia" w:ascii="Times New Roman" w:hAnsi="Times New Roman" w:eastAsia="仿宋_GB2312" w:cs="Times New Roman"/>
          <w:sz w:val="28"/>
          <w:lang w:val="en-US" w:eastAsia="zh-CN"/>
        </w:rPr>
        <w:t>声</w:t>
      </w:r>
      <w:r>
        <w:rPr>
          <w:rFonts w:hint="eastAsia" w:ascii="Times New Roman" w:hAnsi="Times New Roman" w:eastAsia="仿宋_GB2312" w:cs="Times New Roman"/>
          <w:sz w:val="28"/>
        </w:rPr>
        <w:t>污染。</w:t>
      </w:r>
    </w:p>
    <w:p>
      <w:pPr>
        <w:spacing w:line="580" w:lineRule="exact"/>
        <w:ind w:firstLine="561"/>
        <w:rPr>
          <w:rFonts w:ascii="Times New Roman" w:hAnsi="Times New Roman" w:eastAsia="仿宋_GB2312" w:cs="Times New Roman"/>
          <w:sz w:val="28"/>
        </w:rPr>
      </w:pPr>
      <w:r>
        <w:rPr>
          <w:rFonts w:hint="eastAsia" w:ascii="Times New Roman" w:hAnsi="Times New Roman" w:eastAsia="仿宋_GB2312" w:cs="Times New Roman"/>
          <w:sz w:val="28"/>
        </w:rPr>
        <w:t>根据本规划，到</w:t>
      </w:r>
      <w:r>
        <w:rPr>
          <w:rFonts w:ascii="Times New Roman" w:hAnsi="Times New Roman" w:eastAsia="仿宋_GB2312" w:cs="Times New Roman"/>
          <w:sz w:val="28"/>
        </w:rPr>
        <w:t>2030</w:t>
      </w:r>
      <w:r>
        <w:rPr>
          <w:rFonts w:hint="eastAsia" w:ascii="Times New Roman" w:hAnsi="Times New Roman" w:eastAsia="仿宋_GB2312" w:cs="Times New Roman"/>
          <w:sz w:val="28"/>
        </w:rPr>
        <w:t>年集中供热设计平均热负荷为</w:t>
      </w:r>
      <w:r>
        <w:rPr>
          <w:rFonts w:ascii="Times New Roman" w:hAnsi="Times New Roman" w:eastAsia="仿宋_GB2312" w:cs="Times New Roman"/>
          <w:sz w:val="28"/>
        </w:rPr>
        <w:t>1872.1t/h</w:t>
      </w:r>
      <w:r>
        <w:rPr>
          <w:rFonts w:hint="eastAsia" w:ascii="Times New Roman" w:hAnsi="Times New Roman" w:eastAsia="仿宋_GB2312" w:cs="Times New Roman"/>
          <w:sz w:val="28"/>
        </w:rPr>
        <w:t>，其中设计平均热负荷新增</w:t>
      </w:r>
      <w:r>
        <w:rPr>
          <w:rFonts w:ascii="Times New Roman" w:hAnsi="Times New Roman" w:eastAsia="仿宋_GB2312" w:cs="Times New Roman"/>
          <w:sz w:val="28"/>
        </w:rPr>
        <w:t>1199.2t/h</w:t>
      </w:r>
      <w:r>
        <w:rPr>
          <w:rFonts w:hint="eastAsia" w:ascii="Times New Roman" w:hAnsi="Times New Roman" w:eastAsia="仿宋_GB2312" w:cs="Times New Roman"/>
          <w:sz w:val="28"/>
        </w:rPr>
        <w:t>，由高效率的燃煤大锅炉和生物质锅炉集中供热取代大量分散低效率的小锅炉供热。根据浙江省火电机组污染物排放情况，约减排二氧化硫</w:t>
      </w:r>
      <w:r>
        <w:rPr>
          <w:rFonts w:ascii="Times New Roman" w:hAnsi="Times New Roman" w:eastAsia="仿宋_GB2312" w:cs="Times New Roman"/>
          <w:sz w:val="28"/>
        </w:rPr>
        <w:t>198</w:t>
      </w:r>
      <w:r>
        <w:rPr>
          <w:rFonts w:hint="eastAsia" w:ascii="Times New Roman" w:hAnsi="Times New Roman" w:eastAsia="仿宋_GB2312" w:cs="Times New Roman"/>
          <w:sz w:val="28"/>
        </w:rPr>
        <w:t>吨，减排烟尘</w:t>
      </w:r>
      <w:r>
        <w:rPr>
          <w:rFonts w:ascii="Times New Roman" w:hAnsi="Times New Roman" w:eastAsia="仿宋_GB2312" w:cs="Times New Roman"/>
          <w:sz w:val="28"/>
        </w:rPr>
        <w:t>62</w:t>
      </w:r>
      <w:r>
        <w:rPr>
          <w:rFonts w:hint="eastAsia" w:ascii="Times New Roman" w:hAnsi="Times New Roman" w:eastAsia="仿宋_GB2312" w:cs="Times New Roman"/>
          <w:sz w:val="28"/>
        </w:rPr>
        <w:t>吨，减排氮氧化物</w:t>
      </w:r>
      <w:r>
        <w:rPr>
          <w:rFonts w:ascii="Times New Roman" w:hAnsi="Times New Roman" w:eastAsia="仿宋_GB2312" w:cs="Times New Roman"/>
          <w:sz w:val="28"/>
        </w:rPr>
        <w:t>390</w:t>
      </w:r>
      <w:r>
        <w:rPr>
          <w:rFonts w:hint="eastAsia" w:ascii="Times New Roman" w:hAnsi="Times New Roman" w:eastAsia="仿宋_GB2312" w:cs="Times New Roman"/>
          <w:sz w:val="28"/>
        </w:rPr>
        <w:t>吨，减排二氧化碳</w:t>
      </w:r>
      <w:r>
        <w:rPr>
          <w:rFonts w:ascii="Times New Roman" w:hAnsi="Times New Roman" w:eastAsia="仿宋_GB2312" w:cs="Times New Roman"/>
          <w:sz w:val="28"/>
        </w:rPr>
        <w:t>133</w:t>
      </w:r>
      <w:r>
        <w:rPr>
          <w:rFonts w:hint="eastAsia" w:ascii="Times New Roman" w:hAnsi="Times New Roman" w:eastAsia="仿宋_GB2312" w:cs="Times New Roman"/>
          <w:sz w:val="28"/>
        </w:rPr>
        <w:t>万吨。</w:t>
      </w:r>
      <w:r>
        <w:rPr>
          <w:rFonts w:ascii="Times New Roman" w:hAnsi="Times New Roman" w:eastAsia="仿宋_GB2312" w:cs="Times New Roman"/>
          <w:sz w:val="28"/>
        </w:rPr>
        <w:t>在确保</w:t>
      </w:r>
      <w:r>
        <w:rPr>
          <w:rFonts w:hint="eastAsia" w:ascii="Times New Roman" w:hAnsi="Times New Roman" w:eastAsia="仿宋_GB2312" w:cs="Times New Roman"/>
          <w:sz w:val="28"/>
        </w:rPr>
        <w:t>海宁市</w:t>
      </w:r>
      <w:r>
        <w:rPr>
          <w:rFonts w:ascii="Times New Roman" w:hAnsi="Times New Roman" w:eastAsia="仿宋_GB2312" w:cs="Times New Roman"/>
          <w:sz w:val="28"/>
        </w:rPr>
        <w:t>生产用汽需求的同时，又有利于减少污染物</w:t>
      </w:r>
      <w:r>
        <w:rPr>
          <w:rFonts w:hint="eastAsia" w:ascii="Times New Roman" w:hAnsi="Times New Roman" w:eastAsia="仿宋_GB2312" w:cs="Times New Roman"/>
          <w:sz w:val="28"/>
        </w:rPr>
        <w:t>、二氧化碳</w:t>
      </w:r>
      <w:r>
        <w:rPr>
          <w:rFonts w:ascii="Times New Roman" w:hAnsi="Times New Roman" w:eastAsia="仿宋_GB2312" w:cs="Times New Roman"/>
          <w:sz w:val="28"/>
        </w:rPr>
        <w:t>的排放，促进节能减排工作，符合国家有关发展热电联产政策。</w:t>
      </w:r>
    </w:p>
    <w:p>
      <w:pPr>
        <w:spacing w:line="580" w:lineRule="exact"/>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8.3-1 </w:t>
      </w:r>
      <w:r>
        <w:rPr>
          <w:rFonts w:hint="eastAsia" w:ascii="黑体" w:hAnsi="黑体" w:eastAsia="黑体" w:cs="Times New Roman"/>
          <w:sz w:val="28"/>
          <w:szCs w:val="28"/>
        </w:rPr>
        <w:t>规划期环境效益减排量汇总表</w:t>
      </w:r>
    </w:p>
    <w:tbl>
      <w:tblPr>
        <w:tblStyle w:val="24"/>
        <w:tblW w:w="7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4"/>
        <w:gridCol w:w="1788"/>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tcPr>
          <w:p>
            <w:pPr>
              <w:jc w:val="center"/>
              <w:rPr>
                <w:rFonts w:ascii="Times New Roman" w:hAnsi="Times New Roman" w:eastAsia="仿宋_GB2312" w:cs="Times New Roman"/>
                <w:b/>
                <w:color w:val="000000"/>
                <w:sz w:val="24"/>
              </w:rPr>
            </w:pPr>
            <w:r>
              <w:rPr>
                <w:rFonts w:ascii="Times New Roman" w:hAnsi="Times New Roman" w:eastAsia="仿宋_GB2312" w:cs="Times New Roman"/>
                <w:b/>
                <w:color w:val="000000"/>
                <w:sz w:val="24"/>
              </w:rPr>
              <w:t>污染物</w:t>
            </w:r>
          </w:p>
        </w:tc>
        <w:tc>
          <w:tcPr>
            <w:tcW w:w="1788" w:type="dxa"/>
          </w:tcPr>
          <w:p>
            <w:pPr>
              <w:jc w:val="center"/>
              <w:rPr>
                <w:rFonts w:ascii="Times New Roman" w:hAnsi="Times New Roman" w:eastAsia="仿宋_GB2312" w:cs="Times New Roman"/>
                <w:b/>
                <w:color w:val="000000"/>
                <w:sz w:val="24"/>
              </w:rPr>
            </w:pPr>
            <w:r>
              <w:rPr>
                <w:rFonts w:ascii="Times New Roman" w:hAnsi="Times New Roman" w:eastAsia="仿宋_GB2312" w:cs="Times New Roman"/>
                <w:b/>
                <w:color w:val="000000"/>
                <w:sz w:val="24"/>
              </w:rPr>
              <w:t>单位</w:t>
            </w:r>
          </w:p>
        </w:tc>
        <w:tc>
          <w:tcPr>
            <w:tcW w:w="2968" w:type="dxa"/>
          </w:tcPr>
          <w:p>
            <w:pPr>
              <w:jc w:val="center"/>
              <w:rPr>
                <w:rFonts w:ascii="Times New Roman" w:hAnsi="Times New Roman" w:eastAsia="仿宋_GB2312" w:cs="Times New Roman"/>
                <w:b/>
                <w:color w:val="000000"/>
                <w:sz w:val="24"/>
              </w:rPr>
            </w:pPr>
            <w:r>
              <w:rPr>
                <w:rFonts w:ascii="Times New Roman" w:hAnsi="Times New Roman" w:eastAsia="仿宋_GB2312" w:cs="Times New Roman"/>
                <w:b/>
                <w:color w:val="000000"/>
                <w:sz w:val="24"/>
              </w:rPr>
              <w:t>节能量对应减排量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vAlign w:val="bottom"/>
          </w:tcPr>
          <w:p>
            <w:pPr>
              <w:widowControl/>
              <w:jc w:val="center"/>
              <w:rPr>
                <w:rFonts w:ascii="Times New Roman" w:hAnsi="Times New Roman" w:eastAsia="仿宋_GB2312" w:cs="Times New Roman"/>
                <w:sz w:val="24"/>
                <w:lang w:bidi="ar"/>
              </w:rPr>
            </w:pPr>
            <w:r>
              <w:rPr>
                <w:rFonts w:ascii="Times New Roman" w:hAnsi="Times New Roman" w:eastAsia="仿宋_GB2312" w:cs="Times New Roman"/>
                <w:color w:val="000000"/>
                <w:sz w:val="24"/>
                <w:lang w:bidi="ar"/>
              </w:rPr>
              <w:t>二氧化硫</w:t>
            </w:r>
          </w:p>
        </w:tc>
        <w:tc>
          <w:tcPr>
            <w:tcW w:w="1788" w:type="dxa"/>
          </w:tcPr>
          <w:p>
            <w:pPr>
              <w:widowControl/>
              <w:jc w:val="center"/>
              <w:rPr>
                <w:rFonts w:ascii="Times New Roman" w:hAnsi="Times New Roman" w:eastAsia="仿宋_GB2312" w:cs="Times New Roman"/>
                <w:color w:val="000000"/>
                <w:sz w:val="24"/>
                <w:lang w:bidi="ar"/>
              </w:rPr>
            </w:pPr>
            <w:r>
              <w:rPr>
                <w:rFonts w:ascii="Times New Roman" w:hAnsi="Times New Roman" w:eastAsia="仿宋_GB2312" w:cs="Times New Roman"/>
                <w:color w:val="000000"/>
                <w:sz w:val="24"/>
                <w:lang w:bidi="ar"/>
              </w:rPr>
              <w:t>吨</w:t>
            </w:r>
          </w:p>
        </w:tc>
        <w:tc>
          <w:tcPr>
            <w:tcW w:w="2968" w:type="dxa"/>
            <w:vAlign w:val="bottom"/>
          </w:tcPr>
          <w:p>
            <w:pPr>
              <w:widowControl/>
              <w:jc w:val="center"/>
              <w:textAlignment w:val="bottom"/>
              <w:rPr>
                <w:rFonts w:ascii="Times New Roman" w:hAnsi="Times New Roman" w:eastAsia="等线" w:cs="Times New Roman"/>
                <w:color w:val="000000"/>
                <w:kern w:val="0"/>
                <w:sz w:val="24"/>
                <w:szCs w:val="24"/>
                <w:lang w:bidi="ar"/>
              </w:rPr>
            </w:pPr>
            <w:r>
              <w:rPr>
                <w:rFonts w:ascii="Times New Roman" w:hAnsi="Times New Roman" w:eastAsia="等线" w:cs="Times New Roman"/>
                <w:color w:val="000000"/>
                <w:kern w:val="0"/>
                <w:sz w:val="24"/>
                <w:szCs w:val="24"/>
                <w:lang w:bidi="ar"/>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vAlign w:val="bottom"/>
          </w:tcPr>
          <w:p>
            <w:pPr>
              <w:widowControl/>
              <w:jc w:val="center"/>
              <w:rPr>
                <w:rFonts w:ascii="Times New Roman" w:hAnsi="Times New Roman" w:eastAsia="仿宋_GB2312" w:cs="Times New Roman"/>
                <w:sz w:val="24"/>
                <w:lang w:bidi="ar"/>
              </w:rPr>
            </w:pPr>
            <w:r>
              <w:rPr>
                <w:rFonts w:ascii="Times New Roman" w:hAnsi="Times New Roman" w:eastAsia="仿宋_GB2312" w:cs="Times New Roman"/>
                <w:color w:val="000000"/>
                <w:sz w:val="24"/>
                <w:lang w:bidi="ar"/>
              </w:rPr>
              <w:t>氮氧化物</w:t>
            </w:r>
          </w:p>
        </w:tc>
        <w:tc>
          <w:tcPr>
            <w:tcW w:w="1788" w:type="dxa"/>
          </w:tcPr>
          <w:p>
            <w:pPr>
              <w:widowControl/>
              <w:jc w:val="center"/>
              <w:rPr>
                <w:rFonts w:ascii="Times New Roman" w:hAnsi="Times New Roman" w:eastAsia="仿宋_GB2312" w:cs="Times New Roman"/>
                <w:color w:val="000000"/>
                <w:sz w:val="24"/>
                <w:lang w:bidi="ar"/>
              </w:rPr>
            </w:pPr>
            <w:r>
              <w:rPr>
                <w:rFonts w:ascii="Times New Roman" w:hAnsi="Times New Roman" w:eastAsia="仿宋_GB2312" w:cs="Times New Roman"/>
                <w:sz w:val="24"/>
                <w:lang w:bidi="ar"/>
              </w:rPr>
              <w:t>吨</w:t>
            </w:r>
          </w:p>
        </w:tc>
        <w:tc>
          <w:tcPr>
            <w:tcW w:w="2968" w:type="dxa"/>
            <w:vAlign w:val="bottom"/>
          </w:tcPr>
          <w:p>
            <w:pPr>
              <w:widowControl/>
              <w:jc w:val="center"/>
              <w:textAlignment w:val="bottom"/>
              <w:rPr>
                <w:rFonts w:ascii="Times New Roman" w:hAnsi="Times New Roman" w:eastAsia="等线" w:cs="Times New Roman"/>
                <w:color w:val="000000"/>
                <w:kern w:val="0"/>
                <w:sz w:val="24"/>
                <w:szCs w:val="24"/>
                <w:lang w:bidi="ar"/>
              </w:rPr>
            </w:pPr>
            <w:r>
              <w:rPr>
                <w:rFonts w:ascii="Times New Roman" w:hAnsi="Times New Roman" w:eastAsia="等线" w:cs="Times New Roman"/>
                <w:color w:val="000000"/>
                <w:kern w:val="0"/>
                <w:sz w:val="24"/>
                <w:szCs w:val="24"/>
                <w:lang w:bidi="ar"/>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vAlign w:val="bottom"/>
          </w:tcPr>
          <w:p>
            <w:pPr>
              <w:widowControl/>
              <w:jc w:val="center"/>
              <w:rPr>
                <w:rFonts w:ascii="Times New Roman" w:hAnsi="Times New Roman" w:eastAsia="仿宋_GB2312" w:cs="Times New Roman"/>
                <w:sz w:val="24"/>
                <w:lang w:bidi="ar"/>
              </w:rPr>
            </w:pPr>
            <w:r>
              <w:rPr>
                <w:rFonts w:ascii="Times New Roman" w:hAnsi="Times New Roman" w:eastAsia="仿宋_GB2312" w:cs="Times New Roman"/>
                <w:color w:val="000000"/>
                <w:sz w:val="24"/>
                <w:lang w:bidi="ar"/>
              </w:rPr>
              <w:t>烟尘</w:t>
            </w:r>
          </w:p>
        </w:tc>
        <w:tc>
          <w:tcPr>
            <w:tcW w:w="1788" w:type="dxa"/>
          </w:tcPr>
          <w:p>
            <w:pPr>
              <w:widowControl/>
              <w:jc w:val="center"/>
              <w:rPr>
                <w:rFonts w:ascii="Times New Roman" w:hAnsi="Times New Roman" w:eastAsia="仿宋_GB2312" w:cs="Times New Roman"/>
                <w:color w:val="000000"/>
                <w:sz w:val="24"/>
                <w:lang w:bidi="ar"/>
              </w:rPr>
            </w:pPr>
            <w:r>
              <w:rPr>
                <w:rFonts w:ascii="Times New Roman" w:hAnsi="Times New Roman" w:eastAsia="仿宋_GB2312" w:cs="Times New Roman"/>
                <w:sz w:val="24"/>
                <w:lang w:bidi="ar"/>
              </w:rPr>
              <w:t>吨</w:t>
            </w:r>
          </w:p>
        </w:tc>
        <w:tc>
          <w:tcPr>
            <w:tcW w:w="2968" w:type="dxa"/>
            <w:vAlign w:val="bottom"/>
          </w:tcPr>
          <w:p>
            <w:pPr>
              <w:widowControl/>
              <w:jc w:val="center"/>
              <w:textAlignment w:val="bottom"/>
              <w:rPr>
                <w:rFonts w:ascii="Times New Roman" w:hAnsi="Times New Roman" w:eastAsia="等线" w:cs="Times New Roman"/>
                <w:color w:val="000000"/>
                <w:kern w:val="0"/>
                <w:sz w:val="24"/>
                <w:szCs w:val="24"/>
                <w:lang w:bidi="ar"/>
              </w:rPr>
            </w:pPr>
            <w:r>
              <w:rPr>
                <w:rFonts w:ascii="Times New Roman" w:hAnsi="Times New Roman" w:eastAsia="等线" w:cs="Times New Roman"/>
                <w:color w:val="000000"/>
                <w:kern w:val="0"/>
                <w:sz w:val="24"/>
                <w:szCs w:val="24"/>
                <w:lang w:bidi="ar"/>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4" w:type="dxa"/>
            <w:vAlign w:val="bottom"/>
          </w:tcPr>
          <w:p>
            <w:pPr>
              <w:widowControl/>
              <w:jc w:val="center"/>
              <w:rPr>
                <w:rFonts w:ascii="Times New Roman" w:hAnsi="Times New Roman" w:eastAsia="仿宋_GB2312" w:cs="Times New Roman"/>
                <w:sz w:val="24"/>
                <w:lang w:bidi="ar"/>
              </w:rPr>
            </w:pPr>
            <w:r>
              <w:rPr>
                <w:rFonts w:ascii="Times New Roman" w:hAnsi="Times New Roman" w:eastAsia="仿宋_GB2312" w:cs="Times New Roman"/>
                <w:color w:val="000000"/>
                <w:sz w:val="24"/>
                <w:lang w:bidi="ar"/>
              </w:rPr>
              <w:t>二氧化碳</w:t>
            </w:r>
          </w:p>
        </w:tc>
        <w:tc>
          <w:tcPr>
            <w:tcW w:w="1788" w:type="dxa"/>
          </w:tcPr>
          <w:p>
            <w:pPr>
              <w:widowControl/>
              <w:jc w:val="center"/>
              <w:rPr>
                <w:rFonts w:ascii="Times New Roman" w:hAnsi="Times New Roman" w:eastAsia="仿宋_GB2312" w:cs="Times New Roman"/>
                <w:color w:val="000000"/>
                <w:sz w:val="24"/>
                <w:lang w:bidi="ar"/>
              </w:rPr>
            </w:pPr>
            <w:r>
              <w:rPr>
                <w:rFonts w:ascii="Times New Roman" w:hAnsi="Times New Roman" w:eastAsia="仿宋_GB2312" w:cs="Times New Roman"/>
                <w:sz w:val="24"/>
                <w:lang w:bidi="ar"/>
              </w:rPr>
              <w:t>万吨</w:t>
            </w:r>
          </w:p>
        </w:tc>
        <w:tc>
          <w:tcPr>
            <w:tcW w:w="2968" w:type="dxa"/>
            <w:vAlign w:val="bottom"/>
          </w:tcPr>
          <w:p>
            <w:pPr>
              <w:widowControl/>
              <w:jc w:val="center"/>
              <w:textAlignment w:val="bottom"/>
              <w:rPr>
                <w:rFonts w:ascii="Times New Roman" w:hAnsi="Times New Roman" w:eastAsia="等线" w:cs="Times New Roman"/>
                <w:color w:val="000000"/>
                <w:kern w:val="0"/>
                <w:sz w:val="24"/>
                <w:szCs w:val="24"/>
                <w:lang w:bidi="ar"/>
              </w:rPr>
            </w:pPr>
            <w:r>
              <w:rPr>
                <w:rFonts w:ascii="Times New Roman" w:hAnsi="Times New Roman" w:eastAsia="等线" w:cs="Times New Roman"/>
                <w:color w:val="000000"/>
                <w:kern w:val="0"/>
                <w:sz w:val="24"/>
                <w:szCs w:val="24"/>
                <w:lang w:bidi="ar"/>
              </w:rPr>
              <w:t>133</w:t>
            </w:r>
          </w:p>
        </w:tc>
      </w:tr>
    </w:tbl>
    <w:p>
      <w:pPr>
        <w:pStyle w:val="4"/>
      </w:pPr>
      <w:bookmarkStart w:id="543" w:name="_Toc181983825"/>
      <w:bookmarkStart w:id="544" w:name="_Toc68800972"/>
      <w:bookmarkStart w:id="545" w:name="_Toc82546967"/>
      <w:bookmarkStart w:id="546" w:name="_Toc52265946"/>
      <w:bookmarkStart w:id="547" w:name="_Toc188636968"/>
      <w:bookmarkStart w:id="548" w:name="_Toc110677126"/>
      <w:bookmarkStart w:id="549" w:name="_Toc171197914"/>
      <w:bookmarkStart w:id="550" w:name="_Toc136514781"/>
      <w:bookmarkStart w:id="551" w:name="_Toc144301289"/>
      <w:bookmarkStart w:id="552" w:name="_Toc110595665"/>
      <w:bookmarkStart w:id="553" w:name="_Toc183631842"/>
      <w:bookmarkStart w:id="554" w:name="_Toc111225985"/>
      <w:bookmarkStart w:id="555" w:name="_Toc139379183"/>
      <w:bookmarkStart w:id="556" w:name="_Toc78117451"/>
      <w:bookmarkStart w:id="557" w:name="_Toc144301070"/>
      <w:bookmarkStart w:id="558" w:name="_Toc51233024"/>
      <w:r>
        <w:t>8.3.3环保</w:t>
      </w:r>
      <w:r>
        <w:rPr>
          <w:rFonts w:hint="eastAsia"/>
        </w:rPr>
        <w:t>与减碳</w:t>
      </w:r>
      <w:r>
        <w:t>措施</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pPr>
        <w:spacing w:line="580" w:lineRule="exact"/>
        <w:ind w:firstLine="555"/>
        <w:rPr>
          <w:rFonts w:ascii="Times New Roman" w:hAnsi="Times New Roman" w:eastAsia="仿宋_GB2312" w:cs="Times New Roman"/>
          <w:sz w:val="28"/>
        </w:rPr>
      </w:pPr>
      <w:r>
        <w:rPr>
          <w:rFonts w:ascii="Times New Roman" w:hAnsi="Times New Roman" w:eastAsia="仿宋_GB2312" w:cs="Times New Roman"/>
          <w:sz w:val="28"/>
        </w:rPr>
        <w:t>规划热电厂建设中必须努力做到环保设施和电厂主体工程“三同时”。</w:t>
      </w:r>
    </w:p>
    <w:p>
      <w:pPr>
        <w:spacing w:line="580" w:lineRule="exact"/>
        <w:ind w:firstLine="560"/>
        <w:rPr>
          <w:rFonts w:ascii="Times New Roman" w:hAnsi="Times New Roman" w:eastAsia="仿宋_GB2312" w:cs="Times New Roman"/>
          <w:sz w:val="28"/>
          <w:szCs w:val="24"/>
        </w:rPr>
      </w:pPr>
      <w:r>
        <w:rPr>
          <w:rFonts w:hint="eastAsia" w:ascii="Times New Roman" w:hAnsi="Times New Roman" w:eastAsia="仿宋_GB2312" w:cs="宋体"/>
          <w:sz w:val="28"/>
        </w:rPr>
        <w:t>（1）</w:t>
      </w:r>
      <w:r>
        <w:rPr>
          <w:rFonts w:ascii="Times New Roman" w:hAnsi="Times New Roman" w:eastAsia="仿宋_GB2312" w:cs="Times New Roman"/>
          <w:sz w:val="28"/>
          <w:szCs w:val="24"/>
        </w:rPr>
        <w:t>天然气的主要成份为甲烷，其燃烧后烟气中的烟尘、二氧化硫含量甚微</w:t>
      </w:r>
      <w:r>
        <w:rPr>
          <w:rFonts w:ascii="Times New Roman" w:hAnsi="Times New Roman" w:eastAsia="仿宋_GB2312" w:cs="Times New Roman"/>
          <w:sz w:val="28"/>
        </w:rPr>
        <w:t>，二氧化硫排放浓度要符合</w:t>
      </w:r>
      <w:r>
        <w:rPr>
          <w:rFonts w:hint="eastAsia" w:ascii="Times New Roman" w:hAnsi="Times New Roman" w:eastAsia="仿宋_GB2312" w:cs="Times New Roman"/>
          <w:sz w:val="28"/>
        </w:rPr>
        <w:t>《燃煤电厂大气污染物排放标准》（</w:t>
      </w:r>
      <w:r>
        <w:rPr>
          <w:rFonts w:ascii="Times New Roman" w:hAnsi="Times New Roman" w:eastAsia="仿宋_GB2312" w:cs="Times New Roman"/>
          <w:sz w:val="28"/>
        </w:rPr>
        <w:t>DB332147-2018）规定的最高允许排放浓度35mg/Nm</w:t>
      </w:r>
      <w:r>
        <w:rPr>
          <w:rFonts w:ascii="Times New Roman" w:hAnsi="Times New Roman" w:eastAsia="仿宋_GB2312" w:cs="Times New Roman"/>
          <w:sz w:val="28"/>
          <w:vertAlign w:val="superscript"/>
        </w:rPr>
        <w:t>3</w:t>
      </w:r>
      <w:r>
        <w:rPr>
          <w:rFonts w:ascii="Times New Roman" w:hAnsi="Times New Roman" w:eastAsia="仿宋_GB2312" w:cs="Times New Roman"/>
          <w:sz w:val="28"/>
        </w:rPr>
        <w:t>的要求。</w:t>
      </w:r>
      <w:r>
        <w:rPr>
          <w:rFonts w:ascii="Times New Roman" w:hAnsi="Times New Roman" w:eastAsia="仿宋_GB2312" w:cs="Times New Roman"/>
          <w:sz w:val="28"/>
          <w:szCs w:val="24"/>
        </w:rPr>
        <w:t>氮氧化物的排放量也远低于燃煤机组的排放水平</w:t>
      </w:r>
      <w:r>
        <w:rPr>
          <w:rFonts w:ascii="Times New Roman" w:hAnsi="Times New Roman" w:eastAsia="仿宋_GB2312" w:cs="Times New Roman"/>
          <w:sz w:val="28"/>
        </w:rPr>
        <w:t>，烟气成分中NO</w:t>
      </w:r>
      <w:r>
        <w:rPr>
          <w:rFonts w:ascii="Times New Roman" w:hAnsi="Times New Roman" w:eastAsia="仿宋_GB2312" w:cs="Times New Roman"/>
          <w:sz w:val="28"/>
          <w:szCs w:val="24"/>
          <w:vertAlign w:val="subscript"/>
        </w:rPr>
        <w:t>X</w:t>
      </w:r>
      <w:r>
        <w:rPr>
          <w:rFonts w:ascii="Times New Roman" w:hAnsi="Times New Roman" w:eastAsia="仿宋_GB2312" w:cs="Times New Roman"/>
          <w:sz w:val="28"/>
        </w:rPr>
        <w:t>排放浓度要符合</w:t>
      </w:r>
      <w:r>
        <w:rPr>
          <w:rFonts w:hint="eastAsia" w:ascii="Times New Roman" w:hAnsi="Times New Roman" w:eastAsia="仿宋_GB2312" w:cs="Times New Roman"/>
          <w:sz w:val="28"/>
        </w:rPr>
        <w:t>《燃煤电厂大气污染物排放标准》（</w:t>
      </w:r>
      <w:r>
        <w:rPr>
          <w:rFonts w:ascii="Times New Roman" w:hAnsi="Times New Roman" w:eastAsia="仿宋_GB2312" w:cs="Times New Roman"/>
          <w:sz w:val="28"/>
        </w:rPr>
        <w:t>DB332147-2018）规定的最高允许排放浓度50mg/Nm</w:t>
      </w:r>
      <w:r>
        <w:rPr>
          <w:rFonts w:ascii="Times New Roman" w:hAnsi="Times New Roman" w:eastAsia="仿宋_GB2312" w:cs="Times New Roman"/>
          <w:sz w:val="28"/>
          <w:vertAlign w:val="superscript"/>
        </w:rPr>
        <w:t>3</w:t>
      </w:r>
      <w:r>
        <w:rPr>
          <w:rFonts w:ascii="Times New Roman" w:hAnsi="Times New Roman" w:eastAsia="仿宋_GB2312" w:cs="Times New Roman"/>
          <w:sz w:val="28"/>
        </w:rPr>
        <w:t>的要求</w:t>
      </w:r>
      <w:r>
        <w:rPr>
          <w:rFonts w:hint="eastAsia" w:ascii="Times New Roman" w:hAnsi="Times New Roman" w:eastAsia="仿宋_GB2312" w:cs="Times New Roman"/>
          <w:sz w:val="28"/>
        </w:rPr>
        <w:t>。</w:t>
      </w:r>
    </w:p>
    <w:p>
      <w:pPr>
        <w:spacing w:line="580" w:lineRule="exact"/>
        <w:ind w:firstLine="560"/>
        <w:rPr>
          <w:rFonts w:ascii="Times New Roman" w:hAnsi="Times New Roman" w:eastAsia="仿宋_GB2312" w:cs="Times New Roman"/>
          <w:sz w:val="28"/>
        </w:rPr>
      </w:pPr>
      <w:r>
        <w:rPr>
          <w:rFonts w:hint="eastAsia" w:ascii="Times New Roman" w:hAnsi="Times New Roman" w:eastAsia="仿宋_GB2312" w:cs="宋体"/>
          <w:sz w:val="28"/>
        </w:rPr>
        <w:t>（2）</w:t>
      </w:r>
      <w:r>
        <w:rPr>
          <w:rFonts w:ascii="Times New Roman" w:hAnsi="Times New Roman" w:eastAsia="仿宋_GB2312" w:cs="Times New Roman"/>
          <w:sz w:val="28"/>
        </w:rPr>
        <w:t>燃机将采用低NO</w:t>
      </w:r>
      <w:r>
        <w:rPr>
          <w:rFonts w:ascii="Times New Roman" w:hAnsi="Times New Roman" w:eastAsia="仿宋_GB2312" w:cs="Times New Roman"/>
          <w:sz w:val="28"/>
          <w:szCs w:val="24"/>
          <w:vertAlign w:val="subscript"/>
        </w:rPr>
        <w:t>X</w:t>
      </w:r>
      <w:r>
        <w:rPr>
          <w:rFonts w:ascii="Times New Roman" w:hAnsi="Times New Roman" w:eastAsia="仿宋_GB2312" w:cs="Times New Roman"/>
          <w:sz w:val="28"/>
        </w:rPr>
        <w:t>燃烧器，通过多级燃烧器调节火焰温度来控制氮氧化物的排放。一氧化碳的排放量可通过采用先进的燃烧器及调整燃烧区内的空气与燃料的混合比来加以控制</w:t>
      </w:r>
      <w:r>
        <w:rPr>
          <w:rFonts w:hint="eastAsia" w:ascii="Times New Roman" w:hAnsi="Times New Roman" w:eastAsia="仿宋_GB2312" w:cs="Times New Roman"/>
          <w:sz w:val="28"/>
        </w:rPr>
        <w:t>。</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（3）</w:t>
      </w:r>
      <w:r>
        <w:rPr>
          <w:rFonts w:ascii="Times New Roman" w:hAnsi="Times New Roman" w:eastAsia="仿宋_GB2312" w:cs="Times New Roman"/>
          <w:sz w:val="28"/>
        </w:rPr>
        <w:t>燃煤机组采用</w:t>
      </w:r>
      <w:r>
        <w:rPr>
          <w:rFonts w:hint="eastAsia" w:ascii="Times New Roman" w:hAnsi="Times New Roman" w:eastAsia="仿宋_GB2312" w:cs="Times New Roman"/>
          <w:sz w:val="28"/>
        </w:rPr>
        <w:t>布袋除尘</w:t>
      </w:r>
      <w:r>
        <w:rPr>
          <w:rFonts w:ascii="Times New Roman" w:hAnsi="Times New Roman" w:eastAsia="仿宋_GB2312" w:cs="Times New Roman"/>
          <w:sz w:val="28"/>
        </w:rPr>
        <w:t>，除尘效率</w:t>
      </w:r>
      <w:r>
        <w:rPr>
          <w:rFonts w:hint="eastAsia" w:ascii="Times New Roman" w:hAnsi="Times New Roman" w:eastAsia="仿宋_GB2312" w:cs="Times New Roman"/>
          <w:sz w:val="28"/>
        </w:rPr>
        <w:t>较静电除尘更高。</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（4）</w:t>
      </w:r>
      <w:r>
        <w:rPr>
          <w:rFonts w:ascii="Times New Roman" w:hAnsi="Times New Roman" w:eastAsia="仿宋_GB2312" w:cs="Times New Roman"/>
          <w:sz w:val="28"/>
        </w:rPr>
        <w:t>热电厂采用循环冷却塔供水方案，耗水量小。热电厂的废水主要是生活污水和冷却塔的排污水及少量的工业废水，数量有限，均经处理达标后排放或重复利用，对周围水体影响较小。</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（5）</w:t>
      </w:r>
      <w:r>
        <w:rPr>
          <w:rFonts w:ascii="Times New Roman" w:hAnsi="Times New Roman" w:eastAsia="仿宋_GB2312" w:cs="Times New Roman"/>
          <w:sz w:val="28"/>
        </w:rPr>
        <w:t>采用高度高、口径大的烟囱排放，降低污染物落地浓度</w:t>
      </w:r>
      <w:r>
        <w:rPr>
          <w:rFonts w:hint="eastAsia" w:ascii="Times New Roman" w:hAnsi="Times New Roman" w:eastAsia="仿宋_GB2312" w:cs="Times New Roman"/>
          <w:sz w:val="28"/>
        </w:rPr>
        <w:t>。</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（6）</w:t>
      </w:r>
      <w:r>
        <w:rPr>
          <w:rFonts w:ascii="Times New Roman" w:hAnsi="Times New Roman" w:eastAsia="仿宋_GB2312" w:cs="Times New Roman"/>
          <w:sz w:val="28"/>
        </w:rPr>
        <w:t>锅炉、汽轮发电机组及各类辅助设备如泵、风机、空压机等产生的综合动力机械噪声，各类管道介质的流动和排汽、煤及灰尘运输产生的交通噪声是电厂的主要噪声源。电厂建设中应选用低噪设备并尽力做好消声、隔音等工作，尽可能减少噪声对周围环境的影响。</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（7）</w:t>
      </w:r>
      <w:r>
        <w:rPr>
          <w:rFonts w:ascii="Times New Roman" w:hAnsi="Times New Roman" w:eastAsia="仿宋_GB2312" w:cs="Times New Roman"/>
          <w:sz w:val="28"/>
        </w:rPr>
        <w:t>热电厂的灰渣可作为水泥厂、砖瓦厂的原料，也可以作为道路建设的填充料，废弃物能得到综合利用，同时也为热电厂带来一定的经济效益。</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（8）</w:t>
      </w:r>
      <w:r>
        <w:rPr>
          <w:rFonts w:ascii="Times New Roman" w:hAnsi="Times New Roman" w:eastAsia="仿宋_GB2312" w:cs="Times New Roman"/>
          <w:sz w:val="28"/>
        </w:rPr>
        <w:t>燃煤热电厂要加强脱硫工程的实施，鼓励采用</w:t>
      </w:r>
      <w:r>
        <w:rPr>
          <w:rFonts w:hint="eastAsia" w:ascii="Times New Roman" w:hAnsi="Times New Roman" w:eastAsia="仿宋_GB2312" w:cs="Times New Roman"/>
          <w:sz w:val="28"/>
        </w:rPr>
        <w:t>石灰石/石膏湿法</w:t>
      </w:r>
      <w:r>
        <w:rPr>
          <w:rFonts w:ascii="Times New Roman" w:hAnsi="Times New Roman" w:eastAsia="仿宋_GB2312" w:cs="Times New Roman"/>
          <w:sz w:val="28"/>
        </w:rPr>
        <w:t>脱硫，实现脱硫效果达到规定要求。同时加强氮氧化物控制的各项措施，可采用SCR烟气脱硝工艺。氮氧化物排放符合《燃煤电厂大气污染物排放标准》（DB33/ 2147-2018）规定的最高允许排放浓度50mg/Nm</w:t>
      </w:r>
      <w:r>
        <w:rPr>
          <w:rFonts w:ascii="Times New Roman" w:hAnsi="Times New Roman" w:eastAsia="仿宋_GB2312" w:cs="Times New Roman"/>
          <w:sz w:val="28"/>
          <w:vertAlign w:val="superscript"/>
        </w:rPr>
        <w:t>3</w:t>
      </w:r>
      <w:r>
        <w:rPr>
          <w:rFonts w:ascii="Times New Roman" w:hAnsi="Times New Roman" w:eastAsia="仿宋_GB2312" w:cs="Times New Roman"/>
          <w:sz w:val="28"/>
        </w:rPr>
        <w:t>的要求。</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w:t>
      </w:r>
      <w:r>
        <w:rPr>
          <w:rFonts w:ascii="Times New Roman" w:hAnsi="Times New Roman" w:eastAsia="仿宋_GB2312" w:cs="宋体"/>
          <w:sz w:val="28"/>
        </w:rPr>
        <w:t>9</w:t>
      </w:r>
      <w:r>
        <w:rPr>
          <w:rFonts w:hint="eastAsia" w:ascii="Times New Roman" w:hAnsi="Times New Roman" w:eastAsia="仿宋_GB2312" w:cs="宋体"/>
          <w:sz w:val="28"/>
        </w:rPr>
        <w:t>）</w:t>
      </w:r>
      <w:r>
        <w:rPr>
          <w:rFonts w:ascii="Times New Roman" w:hAnsi="Times New Roman" w:eastAsia="仿宋_GB2312" w:cs="Times New Roman"/>
          <w:sz w:val="28"/>
        </w:rPr>
        <w:t>贯彻执行《清洁生产促进法》，推行、组织和实施清洁生产，控制和减少热电厂的污染物产生量。</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（1</w:t>
      </w:r>
      <w:r>
        <w:rPr>
          <w:rFonts w:ascii="Times New Roman" w:hAnsi="Times New Roman" w:eastAsia="仿宋_GB2312" w:cs="宋体"/>
          <w:sz w:val="28"/>
        </w:rPr>
        <w:t>0</w:t>
      </w:r>
      <w:r>
        <w:rPr>
          <w:rFonts w:hint="eastAsia" w:ascii="Times New Roman" w:hAnsi="Times New Roman" w:eastAsia="仿宋_GB2312" w:cs="宋体"/>
          <w:sz w:val="28"/>
        </w:rPr>
        <w:t>）</w:t>
      </w:r>
      <w:r>
        <w:rPr>
          <w:rFonts w:ascii="Times New Roman" w:hAnsi="Times New Roman" w:eastAsia="仿宋_GB2312" w:cs="Times New Roman"/>
          <w:sz w:val="28"/>
        </w:rPr>
        <w:t>妥善处理目前存在的导热油锅炉问题，减少对环境的污染。</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（1</w:t>
      </w:r>
      <w:r>
        <w:rPr>
          <w:rFonts w:ascii="Times New Roman" w:hAnsi="Times New Roman" w:eastAsia="仿宋_GB2312" w:cs="Times New Roman"/>
          <w:sz w:val="28"/>
        </w:rPr>
        <w:t>1</w:t>
      </w:r>
      <w:r>
        <w:rPr>
          <w:rFonts w:hint="eastAsia" w:ascii="Times New Roman" w:hAnsi="Times New Roman" w:eastAsia="仿宋_GB2312" w:cs="Times New Roman"/>
          <w:sz w:val="28"/>
        </w:rPr>
        <w:t>）鼓励企业采用更高效的烟气污染物处理工艺，达到全省平均排放水平，进一步削减污染物排放</w:t>
      </w:r>
      <w:r>
        <w:rPr>
          <w:rFonts w:ascii="Times New Roman" w:hAnsi="Times New Roman" w:eastAsia="仿宋_GB2312" w:cs="Times New Roman"/>
          <w:sz w:val="28"/>
        </w:rPr>
        <w:t>。</w:t>
      </w:r>
    </w:p>
    <w:p>
      <w:pPr>
        <w:spacing w:line="580" w:lineRule="exact"/>
        <w:ind w:firstLine="555"/>
      </w:pPr>
      <w:r>
        <w:rPr>
          <w:rFonts w:ascii="Times New Roman" w:hAnsi="Times New Roman" w:eastAsia="仿宋_GB2312" w:cs="Times New Roman"/>
          <w:sz w:val="28"/>
        </w:rPr>
        <w:t>综上所述，集中供热是对废气排放总量控制的一项重要环保措施，对改善和控制环境起到积极作用。严格控制规划区域内小锅炉房的新建，逐步取代原有小锅炉，减少污染源，确保集中供热规划顺利的实施。</w:t>
      </w:r>
    </w:p>
    <w:p>
      <w:pPr>
        <w:pStyle w:val="3"/>
      </w:pPr>
      <w:bookmarkStart w:id="559" w:name="_Toc188636969"/>
      <w:r>
        <w:t>8.4</w:t>
      </w:r>
      <w:r>
        <w:rPr>
          <w:rFonts w:hint="eastAsia"/>
        </w:rPr>
        <w:t>社会效益</w:t>
      </w:r>
      <w:bookmarkEnd w:id="559"/>
    </w:p>
    <w:p>
      <w:pPr>
        <w:spacing w:line="580" w:lineRule="exact"/>
        <w:ind w:firstLine="556"/>
        <w:rPr>
          <w:rFonts w:ascii="Times New Roman" w:hAnsi="Times New Roman" w:eastAsia="仿宋_GB2312" w:cs="Times New Roman"/>
          <w:color w:val="000000" w:themeColor="text1"/>
          <w:sz w:val="28"/>
          <w14:textFill>
            <w14:solidFill>
              <w14:schemeClr w14:val="tx1"/>
            </w14:solidFill>
          </w14:textFill>
        </w:rPr>
      </w:pPr>
      <w:r>
        <w:rPr>
          <w:rFonts w:hint="eastAsia" w:ascii="Times New Roman" w:hAnsi="Times New Roman" w:eastAsia="仿宋_GB2312" w:cs="Times New Roman"/>
          <w:color w:val="000000" w:themeColor="text1"/>
          <w:sz w:val="28"/>
          <w14:textFill>
            <w14:solidFill>
              <w14:schemeClr w14:val="tx1"/>
            </w14:solidFill>
          </w14:textFill>
        </w:rPr>
        <w:t>根据此次规划编制内容，规划扩建热源点</w:t>
      </w:r>
      <w:r>
        <w:rPr>
          <w:rFonts w:ascii="Times New Roman" w:hAnsi="Times New Roman" w:eastAsia="仿宋_GB2312" w:cs="Times New Roman"/>
          <w:color w:val="000000" w:themeColor="text1"/>
          <w:sz w:val="28"/>
          <w14:textFill>
            <w14:solidFill>
              <w14:schemeClr w14:val="tx1"/>
            </w14:solidFill>
          </w14:textFill>
        </w:rPr>
        <w:t>1个，即海宁恒逸热电有限公司</w:t>
      </w:r>
      <w:r>
        <w:rPr>
          <w:rFonts w:hint="eastAsia" w:ascii="Times New Roman" w:hAnsi="Times New Roman" w:eastAsia="仿宋_GB2312" w:cs="Times New Roman"/>
          <w:color w:val="000000" w:themeColor="text1"/>
          <w:sz w:val="28"/>
          <w14:textFill>
            <w14:solidFill>
              <w14:schemeClr w14:val="tx1"/>
            </w14:solidFill>
          </w14:textFill>
        </w:rPr>
        <w:t>；</w:t>
      </w:r>
      <w:r>
        <w:rPr>
          <w:rFonts w:ascii="Times New Roman" w:hAnsi="Times New Roman" w:eastAsia="仿宋_GB2312" w:cs="Times New Roman"/>
          <w:color w:val="000000" w:themeColor="text1"/>
          <w:sz w:val="28"/>
          <w14:textFill>
            <w14:solidFill>
              <w14:schemeClr w14:val="tx1"/>
            </w14:solidFill>
          </w14:textFill>
        </w:rPr>
        <w:t>规划迁建热源点1个，即海宁红宝热电有限公司</w:t>
      </w:r>
      <w:r>
        <w:rPr>
          <w:rFonts w:hint="eastAsia" w:ascii="Times New Roman" w:hAnsi="Times New Roman" w:eastAsia="仿宋_GB2312" w:cs="Times New Roman"/>
          <w:color w:val="000000" w:themeColor="text1"/>
          <w:sz w:val="28"/>
          <w14:textFill>
            <w14:solidFill>
              <w14:schemeClr w14:val="tx1"/>
            </w14:solidFill>
          </w14:textFill>
        </w:rPr>
        <w:t>；</w:t>
      </w:r>
      <w:r>
        <w:rPr>
          <w:rFonts w:ascii="Times New Roman" w:hAnsi="Times New Roman" w:eastAsia="仿宋_GB2312" w:cs="Times New Roman"/>
          <w:color w:val="000000" w:themeColor="text1"/>
          <w:sz w:val="28"/>
          <w14:textFill>
            <w14:solidFill>
              <w14:schemeClr w14:val="tx1"/>
            </w14:solidFill>
          </w14:textFill>
        </w:rPr>
        <w:t>规划新增热源点2个，即</w:t>
      </w:r>
      <w:bookmarkStart w:id="560" w:name="_Hlk180880212"/>
      <w:r>
        <w:rPr>
          <w:rFonts w:ascii="Times New Roman" w:hAnsi="Times New Roman" w:eastAsia="仿宋_GB2312" w:cs="Times New Roman"/>
          <w:color w:val="000000" w:themeColor="text1"/>
          <w:sz w:val="28"/>
          <w14:textFill>
            <w14:solidFill>
              <w14:schemeClr w14:val="tx1"/>
            </w14:solidFill>
          </w14:textFill>
        </w:rPr>
        <w:t>新建尖山新区第二公共热源点</w:t>
      </w:r>
      <w:bookmarkEnd w:id="560"/>
      <w:r>
        <w:rPr>
          <w:rFonts w:ascii="Times New Roman" w:hAnsi="Times New Roman" w:eastAsia="仿宋_GB2312" w:cs="Times New Roman"/>
          <w:color w:val="000000" w:themeColor="text1"/>
          <w:sz w:val="28"/>
          <w14:textFill>
            <w14:solidFill>
              <w14:schemeClr w14:val="tx1"/>
            </w14:solidFill>
          </w14:textFill>
        </w:rPr>
        <w:t>以及将海宁绿动海云环保能源有限公司转为公共热电厂</w:t>
      </w:r>
      <w:r>
        <w:rPr>
          <w:rFonts w:hint="eastAsia" w:ascii="Times New Roman" w:hAnsi="Times New Roman" w:eastAsia="仿宋_GB2312" w:cs="Times New Roman"/>
          <w:color w:val="000000" w:themeColor="text1"/>
          <w:sz w:val="28"/>
          <w14:textFill>
            <w14:solidFill>
              <w14:schemeClr w14:val="tx1"/>
            </w14:solidFill>
          </w14:textFill>
        </w:rPr>
        <w:t>；</w:t>
      </w:r>
      <w:r>
        <w:rPr>
          <w:rFonts w:ascii="Times New Roman" w:hAnsi="Times New Roman" w:eastAsia="仿宋_GB2312" w:cs="Times New Roman"/>
          <w:color w:val="000000" w:themeColor="text1"/>
          <w:sz w:val="28"/>
          <w14:textFill>
            <w14:solidFill>
              <w14:schemeClr w14:val="tx1"/>
            </w14:solidFill>
          </w14:textFill>
        </w:rPr>
        <w:t>规划关停热源点1个，即浙江泰亿能源有限公司</w:t>
      </w:r>
      <w:r>
        <w:rPr>
          <w:rFonts w:hint="eastAsia" w:ascii="Times New Roman" w:hAnsi="Times New Roman" w:eastAsia="仿宋_GB2312" w:cs="Times New Roman"/>
          <w:color w:val="000000" w:themeColor="text1"/>
          <w:sz w:val="28"/>
          <w14:textFill>
            <w14:solidFill>
              <w14:schemeClr w14:val="tx1"/>
            </w14:solidFill>
          </w14:textFill>
        </w:rPr>
        <w:t>。整合优化海宁市集中供热资源布局，有效保障海宁市各乡镇、街道产业发展过程中的热负荷需求，促进产业高质量发展。</w:t>
      </w:r>
    </w:p>
    <w:p>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本规划实施后，海宁市红宝热电有限公司将搬迁至长安镇仰山路西侧、规划道路南侧，原厂址及周边区域规划打造钱塘国际新城，建设集生产制造、现代物流、研发办公、商业配套、居住配套、城市公共配套等功能一体的</w:t>
      </w:r>
      <w:r>
        <w:rPr>
          <w:rFonts w:ascii="Times New Roman" w:hAnsi="Times New Roman" w:eastAsia="仿宋_GB2312" w:cs="Times New Roman"/>
          <w:sz w:val="28"/>
        </w:rPr>
        <w:t>CBD中心先行区块</w:t>
      </w:r>
      <w:r>
        <w:rPr>
          <w:rFonts w:hint="eastAsia" w:ascii="Times New Roman" w:hAnsi="Times New Roman" w:eastAsia="仿宋_GB2312" w:cs="Times New Roman"/>
          <w:sz w:val="28"/>
        </w:rPr>
        <w:t>，助力海宁打造“势起钱塘、</w:t>
      </w:r>
      <w:r>
        <w:rPr>
          <w:rFonts w:ascii="Times New Roman" w:hAnsi="Times New Roman" w:eastAsia="仿宋_GB2312" w:cs="Times New Roman"/>
          <w:sz w:val="28"/>
        </w:rPr>
        <w:t>活力无界</w:t>
      </w:r>
      <w:r>
        <w:rPr>
          <w:rFonts w:hint="eastAsia" w:ascii="Times New Roman" w:hAnsi="Times New Roman" w:eastAsia="仿宋_GB2312" w:cs="Times New Roman"/>
          <w:sz w:val="28"/>
        </w:rPr>
        <w:t>、</w:t>
      </w:r>
      <w:r>
        <w:rPr>
          <w:rFonts w:ascii="Times New Roman" w:hAnsi="Times New Roman" w:eastAsia="仿宋_GB2312" w:cs="Times New Roman"/>
          <w:sz w:val="28"/>
        </w:rPr>
        <w:t>轻创潮都”的前瞻国际新城</w:t>
      </w:r>
      <w:r>
        <w:rPr>
          <w:rFonts w:hint="eastAsia" w:ascii="Times New Roman" w:hAnsi="Times New Roman" w:eastAsia="仿宋_GB2312" w:cs="Times New Roman"/>
          <w:sz w:val="28"/>
        </w:rPr>
        <w:t>。扩建海宁恒逸热电有限公司和新建尖山新区第二公共热源点后，将有效保障尖山新区产业发展带动的热负荷需求增长，助力</w:t>
      </w:r>
      <w:r>
        <w:rPr>
          <w:rFonts w:hint="eastAsia" w:ascii="Times New Roman" w:hAnsi="Times New Roman" w:eastAsia="仿宋_GB2312" w:cs="宋体"/>
          <w:sz w:val="28"/>
        </w:rPr>
        <w:t>尖山新区规划打造半导体基础材料园、智能厨电产业园、外资高新产业园、“万亩千亿”产业平台。</w:t>
      </w:r>
    </w:p>
    <w:p>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本规划实施后，海宁市集中供热蒸汽价格将整体处于合理区间，相较于企业使用天然气、生物质分散型小锅炉供应蒸汽，能有效降低企业用能成本。其中，新增公共热源点海宁绿动海云环保能源有限公司为垃圾焚烧厂，其供应的蒸汽价格低于燃煤热电厂和燃气热电厂的蒸汽价格。</w:t>
      </w:r>
    </w:p>
    <w:p>
      <w:pPr>
        <w:spacing w:line="580" w:lineRule="exact"/>
        <w:ind w:firstLine="560" w:firstLineChars="200"/>
        <w:rPr>
          <w:rFonts w:ascii="Times New Roman" w:hAnsi="Times New Roman" w:eastAsia="仿宋_GB2312" w:cs="Times New Roman"/>
          <w:sz w:val="28"/>
        </w:rPr>
      </w:pPr>
    </w:p>
    <w:p>
      <w:pPr>
        <w:spacing w:line="580" w:lineRule="exact"/>
        <w:sectPr>
          <w:footerReference r:id="rId9" w:type="default"/>
          <w:pgSz w:w="11906" w:h="16838"/>
          <w:pgMar w:top="1474" w:right="1588" w:bottom="1701" w:left="1588" w:header="851" w:footer="992" w:gutter="0"/>
          <w:cols w:space="425" w:num="1"/>
          <w:docGrid w:type="lines" w:linePitch="312" w:charSpace="0"/>
        </w:sectPr>
      </w:pPr>
    </w:p>
    <w:p>
      <w:pPr>
        <w:pStyle w:val="2"/>
      </w:pPr>
      <w:bookmarkStart w:id="561" w:name="_Toc188636970"/>
      <w:r>
        <w:rPr>
          <w:rFonts w:hint="eastAsia"/>
        </w:rPr>
        <w:t>九、投资匡算</w:t>
      </w:r>
      <w:bookmarkEnd w:id="561"/>
    </w:p>
    <w:p>
      <w:pPr>
        <w:pStyle w:val="3"/>
      </w:pPr>
      <w:bookmarkStart w:id="562" w:name="_Toc188636971"/>
      <w:r>
        <w:t>9.1</w:t>
      </w:r>
      <w:r>
        <w:rPr>
          <w:rFonts w:hint="eastAsia"/>
        </w:rPr>
        <w:t>投资匡算依据</w:t>
      </w:r>
      <w:bookmarkEnd w:id="562"/>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投资匡算根据国能电力〔</w:t>
      </w:r>
      <w:r>
        <w:rPr>
          <w:rFonts w:ascii="Times New Roman" w:hAnsi="Times New Roman" w:eastAsia="仿宋_GB2312" w:cs="宋体"/>
          <w:sz w:val="28"/>
        </w:rPr>
        <w:t>2013〕289号文件进行编制，编制方法、费用构成及计算标准执行国家能源局颁发的《火力发电工程建设预算编制与计算规定》（2013年版），定额执行国家能源局委托中国电力企业联合会编制的《2013版电力建设工程定额和费用计算规定》，主材价格执行按</w:t>
      </w:r>
      <w:r>
        <w:rPr>
          <w:rFonts w:hint="eastAsia" w:ascii="Times New Roman" w:hAnsi="Times New Roman" w:eastAsia="仿宋_GB2312" w:cs="宋体"/>
          <w:sz w:val="28"/>
        </w:rPr>
        <w:t>海宁市</w:t>
      </w:r>
      <w:r>
        <w:rPr>
          <w:rFonts w:ascii="Times New Roman" w:hAnsi="Times New Roman" w:eastAsia="仿宋_GB2312" w:cs="宋体"/>
          <w:sz w:val="28"/>
        </w:rPr>
        <w:t>2024年的市场信息价计。</w:t>
      </w:r>
    </w:p>
    <w:p>
      <w:pPr>
        <w:pStyle w:val="3"/>
      </w:pPr>
      <w:bookmarkStart w:id="563" w:name="_Toc188636972"/>
      <w:r>
        <w:t>9.2</w:t>
      </w:r>
      <w:r>
        <w:rPr>
          <w:rFonts w:hint="eastAsia"/>
        </w:rPr>
        <w:t>规划热源点新增投资匡算</w:t>
      </w:r>
      <w:bookmarkEnd w:id="563"/>
    </w:p>
    <w:p>
      <w:pPr>
        <w:spacing w:line="580" w:lineRule="exact"/>
        <w:ind w:firstLine="555"/>
        <w:rPr>
          <w:rFonts w:ascii="Times New Roman" w:hAnsi="Times New Roman" w:eastAsia="仿宋_GB2312" w:cs="宋体"/>
          <w:sz w:val="28"/>
        </w:rPr>
      </w:pPr>
      <w:r>
        <w:rPr>
          <w:rFonts w:hint="eastAsia" w:ascii="Times New Roman" w:hAnsi="Times New Roman" w:eastAsia="仿宋_GB2312" w:cs="Times New Roman"/>
          <w:sz w:val="28"/>
        </w:rPr>
        <w:t>根据此次规划编制内容，</w:t>
      </w:r>
      <w:r>
        <w:rPr>
          <w:rFonts w:hint="eastAsia" w:ascii="Times New Roman" w:hAnsi="Times New Roman" w:eastAsia="仿宋_GB2312" w:cs="Times New Roman"/>
          <w:color w:val="000000" w:themeColor="text1"/>
          <w:sz w:val="28"/>
          <w:szCs w:val="28"/>
          <w14:textFill>
            <w14:solidFill>
              <w14:schemeClr w14:val="tx1"/>
            </w14:solidFill>
          </w14:textFill>
        </w:rPr>
        <w:t>海宁市红宝热电有限公司</w:t>
      </w:r>
      <w:r>
        <w:rPr>
          <w:rFonts w:ascii="Times New Roman" w:hAnsi="Times New Roman" w:eastAsia="仿宋_GB2312" w:cs="Times New Roman"/>
          <w:color w:val="000000" w:themeColor="text1"/>
          <w:sz w:val="28"/>
          <w:szCs w:val="28"/>
          <w14:textFill>
            <w14:solidFill>
              <w14:schemeClr w14:val="tx1"/>
            </w14:solidFill>
          </w14:textFill>
        </w:rPr>
        <w:t>规划迁建</w:t>
      </w:r>
      <w:r>
        <w:rPr>
          <w:rFonts w:hint="eastAsia" w:ascii="Times New Roman" w:hAnsi="Times New Roman" w:eastAsia="仿宋_GB2312" w:cs="Times New Roman"/>
          <w:color w:val="000000" w:themeColor="text1"/>
          <w:sz w:val="28"/>
          <w:szCs w:val="28"/>
          <w14:textFill>
            <w14:solidFill>
              <w14:schemeClr w14:val="tx1"/>
            </w14:solidFill>
          </w14:textFill>
        </w:rPr>
        <w:t>，规划建设规模为</w:t>
      </w:r>
      <w:r>
        <w:rPr>
          <w:rFonts w:ascii="Times New Roman" w:hAnsi="Times New Roman" w:eastAsia="仿宋_GB2312" w:cs="Times New Roman"/>
          <w:color w:val="000000" w:themeColor="text1"/>
          <w:sz w:val="28"/>
          <w:szCs w:val="28"/>
          <w14:textFill>
            <w14:solidFill>
              <w14:schemeClr w14:val="tx1"/>
            </w14:solidFill>
          </w14:textFill>
        </w:rPr>
        <w:t>3炉3机，</w:t>
      </w:r>
      <w:r>
        <w:rPr>
          <w:rFonts w:hint="eastAsia" w:ascii="Times New Roman" w:hAnsi="Times New Roman" w:eastAsia="仿宋_GB2312" w:cs="Times New Roman"/>
          <w:color w:val="000000" w:themeColor="text1"/>
          <w:sz w:val="28"/>
          <w:szCs w:val="28"/>
          <w14:textFill>
            <w14:solidFill>
              <w14:schemeClr w14:val="tx1"/>
            </w14:solidFill>
          </w14:textFill>
        </w:rPr>
        <w:t>即</w:t>
      </w:r>
      <w:r>
        <w:rPr>
          <w:rFonts w:ascii="Times New Roman" w:hAnsi="Times New Roman" w:eastAsia="仿宋_GB2312" w:cs="Times New Roman"/>
          <w:color w:val="000000" w:themeColor="text1"/>
          <w:sz w:val="28"/>
          <w:szCs w:val="28"/>
          <w14:textFill>
            <w14:solidFill>
              <w14:schemeClr w14:val="tx1"/>
            </w14:solidFill>
          </w14:textFill>
        </w:rPr>
        <w:t>3台130t/h高温超高压</w:t>
      </w:r>
      <w:r>
        <w:rPr>
          <w:rFonts w:hint="eastAsia" w:ascii="Times New Roman" w:hAnsi="Times New Roman" w:eastAsia="仿宋_GB2312" w:cs="Times New Roman"/>
          <w:color w:val="000000" w:themeColor="text1"/>
          <w:sz w:val="28"/>
          <w:szCs w:val="28"/>
          <w14:textFill>
            <w14:solidFill>
              <w14:schemeClr w14:val="tx1"/>
            </w14:solidFill>
          </w14:textFill>
        </w:rPr>
        <w:t>燃煤</w:t>
      </w:r>
      <w:r>
        <w:rPr>
          <w:rFonts w:ascii="Times New Roman" w:hAnsi="Times New Roman" w:eastAsia="仿宋_GB2312" w:cs="Times New Roman"/>
          <w:color w:val="000000" w:themeColor="text1"/>
          <w:sz w:val="28"/>
          <w:szCs w:val="28"/>
          <w14:textFill>
            <w14:solidFill>
              <w14:schemeClr w14:val="tx1"/>
            </w14:solidFill>
          </w14:textFill>
        </w:rPr>
        <w:t>循环流化床锅炉、1套24MW高温超高压背压机组、1套6MW高温超高压背压机组、1套12MW高温超高压抽背机组，初步测算项目</w:t>
      </w:r>
      <w:r>
        <w:rPr>
          <w:rFonts w:hint="eastAsia" w:ascii="Times New Roman" w:hAnsi="Times New Roman" w:eastAsia="仿宋_GB2312" w:cs="Times New Roman"/>
          <w:color w:val="000000" w:themeColor="text1"/>
          <w:sz w:val="28"/>
          <w:szCs w:val="28"/>
          <w14:textFill>
            <w14:solidFill>
              <w14:schemeClr w14:val="tx1"/>
            </w14:solidFill>
          </w14:textFill>
        </w:rPr>
        <w:t>静态总投资</w:t>
      </w:r>
      <w:r>
        <w:rPr>
          <w:rFonts w:ascii="Times New Roman" w:hAnsi="Times New Roman" w:eastAsia="仿宋_GB2312" w:cs="Times New Roman"/>
          <w:color w:val="000000" w:themeColor="text1"/>
          <w:sz w:val="28"/>
          <w:szCs w:val="28"/>
          <w14:textFill>
            <w14:solidFill>
              <w14:schemeClr w14:val="tx1"/>
            </w14:solidFill>
          </w14:textFill>
        </w:rPr>
        <w:t>达7亿元</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sz w:val="28"/>
        </w:rPr>
        <w:t>海宁恒逸热电有限公司</w:t>
      </w:r>
      <w:r>
        <w:rPr>
          <w:rFonts w:hint="eastAsia" w:ascii="Times New Roman" w:hAnsi="Times New Roman" w:eastAsia="仿宋_GB2312" w:cs="Times New Roman"/>
          <w:color w:val="000000" w:themeColor="text1"/>
          <w:sz w:val="28"/>
          <w14:textFill>
            <w14:solidFill>
              <w14:schemeClr w14:val="tx1"/>
            </w14:solidFill>
          </w14:textFill>
        </w:rPr>
        <w:t>规划扩建，规划新建</w:t>
      </w:r>
      <w:r>
        <w:rPr>
          <w:rFonts w:ascii="Times New Roman" w:hAnsi="Times New Roman" w:eastAsia="仿宋_GB2312" w:cs="Times New Roman"/>
          <w:color w:val="000000" w:themeColor="text1"/>
          <w:sz w:val="28"/>
          <w14:textFill>
            <w14:solidFill>
              <w14:schemeClr w14:val="tx1"/>
            </w14:solidFill>
          </w14:textFill>
        </w:rPr>
        <w:t>1台260t/h燃煤循环流化床锅炉，1台80t/h燃煤循环流化床锅炉，</w:t>
      </w:r>
      <w:r>
        <w:rPr>
          <w:rFonts w:hint="eastAsia" w:ascii="Times New Roman" w:hAnsi="Times New Roman" w:eastAsia="仿宋_GB2312" w:cs="Times New Roman"/>
          <w:color w:val="000000" w:themeColor="text1"/>
          <w:sz w:val="28"/>
          <w:szCs w:val="28"/>
          <w14:textFill>
            <w14:solidFill>
              <w14:schemeClr w14:val="tx1"/>
            </w14:solidFill>
          </w14:textFill>
        </w:rPr>
        <w:t>初步测算项目静态总投资达</w:t>
      </w:r>
      <w:r>
        <w:rPr>
          <w:rFonts w:ascii="Times New Roman" w:hAnsi="Times New Roman" w:eastAsia="仿宋_GB2312" w:cs="Times New Roman"/>
          <w:color w:val="000000" w:themeColor="text1"/>
          <w:sz w:val="28"/>
          <w:szCs w:val="28"/>
          <w14:textFill>
            <w14:solidFill>
              <w14:schemeClr w14:val="tx1"/>
            </w14:solidFill>
          </w14:textFill>
        </w:rPr>
        <w:t>5.5</w:t>
      </w:r>
      <w:r>
        <w:rPr>
          <w:rFonts w:hint="eastAsia" w:ascii="Times New Roman" w:hAnsi="Times New Roman" w:eastAsia="仿宋_GB2312" w:cs="Times New Roman"/>
          <w:color w:val="000000" w:themeColor="text1"/>
          <w:sz w:val="28"/>
          <w:szCs w:val="28"/>
          <w14:textFill>
            <w14:solidFill>
              <w14:schemeClr w14:val="tx1"/>
            </w14:solidFill>
          </w14:textFill>
        </w:rPr>
        <w:t>亿元；规划新建</w:t>
      </w:r>
      <w:r>
        <w:rPr>
          <w:rFonts w:hint="eastAsia" w:ascii="Times New Roman" w:hAnsi="Times New Roman" w:eastAsia="仿宋_GB2312" w:cs="宋体"/>
          <w:sz w:val="28"/>
        </w:rPr>
        <w:t>尖山新区第二公共热源点，规划新建</w:t>
      </w:r>
      <w:r>
        <w:rPr>
          <w:rFonts w:ascii="Times New Roman" w:hAnsi="Times New Roman" w:eastAsia="仿宋_GB2312" w:cs="宋体"/>
          <w:sz w:val="28"/>
        </w:rPr>
        <w:t>5台150t/h燃煤循环流化床锅炉，配套2台6.5MW背压机组</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初步测算项目静态总投资达</w:t>
      </w:r>
      <w:r>
        <w:rPr>
          <w:rFonts w:ascii="Times New Roman" w:hAnsi="Times New Roman" w:eastAsia="仿宋_GB2312" w:cs="Times New Roman"/>
          <w:color w:val="000000" w:themeColor="text1"/>
          <w:sz w:val="28"/>
          <w:szCs w:val="28"/>
          <w14:textFill>
            <w14:solidFill>
              <w14:schemeClr w14:val="tx1"/>
            </w14:solidFill>
          </w14:textFill>
        </w:rPr>
        <w:t>10</w:t>
      </w:r>
      <w:r>
        <w:rPr>
          <w:rFonts w:hint="eastAsia" w:ascii="Times New Roman" w:hAnsi="Times New Roman" w:eastAsia="仿宋_GB2312" w:cs="Times New Roman"/>
          <w:color w:val="000000" w:themeColor="text1"/>
          <w:sz w:val="28"/>
          <w:szCs w:val="28"/>
          <w14:textFill>
            <w14:solidFill>
              <w14:schemeClr w14:val="tx1"/>
            </w14:solidFill>
          </w14:textFill>
        </w:rPr>
        <w:t>亿元</w:t>
      </w:r>
      <w:r>
        <w:rPr>
          <w:rFonts w:hint="eastAsia" w:ascii="Times New Roman" w:hAnsi="Times New Roman" w:eastAsia="仿宋_GB2312" w:cs="宋体"/>
          <w:sz w:val="28"/>
        </w:rPr>
        <w:t>；</w:t>
      </w:r>
      <w:r>
        <w:rPr>
          <w:rFonts w:hint="eastAsia" w:ascii="Times New Roman" w:hAnsi="Times New Roman" w:eastAsia="仿宋_GB2312" w:cs="Times New Roman"/>
          <w:color w:val="000000" w:themeColor="text1"/>
          <w:sz w:val="28"/>
          <w:szCs w:val="28"/>
          <w14:textFill>
            <w14:solidFill>
              <w14:schemeClr w14:val="tx1"/>
            </w14:solidFill>
          </w14:textFill>
        </w:rPr>
        <w:t>海宁绿动海云环保能源有限公司</w:t>
      </w:r>
      <w:r>
        <w:rPr>
          <w:rFonts w:ascii="Times New Roman" w:hAnsi="Times New Roman" w:eastAsia="仿宋_GB2312" w:cs="Times New Roman"/>
          <w:color w:val="000000" w:themeColor="text1"/>
          <w:sz w:val="28"/>
          <w14:textFill>
            <w14:solidFill>
              <w14:schemeClr w14:val="tx1"/>
            </w14:solidFill>
          </w14:textFill>
        </w:rPr>
        <w:t>规划</w:t>
      </w:r>
      <w:r>
        <w:rPr>
          <w:rFonts w:hint="eastAsia" w:ascii="Times New Roman" w:hAnsi="Times New Roman" w:eastAsia="仿宋_GB2312" w:cs="Times New Roman"/>
          <w:color w:val="000000" w:themeColor="text1"/>
          <w:sz w:val="28"/>
          <w14:textFill>
            <w14:solidFill>
              <w14:schemeClr w14:val="tx1"/>
            </w14:solidFill>
          </w14:textFill>
        </w:rPr>
        <w:t>对外供热改造</w:t>
      </w:r>
      <w:r>
        <w:rPr>
          <w:rFonts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初步测算静态投资达</w:t>
      </w:r>
      <w:r>
        <w:rPr>
          <w:rFonts w:ascii="Times New Roman" w:hAnsi="Times New Roman" w:eastAsia="仿宋_GB2312" w:cs="Times New Roman"/>
          <w:sz w:val="28"/>
        </w:rPr>
        <w:t>0.3</w:t>
      </w:r>
      <w:r>
        <w:rPr>
          <w:rFonts w:hint="eastAsia" w:ascii="Times New Roman" w:hAnsi="Times New Roman" w:eastAsia="仿宋_GB2312" w:cs="Times New Roman"/>
          <w:sz w:val="28"/>
        </w:rPr>
        <w:t>亿元。综上所述，规划热源点新增投资合计</w:t>
      </w:r>
      <w:r>
        <w:rPr>
          <w:rFonts w:ascii="Times New Roman" w:hAnsi="Times New Roman" w:eastAsia="仿宋_GB2312" w:cs="Times New Roman"/>
          <w:sz w:val="28"/>
        </w:rPr>
        <w:t>22.8</w:t>
      </w:r>
      <w:r>
        <w:rPr>
          <w:rFonts w:hint="eastAsia" w:ascii="Times New Roman" w:hAnsi="Times New Roman" w:eastAsia="仿宋_GB2312" w:cs="Times New Roman"/>
          <w:sz w:val="28"/>
        </w:rPr>
        <w:t>亿元。</w:t>
      </w:r>
      <w:r>
        <w:rPr>
          <w:rFonts w:hint="eastAsia" w:ascii="Times New Roman" w:hAnsi="Times New Roman" w:eastAsia="仿宋_GB2312" w:cs="宋体"/>
          <w:sz w:val="28"/>
        </w:rPr>
        <w:t>规划热源点投资匡算见表9</w:t>
      </w:r>
      <w:r>
        <w:rPr>
          <w:rFonts w:ascii="Times New Roman" w:hAnsi="Times New Roman" w:eastAsia="仿宋_GB2312" w:cs="宋体"/>
          <w:sz w:val="28"/>
        </w:rPr>
        <w:t>.2-1</w:t>
      </w:r>
      <w:r>
        <w:rPr>
          <w:rFonts w:hint="eastAsia" w:ascii="Times New Roman" w:hAnsi="Times New Roman" w:eastAsia="仿宋_GB2312" w:cs="宋体"/>
          <w:sz w:val="28"/>
        </w:rPr>
        <w:t>。</w:t>
      </w:r>
    </w:p>
    <w:p>
      <w:pPr>
        <w:spacing w:before="156" w:beforeLines="50" w:line="360" w:lineRule="auto"/>
        <w:jc w:val="center"/>
        <w:rPr>
          <w:rFonts w:ascii="Times New Roman" w:hAnsi="Times New Roman" w:eastAsia="仿宋_GB2312" w:cs="宋体"/>
          <w:sz w:val="28"/>
        </w:rPr>
      </w:pPr>
    </w:p>
    <w:p>
      <w:pPr>
        <w:spacing w:before="156" w:beforeLines="50" w:line="360" w:lineRule="auto"/>
        <w:jc w:val="center"/>
        <w:rPr>
          <w:rFonts w:ascii="Times New Roman" w:hAnsi="Times New Roman" w:eastAsia="仿宋_GB2312" w:cs="宋体"/>
          <w:sz w:val="28"/>
        </w:rPr>
      </w:pPr>
    </w:p>
    <w:p>
      <w:pPr>
        <w:spacing w:before="156" w:beforeLines="50" w:line="360" w:lineRule="auto"/>
        <w:jc w:val="center"/>
        <w:rPr>
          <w:rFonts w:ascii="Times New Roman" w:hAnsi="Times New Roman" w:eastAsia="仿宋_GB2312" w:cs="宋体"/>
          <w:sz w:val="28"/>
        </w:rPr>
      </w:pPr>
    </w:p>
    <w:p>
      <w:pPr>
        <w:spacing w:before="156" w:beforeLines="50" w:line="360" w:lineRule="auto"/>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9.2-1 </w:t>
      </w:r>
      <w:r>
        <w:rPr>
          <w:rFonts w:hint="eastAsia" w:ascii="黑体" w:hAnsi="黑体" w:eastAsia="黑体" w:cs="Times New Roman"/>
          <w:sz w:val="28"/>
          <w:szCs w:val="28"/>
        </w:rPr>
        <w:t>规划热源点投资匡算表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4010"/>
        <w:gridCol w:w="1718"/>
        <w:gridCol w:w="2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序号</w:t>
            </w:r>
          </w:p>
        </w:tc>
        <w:tc>
          <w:tcPr>
            <w:tcW w:w="22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热源点</w:t>
            </w:r>
          </w:p>
        </w:tc>
        <w:tc>
          <w:tcPr>
            <w:tcW w:w="9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建设类型</w:t>
            </w:r>
          </w:p>
        </w:tc>
        <w:tc>
          <w:tcPr>
            <w:tcW w:w="13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静态投资（亿元）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22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海宁市红宝热电有限公司</w:t>
            </w:r>
          </w:p>
        </w:tc>
        <w:tc>
          <w:tcPr>
            <w:tcW w:w="9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迁建</w:t>
            </w:r>
          </w:p>
        </w:tc>
        <w:tc>
          <w:tcPr>
            <w:tcW w:w="13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22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海宁恒逸热电有限公司</w:t>
            </w:r>
          </w:p>
        </w:tc>
        <w:tc>
          <w:tcPr>
            <w:tcW w:w="9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扩建</w:t>
            </w:r>
          </w:p>
        </w:tc>
        <w:tc>
          <w:tcPr>
            <w:tcW w:w="13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3</w:t>
            </w:r>
          </w:p>
        </w:tc>
        <w:tc>
          <w:tcPr>
            <w:tcW w:w="22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尖山新区第二公共热源点</w:t>
            </w:r>
          </w:p>
        </w:tc>
        <w:tc>
          <w:tcPr>
            <w:tcW w:w="9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新建</w:t>
            </w:r>
          </w:p>
        </w:tc>
        <w:tc>
          <w:tcPr>
            <w:tcW w:w="13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22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海宁绿动海云环保能源有限公司</w:t>
            </w:r>
          </w:p>
        </w:tc>
        <w:tc>
          <w:tcPr>
            <w:tcW w:w="9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改建</w:t>
            </w:r>
          </w:p>
        </w:tc>
        <w:tc>
          <w:tcPr>
            <w:tcW w:w="13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r>
              <w:rPr>
                <w:rFonts w:ascii="Times New Roman" w:hAnsi="Times New Roman" w:eastAsia="仿宋_GB2312" w:cs="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p>
        </w:tc>
        <w:tc>
          <w:tcPr>
            <w:tcW w:w="22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合计</w:t>
            </w:r>
          </w:p>
        </w:tc>
        <w:tc>
          <w:tcPr>
            <w:tcW w:w="9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w:t>
            </w:r>
          </w:p>
        </w:tc>
        <w:tc>
          <w:tcPr>
            <w:tcW w:w="13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22.8</w:t>
            </w:r>
          </w:p>
        </w:tc>
      </w:tr>
    </w:tbl>
    <w:p>
      <w:pPr>
        <w:pStyle w:val="3"/>
        <w:spacing w:before="156" w:beforeLines="50"/>
      </w:pPr>
      <w:bookmarkStart w:id="564" w:name="_Toc188636973"/>
      <w:r>
        <w:t>9.3</w:t>
      </w:r>
      <w:r>
        <w:rPr>
          <w:rFonts w:hint="eastAsia"/>
        </w:rPr>
        <w:t>规划热网投资匡算</w:t>
      </w:r>
      <w:bookmarkEnd w:id="564"/>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根据此次规划编制内容，规划浙江宝峰热电有限公司新建供热管网</w:t>
      </w:r>
      <w:r>
        <w:rPr>
          <w:rFonts w:ascii="Times New Roman" w:hAnsi="Times New Roman" w:eastAsia="仿宋_GB2312" w:cs="宋体"/>
          <w:sz w:val="28"/>
        </w:rPr>
        <w:t>5公里，初步测算静态投资达0.25亿元</w:t>
      </w:r>
      <w:r>
        <w:rPr>
          <w:rFonts w:hint="eastAsia" w:ascii="Times New Roman" w:hAnsi="Times New Roman" w:eastAsia="仿宋_GB2312" w:cs="宋体"/>
          <w:sz w:val="28"/>
        </w:rPr>
        <w:t>；规划海宁马桥大都市热电有限公司新建供热管网</w:t>
      </w:r>
      <w:r>
        <w:rPr>
          <w:rFonts w:ascii="Times New Roman" w:hAnsi="Times New Roman" w:eastAsia="仿宋_GB2312" w:cs="宋体"/>
          <w:sz w:val="28"/>
        </w:rPr>
        <w:t>2.9</w:t>
      </w:r>
      <w:r>
        <w:rPr>
          <w:rFonts w:hint="eastAsia" w:ascii="Times New Roman" w:hAnsi="Times New Roman" w:eastAsia="仿宋_GB2312" w:cs="宋体"/>
          <w:sz w:val="28"/>
        </w:rPr>
        <w:t>公里，</w:t>
      </w:r>
      <w:r>
        <w:rPr>
          <w:rFonts w:hint="eastAsia" w:ascii="Times New Roman" w:hAnsi="Times New Roman" w:eastAsia="仿宋_GB2312" w:cs="Times New Roman"/>
          <w:sz w:val="28"/>
        </w:rPr>
        <w:t>初步测算静态投资达</w:t>
      </w:r>
      <w:r>
        <w:rPr>
          <w:rFonts w:ascii="Times New Roman" w:hAnsi="Times New Roman" w:eastAsia="仿宋_GB2312" w:cs="Times New Roman"/>
          <w:sz w:val="28"/>
        </w:rPr>
        <w:t>0.15</w:t>
      </w:r>
      <w:r>
        <w:rPr>
          <w:rFonts w:hint="eastAsia" w:ascii="Times New Roman" w:hAnsi="Times New Roman" w:eastAsia="仿宋_GB2312" w:cs="Times New Roman"/>
          <w:sz w:val="28"/>
        </w:rPr>
        <w:t>亿元；规划海宁恒逸热电有限公司新建供热管网</w:t>
      </w:r>
      <w:r>
        <w:rPr>
          <w:rFonts w:ascii="Times New Roman" w:hAnsi="Times New Roman" w:eastAsia="仿宋_GB2312" w:cs="Times New Roman"/>
          <w:sz w:val="28"/>
        </w:rPr>
        <w:t>1</w:t>
      </w:r>
      <w:r>
        <w:rPr>
          <w:rFonts w:hint="eastAsia" w:ascii="Times New Roman" w:hAnsi="Times New Roman" w:eastAsia="仿宋_GB2312" w:cs="Times New Roman"/>
          <w:sz w:val="28"/>
        </w:rPr>
        <w:t>公里，初步测算静态投资达</w:t>
      </w:r>
      <w:r>
        <w:rPr>
          <w:rFonts w:ascii="Times New Roman" w:hAnsi="Times New Roman" w:eastAsia="仿宋_GB2312" w:cs="Times New Roman"/>
          <w:sz w:val="28"/>
        </w:rPr>
        <w:t>0.05</w:t>
      </w:r>
      <w:r>
        <w:rPr>
          <w:rFonts w:hint="eastAsia" w:ascii="Times New Roman" w:hAnsi="Times New Roman" w:eastAsia="仿宋_GB2312" w:cs="Times New Roman"/>
          <w:sz w:val="28"/>
        </w:rPr>
        <w:t>亿元；规划海宁市红宝热电有限公司新建供热管网</w:t>
      </w:r>
      <w:r>
        <w:rPr>
          <w:rFonts w:ascii="Times New Roman" w:hAnsi="Times New Roman" w:eastAsia="仿宋_GB2312" w:cs="Times New Roman"/>
          <w:sz w:val="28"/>
        </w:rPr>
        <w:t>25.3公里，初步测算静态投资达1.3亿元</w:t>
      </w:r>
      <w:r>
        <w:rPr>
          <w:rFonts w:hint="eastAsia" w:ascii="Times New Roman" w:hAnsi="Times New Roman" w:eastAsia="仿宋_GB2312" w:cs="宋体"/>
          <w:sz w:val="28"/>
        </w:rPr>
        <w:t>；规划尖山新区第二公共热源点新建供热管网</w:t>
      </w:r>
      <w:r>
        <w:rPr>
          <w:rFonts w:ascii="Times New Roman" w:hAnsi="Times New Roman" w:eastAsia="仿宋_GB2312" w:cs="宋体"/>
          <w:sz w:val="28"/>
        </w:rPr>
        <w:t>4.5</w:t>
      </w:r>
      <w:r>
        <w:rPr>
          <w:rFonts w:hint="eastAsia" w:ascii="Times New Roman" w:hAnsi="Times New Roman" w:eastAsia="仿宋_GB2312" w:cs="宋体"/>
          <w:sz w:val="28"/>
        </w:rPr>
        <w:t>公里，</w:t>
      </w:r>
      <w:r>
        <w:rPr>
          <w:rFonts w:hint="eastAsia" w:ascii="Times New Roman" w:hAnsi="Times New Roman" w:eastAsia="仿宋_GB2312" w:cs="Times New Roman"/>
          <w:sz w:val="28"/>
        </w:rPr>
        <w:t>初步测算静态投资达</w:t>
      </w:r>
      <w:r>
        <w:rPr>
          <w:rFonts w:ascii="Times New Roman" w:hAnsi="Times New Roman" w:eastAsia="仿宋_GB2312" w:cs="Times New Roman"/>
          <w:sz w:val="28"/>
        </w:rPr>
        <w:t>0.3</w:t>
      </w:r>
      <w:r>
        <w:rPr>
          <w:rFonts w:hint="eastAsia" w:ascii="Times New Roman" w:hAnsi="Times New Roman" w:eastAsia="仿宋_GB2312" w:cs="Times New Roman"/>
          <w:sz w:val="28"/>
        </w:rPr>
        <w:t>亿元；规划海宁市江湾能源有限公司新建供热管网</w:t>
      </w:r>
      <w:r>
        <w:rPr>
          <w:rFonts w:ascii="Times New Roman" w:hAnsi="Times New Roman" w:eastAsia="仿宋_GB2312" w:cs="Times New Roman"/>
          <w:sz w:val="28"/>
        </w:rPr>
        <w:t>18.4</w:t>
      </w:r>
      <w:r>
        <w:rPr>
          <w:rFonts w:hint="eastAsia" w:ascii="Times New Roman" w:hAnsi="Times New Roman" w:eastAsia="仿宋_GB2312" w:cs="Times New Roman"/>
          <w:sz w:val="28"/>
        </w:rPr>
        <w:t>公里，初步测算静态投资达</w:t>
      </w:r>
      <w:r>
        <w:rPr>
          <w:rFonts w:ascii="Times New Roman" w:hAnsi="Times New Roman" w:eastAsia="仿宋_GB2312" w:cs="Times New Roman"/>
          <w:sz w:val="28"/>
        </w:rPr>
        <w:t>0.6</w:t>
      </w:r>
      <w:r>
        <w:rPr>
          <w:rFonts w:hint="eastAsia" w:ascii="Times New Roman" w:hAnsi="Times New Roman" w:eastAsia="仿宋_GB2312" w:cs="Times New Roman"/>
          <w:sz w:val="28"/>
        </w:rPr>
        <w:t>亿元</w:t>
      </w:r>
      <w:r>
        <w:rPr>
          <w:rFonts w:ascii="Times New Roman" w:hAnsi="Times New Roman" w:eastAsia="仿宋_GB2312" w:cs="Times New Roman"/>
          <w:sz w:val="28"/>
        </w:rPr>
        <w:t>。</w:t>
      </w:r>
      <w:r>
        <w:rPr>
          <w:rFonts w:hint="eastAsia" w:ascii="Times New Roman" w:hAnsi="Times New Roman" w:eastAsia="仿宋_GB2312" w:cs="Times New Roman"/>
          <w:sz w:val="28"/>
        </w:rPr>
        <w:t>综上所述，规划热网投资合计</w:t>
      </w:r>
      <w:r>
        <w:rPr>
          <w:rFonts w:ascii="Times New Roman" w:hAnsi="Times New Roman" w:eastAsia="仿宋_GB2312" w:cs="Times New Roman"/>
          <w:sz w:val="28"/>
        </w:rPr>
        <w:t>2.65</w:t>
      </w:r>
      <w:r>
        <w:rPr>
          <w:rFonts w:hint="eastAsia" w:ascii="Times New Roman" w:hAnsi="Times New Roman" w:eastAsia="仿宋_GB2312" w:cs="Times New Roman"/>
          <w:sz w:val="28"/>
        </w:rPr>
        <w:t>亿元。</w:t>
      </w:r>
      <w:r>
        <w:rPr>
          <w:rFonts w:hint="eastAsia" w:ascii="Times New Roman" w:hAnsi="Times New Roman" w:eastAsia="仿宋_GB2312" w:cs="宋体"/>
          <w:sz w:val="28"/>
        </w:rPr>
        <w:t>规划热网投资匡算见表9</w:t>
      </w:r>
      <w:r>
        <w:rPr>
          <w:rFonts w:ascii="Times New Roman" w:hAnsi="Times New Roman" w:eastAsia="仿宋_GB2312" w:cs="宋体"/>
          <w:sz w:val="28"/>
        </w:rPr>
        <w:t>.3-1</w:t>
      </w:r>
      <w:r>
        <w:rPr>
          <w:rFonts w:hint="eastAsia" w:ascii="Times New Roman" w:hAnsi="Times New Roman" w:eastAsia="仿宋_GB2312" w:cs="宋体"/>
          <w:sz w:val="28"/>
        </w:rPr>
        <w:t>。</w:t>
      </w:r>
    </w:p>
    <w:p>
      <w:pPr>
        <w:spacing w:before="156" w:beforeLines="50" w:line="360" w:lineRule="auto"/>
        <w:jc w:val="center"/>
        <w:rPr>
          <w:rFonts w:ascii="黑体" w:hAnsi="黑体" w:eastAsia="黑体" w:cs="Times New Roman"/>
          <w:sz w:val="28"/>
          <w:szCs w:val="28"/>
        </w:rPr>
      </w:pPr>
      <w:r>
        <w:rPr>
          <w:rFonts w:hint="eastAsia" w:ascii="黑体" w:hAnsi="黑体" w:eastAsia="黑体" w:cs="Times New Roman"/>
          <w:sz w:val="28"/>
          <w:szCs w:val="28"/>
        </w:rPr>
        <w:t>表</w:t>
      </w:r>
      <w:r>
        <w:rPr>
          <w:rFonts w:ascii="黑体" w:hAnsi="黑体" w:eastAsia="黑体" w:cs="Times New Roman"/>
          <w:sz w:val="28"/>
          <w:szCs w:val="28"/>
        </w:rPr>
        <w:t xml:space="preserve">9.3-1 </w:t>
      </w:r>
      <w:r>
        <w:rPr>
          <w:rFonts w:hint="eastAsia" w:ascii="黑体" w:hAnsi="黑体" w:eastAsia="黑体" w:cs="Times New Roman"/>
          <w:sz w:val="28"/>
          <w:szCs w:val="28"/>
        </w:rPr>
        <w:t>规划热网投资匡算表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947"/>
        <w:gridCol w:w="1973"/>
        <w:gridCol w:w="2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blHeader/>
          <w:jc w:val="center"/>
        </w:trPr>
        <w:tc>
          <w:tcPr>
            <w:tcW w:w="438" w:type="pct"/>
            <w:shd w:val="clear" w:color="auto" w:fill="auto"/>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序号</w:t>
            </w:r>
          </w:p>
        </w:tc>
        <w:tc>
          <w:tcPr>
            <w:tcW w:w="2206" w:type="pct"/>
            <w:shd w:val="clear" w:color="auto" w:fill="auto"/>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管网</w:t>
            </w:r>
          </w:p>
        </w:tc>
        <w:tc>
          <w:tcPr>
            <w:tcW w:w="1103" w:type="pct"/>
            <w:shd w:val="clear" w:color="auto" w:fill="auto"/>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长度（公里）</w:t>
            </w:r>
          </w:p>
        </w:tc>
        <w:tc>
          <w:tcPr>
            <w:tcW w:w="1253" w:type="pct"/>
            <w:vAlign w:val="center"/>
          </w:tcPr>
          <w:p>
            <w:pPr>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静态投资（亿元）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8" w:type="pct"/>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p>
        </w:tc>
        <w:tc>
          <w:tcPr>
            <w:tcW w:w="2206" w:type="pct"/>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浙江宝峰热电有限公司</w:t>
            </w:r>
          </w:p>
        </w:tc>
        <w:tc>
          <w:tcPr>
            <w:tcW w:w="1103" w:type="pct"/>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w:t>
            </w:r>
          </w:p>
        </w:tc>
        <w:tc>
          <w:tcPr>
            <w:tcW w:w="1253"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r>
              <w:rPr>
                <w:rFonts w:ascii="Times New Roman" w:hAnsi="Times New Roman" w:eastAsia="仿宋_GB2312" w:cs="Times New Roman"/>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8" w:type="pct"/>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2</w:t>
            </w:r>
          </w:p>
        </w:tc>
        <w:tc>
          <w:tcPr>
            <w:tcW w:w="2206" w:type="pct"/>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海宁马桥大都市热电有限公司</w:t>
            </w:r>
          </w:p>
        </w:tc>
        <w:tc>
          <w:tcPr>
            <w:tcW w:w="1103" w:type="pct"/>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2.9</w:t>
            </w:r>
          </w:p>
        </w:tc>
        <w:tc>
          <w:tcPr>
            <w:tcW w:w="125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8" w:type="pct"/>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c>
          <w:tcPr>
            <w:tcW w:w="2206" w:type="pct"/>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海宁恒逸热电有限公司</w:t>
            </w:r>
          </w:p>
        </w:tc>
        <w:tc>
          <w:tcPr>
            <w:tcW w:w="1103" w:type="pct"/>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1</w:t>
            </w:r>
          </w:p>
        </w:tc>
        <w:tc>
          <w:tcPr>
            <w:tcW w:w="1253"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r>
              <w:rPr>
                <w:rFonts w:ascii="Times New Roman" w:hAnsi="Times New Roman" w:eastAsia="仿宋_GB2312" w:cs="Times New Roman"/>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8" w:type="pct"/>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w:t>
            </w:r>
          </w:p>
        </w:tc>
        <w:tc>
          <w:tcPr>
            <w:tcW w:w="2206" w:type="pct"/>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海宁市红宝热电有限公司</w:t>
            </w:r>
          </w:p>
        </w:tc>
        <w:tc>
          <w:tcPr>
            <w:tcW w:w="1103" w:type="pct"/>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25.3</w:t>
            </w:r>
          </w:p>
        </w:tc>
        <w:tc>
          <w:tcPr>
            <w:tcW w:w="125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8" w:type="pct"/>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5</w:t>
            </w:r>
          </w:p>
        </w:tc>
        <w:tc>
          <w:tcPr>
            <w:tcW w:w="2206" w:type="pct"/>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尖山新区第二公共热源点</w:t>
            </w:r>
          </w:p>
        </w:tc>
        <w:tc>
          <w:tcPr>
            <w:tcW w:w="1103" w:type="pct"/>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4.5</w:t>
            </w:r>
          </w:p>
        </w:tc>
        <w:tc>
          <w:tcPr>
            <w:tcW w:w="1253" w:type="pct"/>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0</w:t>
            </w:r>
            <w:r>
              <w:rPr>
                <w:rFonts w:ascii="Times New Roman" w:hAnsi="Times New Roman" w:eastAsia="仿宋_GB2312" w:cs="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8" w:type="pct"/>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6</w:t>
            </w:r>
          </w:p>
        </w:tc>
        <w:tc>
          <w:tcPr>
            <w:tcW w:w="2206" w:type="pct"/>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海宁市江湾能源有限公司</w:t>
            </w:r>
          </w:p>
        </w:tc>
        <w:tc>
          <w:tcPr>
            <w:tcW w:w="1103" w:type="pct"/>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18.4</w:t>
            </w:r>
          </w:p>
        </w:tc>
        <w:tc>
          <w:tcPr>
            <w:tcW w:w="125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38" w:type="pct"/>
            <w:shd w:val="clear" w:color="auto" w:fill="auto"/>
            <w:vAlign w:val="center"/>
          </w:tcPr>
          <w:p>
            <w:pPr>
              <w:jc w:val="center"/>
              <w:rPr>
                <w:rFonts w:ascii="Times New Roman" w:hAnsi="Times New Roman" w:eastAsia="仿宋_GB2312" w:cs="Times New Roman"/>
                <w:sz w:val="24"/>
                <w:szCs w:val="24"/>
              </w:rPr>
            </w:pPr>
          </w:p>
        </w:tc>
        <w:tc>
          <w:tcPr>
            <w:tcW w:w="2206" w:type="pct"/>
            <w:shd w:val="clear" w:color="auto" w:fill="auto"/>
            <w:vAlign w:val="center"/>
          </w:tcPr>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合计</w:t>
            </w:r>
          </w:p>
        </w:tc>
        <w:tc>
          <w:tcPr>
            <w:tcW w:w="1103" w:type="pct"/>
            <w:shd w:val="clear" w:color="auto" w:fill="auto"/>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57.1</w:t>
            </w:r>
          </w:p>
        </w:tc>
        <w:tc>
          <w:tcPr>
            <w:tcW w:w="1253" w:type="pc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2.65</w:t>
            </w:r>
          </w:p>
        </w:tc>
      </w:tr>
    </w:tbl>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br w:type="page"/>
      </w:r>
    </w:p>
    <w:p>
      <w:pPr>
        <w:pStyle w:val="2"/>
      </w:pPr>
      <w:bookmarkStart w:id="565" w:name="_Toc188636974"/>
      <w:r>
        <w:rPr>
          <w:rFonts w:hint="eastAsia"/>
        </w:rPr>
        <w:t>十、主要结论及保障措施</w:t>
      </w:r>
      <w:bookmarkEnd w:id="565"/>
    </w:p>
    <w:p>
      <w:pPr>
        <w:pStyle w:val="3"/>
      </w:pPr>
      <w:bookmarkStart w:id="566" w:name="_Toc188636975"/>
      <w:r>
        <w:t>10.1</w:t>
      </w:r>
      <w:r>
        <w:rPr>
          <w:rFonts w:hint="eastAsia"/>
        </w:rPr>
        <w:t>主要结论</w:t>
      </w:r>
      <w:bookmarkEnd w:id="566"/>
    </w:p>
    <w:p>
      <w:pPr>
        <w:pStyle w:val="4"/>
      </w:pPr>
      <w:bookmarkStart w:id="567" w:name="_Toc144301297"/>
      <w:bookmarkStart w:id="568" w:name="_Toc188636976"/>
      <w:bookmarkStart w:id="569" w:name="_Toc183631850"/>
      <w:bookmarkStart w:id="570" w:name="_Toc136514789"/>
      <w:bookmarkStart w:id="571" w:name="_Toc110595672"/>
      <w:bookmarkStart w:id="572" w:name="_Toc144301078"/>
      <w:bookmarkStart w:id="573" w:name="_Toc171197922"/>
      <w:bookmarkStart w:id="574" w:name="_Toc110677133"/>
      <w:bookmarkStart w:id="575" w:name="_Toc181983833"/>
      <w:bookmarkStart w:id="576" w:name="_Toc111225992"/>
      <w:r>
        <w:t>10.1.1</w:t>
      </w:r>
      <w:r>
        <w:rPr>
          <w:rFonts w:hint="eastAsia"/>
        </w:rPr>
        <w:t>海宁市热电联产（集中供热）规划的编制是十分必要</w:t>
      </w:r>
      <w:bookmarkEnd w:id="567"/>
      <w:bookmarkEnd w:id="568"/>
      <w:bookmarkEnd w:id="569"/>
      <w:bookmarkEnd w:id="570"/>
      <w:bookmarkEnd w:id="571"/>
      <w:bookmarkEnd w:id="572"/>
      <w:bookmarkEnd w:id="573"/>
      <w:bookmarkEnd w:id="574"/>
      <w:bookmarkEnd w:id="575"/>
      <w:bookmarkEnd w:id="576"/>
    </w:p>
    <w:p>
      <w:pPr>
        <w:spacing w:line="580" w:lineRule="exact"/>
        <w:ind w:firstLine="560" w:firstLineChars="200"/>
        <w:rPr>
          <w:rFonts w:ascii="Times New Roman" w:hAnsi="Times New Roman" w:eastAsia="仿宋_GB2312" w:cs="Times New Roman"/>
          <w:sz w:val="28"/>
        </w:rPr>
      </w:pPr>
      <w:r>
        <w:rPr>
          <w:rFonts w:hint="eastAsia" w:ascii="Times New Roman" w:hAnsi="Times New Roman" w:eastAsia="仿宋_GB2312" w:cs="Times New Roman"/>
          <w:sz w:val="28"/>
        </w:rPr>
        <w:t>实现热电联产和集中供热是节约能源和减少环境污染的重要措施，不仅对建设资源节约型和环境友好型社会具有十分重要的战略意义，而且对于提高人民生活质量、改善投资环境、促进海宁市经济社会的可持续发展均具有重要的现实意义，亟需开展海宁市集中供热热源点的规划和建设。</w:t>
      </w:r>
    </w:p>
    <w:p>
      <w:pPr>
        <w:pStyle w:val="4"/>
      </w:pPr>
      <w:bookmarkStart w:id="577" w:name="_Toc171197923"/>
      <w:bookmarkStart w:id="578" w:name="_Toc110677134"/>
      <w:bookmarkStart w:id="579" w:name="_Toc136514790"/>
      <w:bookmarkStart w:id="580" w:name="_Toc139379191"/>
      <w:bookmarkStart w:id="581" w:name="_Toc144301298"/>
      <w:bookmarkStart w:id="582" w:name="_Toc110595673"/>
      <w:bookmarkStart w:id="583" w:name="_Toc183631851"/>
      <w:bookmarkStart w:id="584" w:name="_Toc111225993"/>
      <w:bookmarkStart w:id="585" w:name="_Toc188636977"/>
      <w:bookmarkStart w:id="586" w:name="_Toc144301079"/>
      <w:bookmarkStart w:id="587" w:name="_Toc181983834"/>
      <w:r>
        <w:t>10.1.2</w:t>
      </w:r>
      <w:r>
        <w:rPr>
          <w:rFonts w:hint="eastAsia"/>
        </w:rPr>
        <w:t>规划主要成果</w:t>
      </w:r>
      <w:bookmarkEnd w:id="577"/>
      <w:bookmarkEnd w:id="578"/>
      <w:bookmarkEnd w:id="579"/>
      <w:bookmarkEnd w:id="580"/>
      <w:bookmarkEnd w:id="581"/>
      <w:bookmarkEnd w:id="582"/>
      <w:bookmarkEnd w:id="583"/>
      <w:bookmarkEnd w:id="584"/>
      <w:bookmarkEnd w:id="585"/>
      <w:bookmarkEnd w:id="586"/>
      <w:bookmarkEnd w:id="587"/>
    </w:p>
    <w:p>
      <w:pPr>
        <w:spacing w:line="580" w:lineRule="exact"/>
        <w:ind w:firstLine="555"/>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1</w:t>
      </w:r>
      <w:r>
        <w:rPr>
          <w:rFonts w:hint="eastAsia" w:ascii="Times New Roman" w:hAnsi="Times New Roman" w:eastAsia="仿宋_GB2312" w:cs="Times New Roman"/>
          <w:b/>
          <w:sz w:val="28"/>
        </w:rPr>
        <w:t>）规划范围</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本规划范围为海宁市辖区内范围，包括</w:t>
      </w:r>
      <w:r>
        <w:rPr>
          <w:rFonts w:ascii="Times New Roman" w:hAnsi="Times New Roman" w:eastAsia="仿宋_GB2312" w:cs="宋体"/>
          <w:sz w:val="28"/>
        </w:rPr>
        <w:t>4个街道、8个建制镇，分别为硖石街道、海洲街道、海昌街道、马桥街道、许村镇、长安镇、周王庙镇、盐官镇、丁桥镇、斜桥镇、袁花镇、黄湾镇，总面积863平方公里</w:t>
      </w:r>
      <w:r>
        <w:rPr>
          <w:rFonts w:hint="eastAsia" w:ascii="Times New Roman" w:hAnsi="Times New Roman" w:eastAsia="仿宋_GB2312" w:cs="Times New Roman"/>
          <w:kern w:val="0"/>
          <w:sz w:val="28"/>
          <w:szCs w:val="24"/>
        </w:rPr>
        <w:t>。</w:t>
      </w:r>
    </w:p>
    <w:p>
      <w:pPr>
        <w:spacing w:line="580" w:lineRule="exact"/>
        <w:ind w:firstLine="555"/>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2</w:t>
      </w:r>
      <w:r>
        <w:rPr>
          <w:rFonts w:hint="eastAsia" w:ascii="Times New Roman" w:hAnsi="Times New Roman" w:eastAsia="仿宋_GB2312" w:cs="Times New Roman"/>
          <w:b/>
          <w:sz w:val="28"/>
        </w:rPr>
        <w:t>）规划期限</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宋体"/>
          <w:sz w:val="28"/>
        </w:rPr>
        <w:t>规划期限为</w:t>
      </w:r>
      <w:r>
        <w:rPr>
          <w:rFonts w:ascii="Times New Roman" w:hAnsi="Times New Roman" w:eastAsia="仿宋_GB2312" w:cs="宋体"/>
          <w:sz w:val="28"/>
        </w:rPr>
        <w:t>2025~2030</w:t>
      </w:r>
      <w:r>
        <w:rPr>
          <w:rFonts w:hint="eastAsia" w:ascii="Times New Roman" w:hAnsi="Times New Roman" w:eastAsia="仿宋_GB2312" w:cs="宋体"/>
          <w:sz w:val="28"/>
        </w:rPr>
        <w:t>年，近期至2</w:t>
      </w:r>
      <w:r>
        <w:rPr>
          <w:rFonts w:ascii="Times New Roman" w:hAnsi="Times New Roman" w:eastAsia="仿宋_GB2312" w:cs="宋体"/>
          <w:sz w:val="28"/>
        </w:rPr>
        <w:t>026</w:t>
      </w:r>
      <w:r>
        <w:rPr>
          <w:rFonts w:hint="eastAsia" w:ascii="Times New Roman" w:hAnsi="Times New Roman" w:eastAsia="仿宋_GB2312" w:cs="宋体"/>
          <w:sz w:val="28"/>
        </w:rPr>
        <w:t>年，远期至2</w:t>
      </w:r>
      <w:r>
        <w:rPr>
          <w:rFonts w:ascii="Times New Roman" w:hAnsi="Times New Roman" w:eastAsia="仿宋_GB2312" w:cs="宋体"/>
          <w:sz w:val="28"/>
        </w:rPr>
        <w:t>030</w:t>
      </w:r>
      <w:r>
        <w:rPr>
          <w:rFonts w:hint="eastAsia" w:ascii="Times New Roman" w:hAnsi="Times New Roman" w:eastAsia="仿宋_GB2312" w:cs="宋体"/>
          <w:sz w:val="28"/>
        </w:rPr>
        <w:t>年。</w:t>
      </w:r>
    </w:p>
    <w:p>
      <w:pPr>
        <w:spacing w:line="580" w:lineRule="exact"/>
        <w:ind w:firstLine="555"/>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3</w:t>
      </w:r>
      <w:r>
        <w:rPr>
          <w:rFonts w:hint="eastAsia" w:ascii="Times New Roman" w:hAnsi="Times New Roman" w:eastAsia="仿宋_GB2312" w:cs="Times New Roman"/>
          <w:b/>
          <w:sz w:val="28"/>
        </w:rPr>
        <w:t>）供热现状</w:t>
      </w:r>
    </w:p>
    <w:p>
      <w:pPr>
        <w:spacing w:line="580" w:lineRule="exact"/>
        <w:ind w:firstLine="555"/>
        <w:rPr>
          <w:rFonts w:ascii="Times New Roman" w:hAnsi="Times New Roman" w:eastAsia="仿宋_GB2312" w:cs="宋体"/>
        </w:rPr>
      </w:pPr>
      <w:r>
        <w:rPr>
          <w:rFonts w:hint="eastAsia" w:ascii="Times New Roman" w:hAnsi="Times New Roman" w:eastAsia="仿宋_GB2312" w:cs="宋体"/>
          <w:sz w:val="28"/>
        </w:rPr>
        <w:t>截至</w:t>
      </w:r>
      <w:r>
        <w:rPr>
          <w:rFonts w:ascii="Times New Roman" w:hAnsi="Times New Roman" w:eastAsia="仿宋_GB2312" w:cs="宋体"/>
          <w:sz w:val="28"/>
        </w:rPr>
        <w:t>2024</w:t>
      </w:r>
      <w:r>
        <w:rPr>
          <w:rFonts w:hint="eastAsia" w:ascii="Times New Roman" w:hAnsi="Times New Roman" w:eastAsia="仿宋_GB2312" w:cs="宋体"/>
          <w:sz w:val="28"/>
        </w:rPr>
        <w:t>年底，海宁市现有已运行</w:t>
      </w:r>
      <w:r>
        <w:rPr>
          <w:rFonts w:ascii="Times New Roman" w:hAnsi="Times New Roman" w:eastAsia="仿宋_GB2312" w:cs="宋体"/>
          <w:sz w:val="28"/>
        </w:rPr>
        <w:t>6</w:t>
      </w:r>
      <w:r>
        <w:rPr>
          <w:rFonts w:hint="eastAsia" w:ascii="Times New Roman" w:hAnsi="Times New Roman" w:eastAsia="仿宋_GB2312" w:cs="宋体"/>
          <w:sz w:val="28"/>
        </w:rPr>
        <w:t>家公共热源点，锅炉总蒸发量</w:t>
      </w:r>
      <w:r>
        <w:rPr>
          <w:rFonts w:ascii="Times New Roman" w:hAnsi="Times New Roman" w:eastAsia="仿宋_GB2312" w:cs="宋体"/>
          <w:sz w:val="28"/>
        </w:rPr>
        <w:t>2080t/h，总装机容量166.5MW</w:t>
      </w:r>
      <w:r>
        <w:rPr>
          <w:rFonts w:hint="eastAsia" w:ascii="Times New Roman" w:hAnsi="Times New Roman" w:eastAsia="仿宋_GB2312" w:cs="宋体"/>
          <w:sz w:val="28"/>
        </w:rPr>
        <w:t>，对外最大供热能力</w:t>
      </w:r>
      <w:r>
        <w:rPr>
          <w:rFonts w:ascii="Times New Roman" w:hAnsi="Times New Roman" w:eastAsia="仿宋_GB2312" w:cs="宋体"/>
          <w:sz w:val="28"/>
        </w:rPr>
        <w:t>1602t/h。已建供热管网300公里。共发展热用户570家，年售汽量710万吨。</w:t>
      </w:r>
    </w:p>
    <w:p>
      <w:pPr>
        <w:spacing w:line="580" w:lineRule="exact"/>
        <w:ind w:firstLine="555"/>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4</w:t>
      </w:r>
      <w:r>
        <w:rPr>
          <w:rFonts w:hint="eastAsia" w:ascii="Times New Roman" w:hAnsi="Times New Roman" w:eastAsia="仿宋_GB2312" w:cs="Times New Roman"/>
          <w:b/>
          <w:sz w:val="28"/>
        </w:rPr>
        <w:t>）供热规划分区</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本次集中供热规划分区</w:t>
      </w:r>
      <w:r>
        <w:rPr>
          <w:rFonts w:hint="eastAsia" w:ascii="Times New Roman" w:hAnsi="Times New Roman" w:eastAsia="仿宋_GB2312" w:cs="宋体"/>
          <w:sz w:val="28"/>
        </w:rPr>
        <w:t>见表</w:t>
      </w:r>
      <w:r>
        <w:rPr>
          <w:rFonts w:ascii="Times New Roman" w:hAnsi="Times New Roman" w:eastAsia="仿宋_GB2312" w:cs="宋体"/>
          <w:sz w:val="28"/>
        </w:rPr>
        <w:t>10.1.2-1</w:t>
      </w:r>
      <w:r>
        <w:rPr>
          <w:rFonts w:hint="eastAsia" w:ascii="Times New Roman" w:hAnsi="Times New Roman" w:eastAsia="仿宋_GB2312" w:cs="Times New Roman"/>
          <w:sz w:val="28"/>
        </w:rPr>
        <w:t>。</w:t>
      </w:r>
    </w:p>
    <w:p>
      <w:pPr>
        <w:spacing w:line="580" w:lineRule="exact"/>
        <w:ind w:firstLine="555"/>
        <w:rPr>
          <w:rFonts w:ascii="Times New Roman" w:hAnsi="Times New Roman" w:eastAsia="仿宋_GB2312" w:cs="Times New Roman"/>
          <w:sz w:val="28"/>
        </w:rPr>
      </w:pPr>
    </w:p>
    <w:p>
      <w:pPr>
        <w:spacing w:line="580" w:lineRule="exact"/>
        <w:ind w:firstLine="555"/>
        <w:rPr>
          <w:rFonts w:ascii="Times New Roman" w:hAnsi="Times New Roman" w:eastAsia="仿宋_GB2312" w:cs="Times New Roman"/>
          <w:sz w:val="28"/>
        </w:rPr>
      </w:pPr>
    </w:p>
    <w:p>
      <w:pPr>
        <w:spacing w:before="156" w:beforeLines="50"/>
        <w:jc w:val="center"/>
        <w:rPr>
          <w:rFonts w:ascii="黑体" w:hAnsi="黑体" w:eastAsia="黑体" w:cs="Times New Roman"/>
          <w:sz w:val="28"/>
          <w:szCs w:val="24"/>
        </w:rPr>
      </w:pPr>
      <w:r>
        <w:rPr>
          <w:rFonts w:hint="eastAsia" w:ascii="黑体" w:hAnsi="黑体" w:eastAsia="黑体" w:cs="Times New Roman"/>
          <w:sz w:val="28"/>
          <w:szCs w:val="24"/>
        </w:rPr>
        <w:t>表</w:t>
      </w:r>
      <w:r>
        <w:rPr>
          <w:rFonts w:ascii="黑体" w:hAnsi="黑体" w:eastAsia="黑体" w:cs="Times New Roman"/>
          <w:sz w:val="28"/>
          <w:szCs w:val="24"/>
        </w:rPr>
        <w:t xml:space="preserve">10.1.2-1 </w:t>
      </w:r>
      <w:r>
        <w:rPr>
          <w:rFonts w:hint="eastAsia" w:ascii="黑体" w:hAnsi="黑体" w:eastAsia="黑体" w:cs="Times New Roman"/>
          <w:sz w:val="28"/>
          <w:szCs w:val="24"/>
        </w:rPr>
        <w:t>供热规划分区供热范围表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985"/>
        <w:gridCol w:w="2976"/>
        <w:gridCol w:w="3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序号</w:t>
            </w:r>
          </w:p>
        </w:tc>
        <w:tc>
          <w:tcPr>
            <w:tcW w:w="1985" w:type="dxa"/>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供热分区</w:t>
            </w:r>
          </w:p>
        </w:tc>
        <w:tc>
          <w:tcPr>
            <w:tcW w:w="2976" w:type="dxa"/>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供热范围</w:t>
            </w:r>
          </w:p>
        </w:tc>
        <w:tc>
          <w:tcPr>
            <w:tcW w:w="3055" w:type="dxa"/>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公共热源点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985"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中心城区北部及周边区块</w:t>
            </w:r>
          </w:p>
        </w:tc>
        <w:tc>
          <w:tcPr>
            <w:tcW w:w="2976"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海昌街道、硖石街道、斜桥镇铁路以</w:t>
            </w:r>
            <w:r>
              <w:rPr>
                <w:rFonts w:hint="eastAsia" w:ascii="Times New Roman" w:hAnsi="Times New Roman" w:eastAsia="仿宋_GB2312" w:cs="Times New Roman"/>
                <w:sz w:val="24"/>
                <w:szCs w:val="24"/>
              </w:rPr>
              <w:t>北</w:t>
            </w:r>
            <w:r>
              <w:rPr>
                <w:rFonts w:ascii="Times New Roman" w:hAnsi="Times New Roman" w:eastAsia="仿宋_GB2312" w:cs="Times New Roman"/>
                <w:sz w:val="24"/>
                <w:szCs w:val="24"/>
              </w:rPr>
              <w:t>区域、海洲街道铁路以</w:t>
            </w:r>
            <w:r>
              <w:rPr>
                <w:rFonts w:hint="eastAsia" w:ascii="Times New Roman" w:hAnsi="Times New Roman" w:eastAsia="仿宋_GB2312" w:cs="Times New Roman"/>
                <w:sz w:val="24"/>
                <w:szCs w:val="24"/>
              </w:rPr>
              <w:t>北</w:t>
            </w:r>
            <w:r>
              <w:rPr>
                <w:rFonts w:ascii="Times New Roman" w:hAnsi="Times New Roman" w:eastAsia="仿宋_GB2312" w:cs="Times New Roman"/>
                <w:sz w:val="24"/>
                <w:szCs w:val="24"/>
              </w:rPr>
              <w:t>区域</w:t>
            </w:r>
          </w:p>
        </w:tc>
        <w:tc>
          <w:tcPr>
            <w:tcW w:w="3055" w:type="dxa"/>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海宁光耀热电有限公司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985"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中心城区南部及周边区块</w:t>
            </w:r>
          </w:p>
        </w:tc>
        <w:tc>
          <w:tcPr>
            <w:tcW w:w="2976"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马桥街道、丁桥镇、斜桥镇铁路以南区域、海洲街道铁路以南区域</w:t>
            </w:r>
          </w:p>
        </w:tc>
        <w:tc>
          <w:tcPr>
            <w:tcW w:w="3055" w:type="dxa"/>
            <w:vAlign w:val="center"/>
          </w:tcPr>
          <w:p>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海宁马桥大都市热电公司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985"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长安及周边区块</w:t>
            </w:r>
          </w:p>
        </w:tc>
        <w:tc>
          <w:tcPr>
            <w:tcW w:w="2976" w:type="dxa"/>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长安镇</w:t>
            </w:r>
            <w:r>
              <w:rPr>
                <w:rFonts w:ascii="Times New Roman" w:hAnsi="Times New Roman" w:eastAsia="仿宋_GB2312" w:cs="Times New Roman"/>
                <w:sz w:val="24"/>
                <w:szCs w:val="24"/>
              </w:rPr>
              <w:t>、</w:t>
            </w:r>
            <w:r>
              <w:rPr>
                <w:rFonts w:hint="eastAsia" w:ascii="Times New Roman" w:hAnsi="Times New Roman" w:eastAsia="仿宋_GB2312" w:cs="Times New Roman"/>
                <w:sz w:val="24"/>
                <w:szCs w:val="24"/>
              </w:rPr>
              <w:t>周王庙镇、</w:t>
            </w:r>
            <w:r>
              <w:rPr>
                <w:rFonts w:ascii="Times New Roman" w:hAnsi="Times New Roman" w:eastAsia="仿宋_GB2312" w:cs="Times New Roman"/>
                <w:sz w:val="24"/>
                <w:szCs w:val="24"/>
              </w:rPr>
              <w:t>盐官镇</w:t>
            </w:r>
          </w:p>
        </w:tc>
        <w:tc>
          <w:tcPr>
            <w:tcW w:w="3055" w:type="dxa"/>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海宁红宝热电有限公司</w:t>
            </w:r>
            <w:r>
              <w:rPr>
                <w:rFonts w:hint="eastAsia" w:ascii="Times New Roman" w:hAnsi="Times New Roman" w:eastAsia="仿宋_GB2312" w:cs="Times New Roman"/>
                <w:sz w:val="24"/>
                <w:szCs w:val="24"/>
              </w:rPr>
              <w:t>、</w:t>
            </w:r>
            <w:r>
              <w:rPr>
                <w:rFonts w:ascii="Times New Roman" w:hAnsi="Times New Roman" w:eastAsia="仿宋_GB2312" w:cs="Times New Roman"/>
                <w:sz w:val="24"/>
                <w:szCs w:val="24"/>
              </w:rPr>
              <w:t>浙江泰亿能源有限公司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985"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许村区块</w:t>
            </w:r>
          </w:p>
        </w:tc>
        <w:tc>
          <w:tcPr>
            <w:tcW w:w="2976"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许村镇</w:t>
            </w:r>
          </w:p>
        </w:tc>
        <w:tc>
          <w:tcPr>
            <w:tcW w:w="3055"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浙江宝峰热电公司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5</w:t>
            </w:r>
          </w:p>
        </w:tc>
        <w:tc>
          <w:tcPr>
            <w:tcW w:w="1985"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尖山新区及周边区块</w:t>
            </w:r>
          </w:p>
        </w:tc>
        <w:tc>
          <w:tcPr>
            <w:tcW w:w="2976"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袁花镇、黄湾镇</w:t>
            </w:r>
          </w:p>
        </w:tc>
        <w:tc>
          <w:tcPr>
            <w:tcW w:w="3055" w:type="dxa"/>
            <w:vAlign w:val="center"/>
          </w:tcPr>
          <w:p>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海宁恒逸热电有限公司</w:t>
            </w:r>
          </w:p>
        </w:tc>
      </w:tr>
    </w:tbl>
    <w:p>
      <w:pPr>
        <w:spacing w:before="156" w:beforeLines="50" w:line="580" w:lineRule="exact"/>
        <w:ind w:firstLine="556"/>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5</w:t>
      </w:r>
      <w:r>
        <w:rPr>
          <w:rFonts w:hint="eastAsia" w:ascii="Times New Roman" w:hAnsi="Times New Roman" w:eastAsia="仿宋_GB2312" w:cs="Times New Roman"/>
          <w:b/>
          <w:sz w:val="28"/>
        </w:rPr>
        <w:t>）规划热负荷</w:t>
      </w:r>
    </w:p>
    <w:p>
      <w:pPr>
        <w:spacing w:line="580" w:lineRule="exact"/>
        <w:ind w:firstLine="556"/>
        <w:rPr>
          <w:rFonts w:ascii="Times New Roman" w:hAnsi="Times New Roman" w:eastAsia="仿宋_GB2312" w:cs="Times New Roman"/>
          <w:sz w:val="28"/>
        </w:rPr>
      </w:pPr>
      <w:r>
        <w:rPr>
          <w:rFonts w:hint="eastAsia" w:ascii="Times New Roman" w:hAnsi="Times New Roman" w:eastAsia="仿宋_GB2312" w:cs="Times New Roman"/>
          <w:sz w:val="28"/>
        </w:rPr>
        <w:t>本次供热规划分区</w:t>
      </w:r>
      <w:r>
        <w:rPr>
          <w:rFonts w:hint="eastAsia" w:ascii="Times New Roman" w:hAnsi="Times New Roman" w:eastAsia="仿宋_GB2312" w:cs="宋体"/>
          <w:sz w:val="28"/>
        </w:rPr>
        <w:t>近远期集中供热热负荷情况见表</w:t>
      </w:r>
      <w:r>
        <w:rPr>
          <w:rFonts w:ascii="Times New Roman" w:hAnsi="Times New Roman" w:eastAsia="仿宋_GB2312" w:cs="宋体"/>
          <w:sz w:val="28"/>
        </w:rPr>
        <w:t>10.1.2-2</w:t>
      </w:r>
      <w:r>
        <w:rPr>
          <w:rFonts w:hint="eastAsia" w:ascii="Times New Roman" w:hAnsi="Times New Roman" w:eastAsia="仿宋_GB2312" w:cs="Times New Roman"/>
          <w:sz w:val="28"/>
        </w:rPr>
        <w:t>。</w:t>
      </w:r>
    </w:p>
    <w:p>
      <w:pPr>
        <w:spacing w:before="156" w:beforeLines="50"/>
        <w:jc w:val="center"/>
        <w:rPr>
          <w:rFonts w:ascii="黑体" w:hAnsi="黑体" w:eastAsia="黑体" w:cs="Times New Roman"/>
          <w:sz w:val="28"/>
          <w:szCs w:val="24"/>
        </w:rPr>
      </w:pPr>
      <w:r>
        <w:rPr>
          <w:rFonts w:hint="eastAsia" w:ascii="黑体" w:hAnsi="黑体" w:eastAsia="黑体" w:cs="Times New Roman"/>
          <w:sz w:val="28"/>
          <w:szCs w:val="24"/>
        </w:rPr>
        <w:t>表</w:t>
      </w:r>
      <w:r>
        <w:rPr>
          <w:rFonts w:ascii="黑体" w:hAnsi="黑体" w:eastAsia="黑体" w:cs="Times New Roman"/>
          <w:sz w:val="28"/>
          <w:szCs w:val="24"/>
        </w:rPr>
        <w:t xml:space="preserve">10.1.2-2 </w:t>
      </w:r>
      <w:r>
        <w:rPr>
          <w:rFonts w:hint="eastAsia" w:ascii="黑体" w:hAnsi="黑体" w:eastAsia="黑体" w:cs="Times New Roman"/>
          <w:sz w:val="28"/>
          <w:szCs w:val="24"/>
        </w:rPr>
        <w:t>海宁市规划期集中供热设计热负荷汇总</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16"/>
        <w:gridCol w:w="2264"/>
        <w:gridCol w:w="1744"/>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55" w:type="dxa"/>
            <w:vAlign w:val="center"/>
          </w:tcPr>
          <w:p>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区域</w:t>
            </w:r>
          </w:p>
        </w:tc>
        <w:tc>
          <w:tcPr>
            <w:tcW w:w="1416" w:type="dxa"/>
            <w:vAlign w:val="center"/>
          </w:tcPr>
          <w:p>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蒸汽类型</w:t>
            </w:r>
          </w:p>
        </w:tc>
        <w:tc>
          <w:tcPr>
            <w:tcW w:w="2264" w:type="dxa"/>
            <w:vAlign w:val="center"/>
          </w:tcPr>
          <w:p>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设计热负荷类型</w:t>
            </w:r>
          </w:p>
        </w:tc>
        <w:tc>
          <w:tcPr>
            <w:tcW w:w="1744" w:type="dxa"/>
            <w:vAlign w:val="center"/>
          </w:tcPr>
          <w:p>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近期</w:t>
            </w:r>
          </w:p>
        </w:tc>
        <w:tc>
          <w:tcPr>
            <w:tcW w:w="1741" w:type="dxa"/>
            <w:vAlign w:val="center"/>
          </w:tcPr>
          <w:p>
            <w:pPr>
              <w:spacing w:before="156" w:beforeLines="50"/>
              <w:jc w:val="center"/>
              <w:rPr>
                <w:rFonts w:ascii="Times New Roman" w:hAnsi="Times New Roman" w:eastAsia="仿宋_GB2312" w:cs="Times New Roman"/>
                <w:b/>
                <w:sz w:val="24"/>
                <w:szCs w:val="28"/>
              </w:rPr>
            </w:pPr>
            <w:r>
              <w:rPr>
                <w:rFonts w:hint="eastAsia" w:ascii="Times New Roman" w:hAnsi="Times New Roman" w:eastAsia="仿宋_GB2312" w:cs="Times New Roman"/>
                <w:b/>
                <w:sz w:val="24"/>
                <w:szCs w:val="28"/>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中心城区北部及周边区块</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187.5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93.7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59.1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中心城区南部及周边区块</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294.3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216.5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225.3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71.0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49.9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48.6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22.6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长安及周边区块</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294.0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163.9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170.6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117.6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122.4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28.5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16.4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12.5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许村区块</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306.9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319.3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198.7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206.8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156.6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163.0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20.2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10.8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7.7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尖山新区及周边区块</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300.2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337.7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185.2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217.5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122.0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高压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511.5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497.4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879.4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459.8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809.0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合计</w:t>
            </w: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1383.0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1456.8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858.0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913.8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526.3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565.2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中压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98.7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75.7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78.8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42.8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高压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511.5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902.5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497.4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879.4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459.8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809.0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restart"/>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低压+中压+高压</w:t>
            </w: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最大热负荷（t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1993.2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2462.0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平均热负荷（t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1431.1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1872.1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vAlign w:val="center"/>
          </w:tcPr>
          <w:p>
            <w:pPr>
              <w:spacing w:before="156" w:beforeLines="50"/>
              <w:jc w:val="center"/>
              <w:rPr>
                <w:rFonts w:ascii="Times New Roman" w:hAnsi="Times New Roman" w:eastAsia="仿宋_GB2312" w:cs="Times New Roman"/>
                <w:sz w:val="24"/>
                <w:szCs w:val="28"/>
              </w:rPr>
            </w:pPr>
          </w:p>
        </w:tc>
        <w:tc>
          <w:tcPr>
            <w:tcW w:w="1416" w:type="dxa"/>
            <w:vMerge w:val="continue"/>
            <w:vAlign w:val="center"/>
          </w:tcPr>
          <w:p>
            <w:pPr>
              <w:spacing w:before="156" w:beforeLines="50"/>
              <w:jc w:val="center"/>
              <w:rPr>
                <w:rFonts w:ascii="Times New Roman" w:hAnsi="Times New Roman" w:eastAsia="仿宋_GB2312" w:cs="Times New Roman"/>
                <w:sz w:val="24"/>
                <w:szCs w:val="28"/>
              </w:rPr>
            </w:pPr>
          </w:p>
        </w:tc>
        <w:tc>
          <w:tcPr>
            <w:tcW w:w="2264" w:type="dxa"/>
            <w:vAlign w:val="center"/>
          </w:tcPr>
          <w:p>
            <w:pPr>
              <w:spacing w:before="156" w:beforeLines="5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最小热负荷（t</w:t>
            </w:r>
            <w:r>
              <w:rPr>
                <w:rFonts w:ascii="Times New Roman" w:hAnsi="Times New Roman" w:eastAsia="仿宋_GB2312" w:cs="Times New Roman"/>
                <w:sz w:val="24"/>
                <w:szCs w:val="28"/>
              </w:rPr>
              <w:t>/h</w:t>
            </w:r>
            <w:r>
              <w:rPr>
                <w:rFonts w:hint="eastAsia" w:ascii="Times New Roman" w:hAnsi="Times New Roman" w:eastAsia="仿宋_GB2312" w:cs="Times New Roman"/>
                <w:sz w:val="24"/>
                <w:szCs w:val="28"/>
              </w:rPr>
              <w:t>）</w:t>
            </w:r>
          </w:p>
        </w:tc>
        <w:tc>
          <w:tcPr>
            <w:tcW w:w="1744"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1028.9 </w:t>
            </w:r>
          </w:p>
        </w:tc>
        <w:tc>
          <w:tcPr>
            <w:tcW w:w="1741" w:type="dxa"/>
            <w:vAlign w:val="center"/>
          </w:tcPr>
          <w:p>
            <w:pPr>
              <w:spacing w:before="156" w:beforeLines="50"/>
              <w:jc w:val="center"/>
              <w:rPr>
                <w:rFonts w:ascii="Times New Roman" w:hAnsi="Times New Roman" w:eastAsia="仿宋_GB2312" w:cs="Times New Roman"/>
                <w:sz w:val="24"/>
                <w:szCs w:val="24"/>
              </w:rPr>
            </w:pPr>
            <w:r>
              <w:rPr>
                <w:rFonts w:ascii="Times New Roman" w:hAnsi="Times New Roman" w:eastAsia="等线" w:cs="Times New Roman"/>
                <w:color w:val="000000"/>
                <w:sz w:val="24"/>
                <w:szCs w:val="24"/>
              </w:rPr>
              <w:t xml:space="preserve">1418.7 </w:t>
            </w:r>
          </w:p>
        </w:tc>
      </w:tr>
    </w:tbl>
    <w:p>
      <w:pPr>
        <w:pStyle w:val="53"/>
        <w:spacing w:line="240" w:lineRule="auto"/>
        <w:ind w:firstLine="480"/>
        <w:rPr>
          <w:rFonts w:ascii="Times New Roman" w:hAnsi="Times New Roman" w:eastAsia="仿宋_GB2312" w:cs="Times New Roman"/>
          <w:sz w:val="24"/>
        </w:rPr>
      </w:pPr>
      <w:r>
        <w:rPr>
          <w:rFonts w:hint="eastAsia" w:ascii="Times New Roman" w:hAnsi="Times New Roman" w:eastAsia="仿宋_GB2312" w:cs="Times New Roman"/>
          <w:sz w:val="24"/>
        </w:rPr>
        <w:t>注：1</w:t>
      </w:r>
      <w:r>
        <w:rPr>
          <w:rFonts w:ascii="Times New Roman" w:hAnsi="Times New Roman" w:eastAsia="仿宋_GB2312" w:cs="Times New Roman"/>
          <w:sz w:val="24"/>
        </w:rPr>
        <w:t>.</w:t>
      </w:r>
      <w:r>
        <w:rPr>
          <w:rFonts w:hint="eastAsia" w:ascii="Times New Roman" w:hAnsi="Times New Roman" w:eastAsia="仿宋_GB2312" w:cs="Times New Roman"/>
          <w:sz w:val="24"/>
        </w:rPr>
        <w:t>只考虑参与集中供热的热用户热负荷情况。</w:t>
      </w:r>
    </w:p>
    <w:p>
      <w:pPr>
        <w:pStyle w:val="53"/>
        <w:spacing w:line="240" w:lineRule="auto"/>
        <w:ind w:firstLine="480"/>
      </w:pPr>
      <w:r>
        <w:rPr>
          <w:rFonts w:hint="eastAsia" w:ascii="Times New Roman" w:hAnsi="Times New Roman" w:eastAsia="仿宋_GB2312" w:cs="Times New Roman"/>
          <w:sz w:val="24"/>
        </w:rPr>
        <w:t xml:space="preserve"> </w:t>
      </w:r>
      <w:r>
        <w:rPr>
          <w:rFonts w:ascii="Times New Roman" w:hAnsi="Times New Roman" w:eastAsia="仿宋_GB2312" w:cs="Times New Roman"/>
          <w:sz w:val="24"/>
        </w:rPr>
        <w:t xml:space="preserve">   2.</w:t>
      </w:r>
      <w:r>
        <w:rPr>
          <w:rFonts w:hint="eastAsia" w:ascii="Times New Roman" w:hAnsi="Times New Roman" w:eastAsia="仿宋_GB2312" w:cs="Times New Roman"/>
          <w:sz w:val="24"/>
        </w:rPr>
        <w:t>设计热负荷考虑了管损系数</w:t>
      </w:r>
      <w:r>
        <w:rPr>
          <w:rFonts w:ascii="Times New Roman" w:hAnsi="Times New Roman" w:eastAsia="仿宋_GB2312" w:cs="Times New Roman"/>
          <w:sz w:val="24"/>
        </w:rPr>
        <w:t>、焓折系数和同时系数</w:t>
      </w:r>
      <w:r>
        <w:rPr>
          <w:rFonts w:hint="eastAsia" w:ascii="Times New Roman" w:hAnsi="Times New Roman" w:eastAsia="仿宋_GB2312" w:cs="Times New Roman"/>
          <w:sz w:val="24"/>
        </w:rPr>
        <w:t>。</w:t>
      </w:r>
    </w:p>
    <w:p>
      <w:pPr>
        <w:spacing w:before="156" w:beforeLines="50" w:line="580" w:lineRule="exact"/>
        <w:ind w:firstLine="556"/>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6</w:t>
      </w:r>
      <w:r>
        <w:rPr>
          <w:rFonts w:hint="eastAsia" w:ascii="Times New Roman" w:hAnsi="Times New Roman" w:eastAsia="仿宋_GB2312" w:cs="Times New Roman"/>
          <w:b/>
          <w:sz w:val="28"/>
        </w:rPr>
        <w:t>）热源点布局规划</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根据此次规划编制内容</w:t>
      </w:r>
      <w:r>
        <w:rPr>
          <w:rFonts w:hint="eastAsia" w:ascii="Times New Roman" w:hAnsi="Times New Roman" w:eastAsia="仿宋_GB2312" w:cs="Times New Roman"/>
          <w:color w:val="000000" w:themeColor="text1"/>
          <w:sz w:val="28"/>
          <w14:textFill>
            <w14:solidFill>
              <w14:schemeClr w14:val="tx1"/>
            </w14:solidFill>
          </w14:textFill>
        </w:rPr>
        <w:t>，规划扩建热源点</w:t>
      </w:r>
      <w:r>
        <w:rPr>
          <w:rFonts w:ascii="Times New Roman" w:hAnsi="Times New Roman" w:eastAsia="仿宋_GB2312" w:cs="Times New Roman"/>
          <w:color w:val="000000" w:themeColor="text1"/>
          <w:sz w:val="28"/>
          <w14:textFill>
            <w14:solidFill>
              <w14:schemeClr w14:val="tx1"/>
            </w14:solidFill>
          </w14:textFill>
        </w:rPr>
        <w:t>1个，即海宁恒逸热电有限公司；规划迁建热源点1个，即海宁红宝热电有限公司；规划新增热源点2个，即新建尖山新区第二公共热源点，以及将海宁绿动海云环保能源有限公司转为公共热电厂；规划关停热源点1个，即浙江泰亿能源有限公司。</w:t>
      </w:r>
      <w:r>
        <w:rPr>
          <w:rFonts w:hint="eastAsia" w:ascii="Times New Roman" w:hAnsi="Times New Roman" w:eastAsia="仿宋_GB2312" w:cs="Times New Roman"/>
          <w:color w:val="000000" w:themeColor="text1"/>
          <w:sz w:val="28"/>
          <w14:textFill>
            <w14:solidFill>
              <w14:schemeClr w14:val="tx1"/>
            </w14:solidFill>
          </w14:textFill>
        </w:rPr>
        <w:t>规划到</w:t>
      </w:r>
      <w:r>
        <w:rPr>
          <w:rFonts w:ascii="Times New Roman" w:hAnsi="Times New Roman" w:eastAsia="仿宋_GB2312" w:cs="Times New Roman"/>
          <w:color w:val="000000" w:themeColor="text1"/>
          <w:sz w:val="28"/>
          <w14:textFill>
            <w14:solidFill>
              <w14:schemeClr w14:val="tx1"/>
            </w14:solidFill>
          </w14:textFill>
        </w:rPr>
        <w:t>2030年，海宁市共有7个公共热源点。锅炉总容量3229t/h，新增锅炉容量985t/h，装机总容量250.5MW，新增装机容量49MW，日常供热能力2154.6t/h，最大供热能力2857.1t/h，新增最大供热能力1255.1t/h。</w:t>
      </w:r>
      <w:r>
        <w:rPr>
          <w:rFonts w:hint="eastAsia" w:ascii="Times New Roman" w:hAnsi="Times New Roman" w:eastAsia="仿宋_GB2312" w:cs="Times New Roman"/>
          <w:sz w:val="28"/>
        </w:rPr>
        <w:t>本次规划热源点布局的具体方案如下：</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中心城区北部及周边区块：该区块现有</w:t>
      </w:r>
      <w:r>
        <w:rPr>
          <w:rFonts w:ascii="Times New Roman" w:hAnsi="Times New Roman" w:eastAsia="仿宋_GB2312" w:cs="Times New Roman"/>
          <w:sz w:val="28"/>
        </w:rPr>
        <w:t>1个公共热源点，即海宁光耀热电有限公司，</w:t>
      </w:r>
      <w:r>
        <w:rPr>
          <w:rFonts w:hint="eastAsia" w:ascii="Times New Roman" w:hAnsi="Times New Roman" w:eastAsia="仿宋_GB2312" w:cs="Times New Roman"/>
          <w:sz w:val="28"/>
        </w:rPr>
        <w:t>随着其燃气轮机组、余热锅炉在规划期内投产，届时锅炉总蒸发量</w:t>
      </w:r>
      <w:r>
        <w:rPr>
          <w:rFonts w:ascii="Times New Roman" w:hAnsi="Times New Roman" w:eastAsia="仿宋_GB2312" w:cs="Times New Roman"/>
          <w:sz w:val="28"/>
        </w:rPr>
        <w:t>225t/h，总装机容量40MW，日常供热能力170t/h，最大供热能力190t/h</w:t>
      </w:r>
      <w:r>
        <w:rPr>
          <w:rFonts w:hint="eastAsia" w:ascii="Times New Roman" w:hAnsi="Times New Roman" w:eastAsia="仿宋_GB2312" w:cs="Times New Roman"/>
          <w:sz w:val="28"/>
        </w:rPr>
        <w:t>，可满足该区域蒸汽需求</w:t>
      </w:r>
      <w:r>
        <w:rPr>
          <w:rFonts w:ascii="Times New Roman" w:hAnsi="Times New Roman" w:eastAsia="仿宋_GB2312" w:cs="Times New Roman"/>
          <w:sz w:val="28"/>
        </w:rPr>
        <w:t>。</w:t>
      </w:r>
      <w:r>
        <w:rPr>
          <w:rFonts w:hint="eastAsia" w:ascii="Times New Roman" w:hAnsi="Times New Roman" w:eastAsia="仿宋_GB2312" w:cs="Times New Roman"/>
          <w:sz w:val="28"/>
        </w:rPr>
        <w:t>该区块规划期内无改扩建规划，鼓励海宁光耀热电有限公司能源站与周边公共热源点管网互联互通，提高该区块供热的稳定性。</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中心城区南部及周边区块：该现区块有</w:t>
      </w:r>
      <w:r>
        <w:rPr>
          <w:rFonts w:ascii="Times New Roman" w:hAnsi="Times New Roman" w:eastAsia="仿宋_GB2312" w:cs="Times New Roman"/>
          <w:sz w:val="28"/>
        </w:rPr>
        <w:t>1个公共热源点，即海宁马桥大都市热电公司</w:t>
      </w:r>
      <w:r>
        <w:rPr>
          <w:rFonts w:hint="eastAsia" w:ascii="Times New Roman" w:hAnsi="Times New Roman" w:eastAsia="仿宋_GB2312" w:cs="Times New Roman"/>
          <w:sz w:val="28"/>
        </w:rPr>
        <w:t>，锅炉总蒸发量</w:t>
      </w:r>
      <w:r>
        <w:rPr>
          <w:rFonts w:ascii="Times New Roman" w:hAnsi="Times New Roman" w:eastAsia="仿宋_GB2312" w:cs="Times New Roman"/>
          <w:sz w:val="28"/>
        </w:rPr>
        <w:t>450t/h，总装机容量45MW，日常供热能力280t/h，最大供热能力360t/h</w:t>
      </w:r>
      <w:r>
        <w:rPr>
          <w:rFonts w:hint="eastAsia" w:ascii="Times New Roman" w:hAnsi="Times New Roman" w:eastAsia="仿宋_GB2312" w:cs="Times New Roman"/>
          <w:sz w:val="28"/>
        </w:rPr>
        <w:t>，可满足该区域蒸汽需求</w:t>
      </w:r>
      <w:r>
        <w:rPr>
          <w:rFonts w:ascii="Times New Roman" w:hAnsi="Times New Roman" w:eastAsia="仿宋_GB2312" w:cs="Times New Roman"/>
          <w:sz w:val="28"/>
        </w:rPr>
        <w:t>。</w:t>
      </w:r>
      <w:r>
        <w:rPr>
          <w:rFonts w:hint="eastAsia" w:ascii="Times New Roman" w:hAnsi="Times New Roman" w:eastAsia="仿宋_GB2312" w:cs="Times New Roman"/>
          <w:sz w:val="28"/>
        </w:rPr>
        <w:t>该区块规划期内无改扩建规划。</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长安及周边区块：该区块现有</w:t>
      </w:r>
      <w:r>
        <w:rPr>
          <w:rFonts w:ascii="Times New Roman" w:hAnsi="Times New Roman" w:eastAsia="仿宋_GB2312" w:cs="Times New Roman"/>
          <w:sz w:val="28"/>
        </w:rPr>
        <w:t>2个公共热源点，即</w:t>
      </w:r>
      <w:r>
        <w:rPr>
          <w:rFonts w:hint="eastAsia" w:ascii="Times New Roman" w:hAnsi="Times New Roman" w:eastAsia="仿宋_GB2312" w:cs="Times New Roman"/>
          <w:sz w:val="28"/>
        </w:rPr>
        <w:t>海宁红宝热电有限公司和浙江泰亿能源有限公司。规划期内规划海宁红宝热电有限公司“等容量替代”搬迁，从浙江省嘉兴市海宁市高新技术产业园区春潮路</w:t>
      </w:r>
      <w:r>
        <w:rPr>
          <w:rFonts w:ascii="Times New Roman" w:hAnsi="Times New Roman" w:eastAsia="仿宋_GB2312" w:cs="Times New Roman"/>
          <w:sz w:val="28"/>
        </w:rPr>
        <w:t>11号（农发区）搬迁至海宁高新技术产业园区紧挨杭州湾环线高速胡家兜出入口收费站、仰山路西侧、杭州湾环线高速公路北侧，关停原有3台130t/h次高温次高压循环流化床锅炉、1套12MW次高温次高压抽背式汽轮发电机组、1套6MW次高温次高压背压式汽轮发电机组、1套24.5MW次高温次高压抽凝式汽轮发电机组，新建3台130t/h高温超高压循环流化床锅炉、1套24.MW高温超高压背压机组、1套6MW高温超高压背压机组、1套12MW高温超高压抽背机组</w:t>
      </w:r>
      <w:r>
        <w:rPr>
          <w:rFonts w:hint="eastAsia" w:ascii="Times New Roman" w:hAnsi="Times New Roman" w:eastAsia="仿宋_GB2312" w:cs="Times New Roman"/>
          <w:sz w:val="28"/>
        </w:rPr>
        <w:t>。届时锅炉总蒸发量</w:t>
      </w:r>
      <w:r>
        <w:rPr>
          <w:rFonts w:ascii="Times New Roman" w:hAnsi="Times New Roman" w:eastAsia="仿宋_GB2312" w:cs="Times New Roman"/>
          <w:sz w:val="28"/>
        </w:rPr>
        <w:t>390t/h，</w:t>
      </w:r>
      <w:r>
        <w:rPr>
          <w:rFonts w:hint="eastAsia" w:ascii="Times New Roman" w:hAnsi="Times New Roman" w:eastAsia="仿宋_GB2312" w:cs="Times New Roman"/>
          <w:sz w:val="28"/>
        </w:rPr>
        <w:t>总装机容量</w:t>
      </w:r>
      <w:r>
        <w:rPr>
          <w:rFonts w:ascii="Times New Roman" w:hAnsi="Times New Roman" w:eastAsia="仿宋_GB2312" w:cs="Times New Roman"/>
          <w:sz w:val="28"/>
        </w:rPr>
        <w:t>42.5MW</w:t>
      </w:r>
      <w:r>
        <w:rPr>
          <w:rFonts w:hint="eastAsia" w:ascii="Times New Roman" w:hAnsi="Times New Roman" w:eastAsia="仿宋_GB2312" w:cs="Times New Roman"/>
          <w:sz w:val="28"/>
        </w:rPr>
        <w:t>，日常供热能力</w:t>
      </w:r>
      <w:r>
        <w:rPr>
          <w:rFonts w:ascii="Times New Roman" w:hAnsi="Times New Roman" w:eastAsia="仿宋_GB2312" w:cs="Times New Roman"/>
          <w:sz w:val="28"/>
        </w:rPr>
        <w:t>280t/h，最大供热能力342t/h</w:t>
      </w:r>
      <w:r>
        <w:rPr>
          <w:rFonts w:hint="eastAsia" w:ascii="Times New Roman" w:hAnsi="Times New Roman" w:eastAsia="仿宋_GB2312" w:cs="Times New Roman"/>
          <w:sz w:val="28"/>
        </w:rPr>
        <w:t>。海宁红宝热电有限公司预计2</w:t>
      </w:r>
      <w:r>
        <w:rPr>
          <w:rFonts w:ascii="Times New Roman" w:hAnsi="Times New Roman" w:eastAsia="仿宋_GB2312" w:cs="Times New Roman"/>
          <w:sz w:val="28"/>
        </w:rPr>
        <w:t>026</w:t>
      </w:r>
      <w:r>
        <w:rPr>
          <w:rFonts w:hint="eastAsia" w:ascii="Times New Roman" w:hAnsi="Times New Roman" w:eastAsia="仿宋_GB2312" w:cs="Times New Roman"/>
          <w:sz w:val="28"/>
        </w:rPr>
        <w:t>年完成迁建并投产，届时浙江泰亿能源有限公司将关停，浙江泰亿能源有限公司现有的热用户将由搬迁后的海宁红宝热电有限公司进行集中供热，海宁红宝热电有限公司将对浙江泰亿能源有限公司供热管网采用租赁或收购的模式，尽可能利用原有管路进行集中供热。浙江泰亿能源有限公司关停后，长安及周边区块就只有1家公共热源点，即海宁红宝热电有限公司，负责该区域的集中供热，可满足该区域蒸汽需求。</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许村区块：该区块现有</w:t>
      </w:r>
      <w:r>
        <w:rPr>
          <w:rFonts w:ascii="Times New Roman" w:hAnsi="Times New Roman" w:eastAsia="仿宋_GB2312" w:cs="Times New Roman"/>
          <w:sz w:val="28"/>
        </w:rPr>
        <w:t>1个公共热源点，即浙江宝峰热电公司，</w:t>
      </w:r>
      <w:r>
        <w:rPr>
          <w:rFonts w:hint="eastAsia" w:ascii="Times New Roman" w:hAnsi="Times New Roman" w:eastAsia="仿宋_GB2312" w:cs="Times New Roman"/>
          <w:sz w:val="28"/>
        </w:rPr>
        <w:t>锅炉总蒸发量</w:t>
      </w:r>
      <w:r>
        <w:rPr>
          <w:rFonts w:ascii="Times New Roman" w:hAnsi="Times New Roman" w:eastAsia="仿宋_GB2312" w:cs="Times New Roman"/>
          <w:sz w:val="28"/>
        </w:rPr>
        <w:t>430t/h，总装机容量</w:t>
      </w:r>
      <w:r>
        <w:rPr>
          <w:rFonts w:hint="eastAsia" w:ascii="Times New Roman" w:hAnsi="Times New Roman" w:eastAsia="仿宋_GB2312" w:cs="Times New Roman"/>
          <w:sz w:val="28"/>
        </w:rPr>
        <w:t>4</w:t>
      </w:r>
      <w:r>
        <w:rPr>
          <w:rFonts w:ascii="Times New Roman" w:hAnsi="Times New Roman" w:eastAsia="仿宋_GB2312" w:cs="Times New Roman"/>
          <w:sz w:val="28"/>
        </w:rPr>
        <w:t>0MW，日常供热能力</w:t>
      </w:r>
      <w:r>
        <w:rPr>
          <w:rFonts w:hint="eastAsia" w:ascii="Times New Roman" w:hAnsi="Times New Roman" w:eastAsia="仿宋_GB2312" w:cs="Times New Roman"/>
          <w:sz w:val="28"/>
        </w:rPr>
        <w:t>2</w:t>
      </w:r>
      <w:r>
        <w:rPr>
          <w:rFonts w:ascii="Times New Roman" w:hAnsi="Times New Roman" w:eastAsia="仿宋_GB2312" w:cs="Times New Roman"/>
          <w:sz w:val="28"/>
        </w:rPr>
        <w:t>20t/h，最大供热能力360t/h</w:t>
      </w:r>
      <w:r>
        <w:rPr>
          <w:rFonts w:hint="eastAsia" w:ascii="Times New Roman" w:hAnsi="Times New Roman" w:eastAsia="仿宋_GB2312" w:cs="Times New Roman"/>
          <w:sz w:val="28"/>
        </w:rPr>
        <w:t>，可满足该区域蒸汽需求</w:t>
      </w:r>
      <w:r>
        <w:rPr>
          <w:rFonts w:ascii="Times New Roman" w:hAnsi="Times New Roman" w:eastAsia="仿宋_GB2312" w:cs="Times New Roman"/>
          <w:sz w:val="28"/>
        </w:rPr>
        <w:t>。</w:t>
      </w:r>
      <w:r>
        <w:rPr>
          <w:rFonts w:hint="eastAsia" w:ascii="Times New Roman" w:hAnsi="Times New Roman" w:eastAsia="仿宋_GB2312" w:cs="Times New Roman"/>
          <w:sz w:val="28"/>
        </w:rPr>
        <w:t>该区块规划期无改扩建计划。</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尖山新区及周边区块：该区块现有</w:t>
      </w:r>
      <w:r>
        <w:rPr>
          <w:rFonts w:ascii="Times New Roman" w:hAnsi="Times New Roman" w:eastAsia="仿宋_GB2312" w:cs="Times New Roman"/>
          <w:sz w:val="28"/>
        </w:rPr>
        <w:t>1个公共热源点，即海宁恒逸热电有限公司</w:t>
      </w:r>
      <w:r>
        <w:rPr>
          <w:rFonts w:hint="eastAsia" w:ascii="Times New Roman" w:hAnsi="Times New Roman" w:eastAsia="仿宋_GB2312" w:cs="Times New Roman"/>
          <w:sz w:val="28"/>
        </w:rPr>
        <w:t>。规划</w:t>
      </w:r>
      <w:r>
        <w:rPr>
          <w:rFonts w:ascii="Times New Roman" w:hAnsi="Times New Roman" w:eastAsia="仿宋_GB2312" w:cs="Times New Roman"/>
          <w:sz w:val="28"/>
        </w:rPr>
        <w:t>海宁恒逸热电有限公司</w:t>
      </w:r>
      <w:r>
        <w:rPr>
          <w:rFonts w:hint="eastAsia" w:ascii="Times New Roman" w:hAnsi="Times New Roman" w:eastAsia="仿宋_GB2312" w:cs="Times New Roman"/>
          <w:sz w:val="28"/>
        </w:rPr>
        <w:t>开展扩建，</w:t>
      </w:r>
      <w:r>
        <w:rPr>
          <w:rFonts w:hint="eastAsia" w:ascii="Times New Roman" w:hAnsi="Times New Roman" w:eastAsia="仿宋_GB2312" w:cs="Times New Roman"/>
          <w:color w:val="000000" w:themeColor="text1"/>
          <w:sz w:val="28"/>
          <w14:textFill>
            <w14:solidFill>
              <w14:schemeClr w14:val="tx1"/>
            </w14:solidFill>
          </w14:textFill>
        </w:rPr>
        <w:t>规划新建</w:t>
      </w:r>
      <w:r>
        <w:rPr>
          <w:rFonts w:ascii="Times New Roman" w:hAnsi="Times New Roman" w:eastAsia="仿宋_GB2312" w:cs="Times New Roman"/>
          <w:color w:val="000000" w:themeColor="text1"/>
          <w:sz w:val="28"/>
          <w14:textFill>
            <w14:solidFill>
              <w14:schemeClr w14:val="tx1"/>
            </w14:solidFill>
          </w14:textFill>
        </w:rPr>
        <w:t>1台260t/ h燃煤高温超高压循环流化床锅炉，重新启用公司1台 80t/h燃煤高温超高压循环流化床锅炉（该炉原定位为启动炉，已于2021年停用注销，暂未拆除），锅炉总容量340t/h，把一期备用的15MW高温超高压背压式汽轮发电机组转为日常使用，配套二期新建锅炉</w:t>
      </w:r>
      <w:r>
        <w:rPr>
          <w:rFonts w:hint="eastAsia" w:ascii="Times New Roman" w:hAnsi="Times New Roman" w:eastAsia="仿宋_GB2312" w:cs="Times New Roman"/>
          <w:color w:val="000000" w:themeColor="text1"/>
          <w:sz w:val="28"/>
          <w14:textFill>
            <w14:solidFill>
              <w14:schemeClr w14:val="tx1"/>
            </w14:solidFill>
          </w14:textFill>
        </w:rPr>
        <w:t>；规划新建尖山新区第二公共热源点，新建</w:t>
      </w:r>
      <w:r>
        <w:rPr>
          <w:rFonts w:ascii="Times New Roman" w:hAnsi="Times New Roman" w:eastAsia="仿宋_GB2312" w:cs="Times New Roman"/>
          <w:color w:val="000000" w:themeColor="text1"/>
          <w:sz w:val="28"/>
          <w14:textFill>
            <w14:solidFill>
              <w14:schemeClr w14:val="tx1"/>
            </w14:solidFill>
          </w14:textFill>
        </w:rPr>
        <w:t>5台150t/h燃煤循环流化床锅炉，4用1备，其中1台150t/h燃煤循环流化床锅炉为备用机组，</w:t>
      </w:r>
      <w:r>
        <w:rPr>
          <w:rFonts w:hint="eastAsia" w:ascii="Times New Roman" w:hAnsi="Times New Roman" w:eastAsia="仿宋_GB2312" w:cs="Times New Roman"/>
          <w:color w:val="000000" w:themeColor="text1"/>
          <w:sz w:val="28"/>
          <w14:textFill>
            <w14:solidFill>
              <w14:schemeClr w14:val="tx1"/>
            </w14:solidFill>
          </w14:textFill>
        </w:rPr>
        <w:t>配套</w:t>
      </w:r>
      <w:r>
        <w:rPr>
          <w:rFonts w:ascii="Times New Roman" w:hAnsi="Times New Roman" w:eastAsia="仿宋_GB2312" w:cs="Times New Roman"/>
          <w:color w:val="000000" w:themeColor="text1"/>
          <w:sz w:val="28"/>
          <w14:textFill>
            <w14:solidFill>
              <w14:schemeClr w14:val="tx1"/>
            </w14:solidFill>
          </w14:textFill>
        </w:rPr>
        <w:t>1台6MW背压机组和1台12MW背压机组</w:t>
      </w:r>
      <w:r>
        <w:rPr>
          <w:rFonts w:hint="eastAsia" w:ascii="Times New Roman" w:hAnsi="Times New Roman" w:eastAsia="仿宋_GB2312" w:cs="Times New Roman"/>
          <w:color w:val="000000" w:themeColor="text1"/>
          <w:sz w:val="28"/>
          <w14:textFill>
            <w14:solidFill>
              <w14:schemeClr w14:val="tx1"/>
            </w14:solidFill>
          </w14:textFill>
        </w:rPr>
        <w:t>；</w:t>
      </w:r>
      <w:r>
        <w:rPr>
          <w:rFonts w:hint="eastAsia" w:ascii="Times New Roman" w:hAnsi="Times New Roman" w:eastAsia="仿宋_GB2312" w:cs="Times New Roman"/>
          <w:sz w:val="28"/>
        </w:rPr>
        <w:t>规划海宁绿动海云环保能源有限公司对外供热改造，改造后对外供热能力</w:t>
      </w:r>
      <w:r>
        <w:rPr>
          <w:rFonts w:ascii="Times New Roman" w:hAnsi="Times New Roman" w:eastAsia="仿宋_GB2312" w:cs="Times New Roman"/>
          <w:sz w:val="28"/>
        </w:rPr>
        <w:t>80t/h</w:t>
      </w:r>
      <w:r>
        <w:rPr>
          <w:rFonts w:hint="eastAsia" w:ascii="Times New Roman" w:hAnsi="Times New Roman" w:eastAsia="仿宋_GB2312" w:cs="Times New Roman"/>
          <w:sz w:val="28"/>
        </w:rPr>
        <w:t>。届时</w:t>
      </w:r>
      <w:r>
        <w:rPr>
          <w:rFonts w:ascii="Times New Roman" w:hAnsi="Times New Roman" w:eastAsia="仿宋_GB2312" w:cs="Times New Roman"/>
          <w:sz w:val="28"/>
        </w:rPr>
        <w:t>，</w:t>
      </w:r>
      <w:r>
        <w:rPr>
          <w:rFonts w:hint="eastAsia" w:ascii="Times New Roman" w:hAnsi="Times New Roman" w:eastAsia="仿宋_GB2312" w:cs="Times New Roman"/>
          <w:sz w:val="28"/>
        </w:rPr>
        <w:t>该区块将有</w:t>
      </w:r>
      <w:r>
        <w:rPr>
          <w:rFonts w:ascii="Times New Roman" w:hAnsi="Times New Roman" w:eastAsia="仿宋_GB2312" w:cs="Times New Roman"/>
          <w:sz w:val="28"/>
        </w:rPr>
        <w:t>3</w:t>
      </w:r>
      <w:r>
        <w:rPr>
          <w:rFonts w:hint="eastAsia" w:ascii="Times New Roman" w:hAnsi="Times New Roman" w:eastAsia="仿宋_GB2312" w:cs="Times New Roman"/>
          <w:sz w:val="28"/>
        </w:rPr>
        <w:t>个</w:t>
      </w:r>
      <w:r>
        <w:rPr>
          <w:rFonts w:ascii="Times New Roman" w:hAnsi="Times New Roman" w:eastAsia="仿宋_GB2312" w:cs="Times New Roman"/>
          <w:sz w:val="28"/>
        </w:rPr>
        <w:t>公共热源点</w:t>
      </w:r>
      <w:r>
        <w:rPr>
          <w:rFonts w:hint="eastAsia" w:ascii="Times New Roman" w:hAnsi="Times New Roman" w:eastAsia="仿宋_GB2312" w:cs="Times New Roman"/>
          <w:sz w:val="28"/>
        </w:rPr>
        <w:t>，锅炉总蒸发量</w:t>
      </w:r>
      <w:r>
        <w:rPr>
          <w:rFonts w:ascii="Times New Roman" w:hAnsi="Times New Roman" w:eastAsia="仿宋_GB2312" w:cs="Times New Roman"/>
          <w:sz w:val="28"/>
        </w:rPr>
        <w:t>1734t/h，总装机容量83MW，日常供热能力1204.6t/h，最大供热能力1605.1t/h</w:t>
      </w:r>
      <w:r>
        <w:rPr>
          <w:rFonts w:hint="eastAsia" w:ascii="Times New Roman" w:hAnsi="Times New Roman" w:eastAsia="仿宋_GB2312" w:cs="Times New Roman"/>
          <w:sz w:val="28"/>
        </w:rPr>
        <w:t>，可满足该区域蒸汽需求，3个公共热源点供热管道互联互通，除了恒逸新材料蒸汽需求由海宁恒逸热电有限公司供应、万凯新材料蒸汽需求由尖山新区第二公共热源点供应以外，其他蒸汽用户和供热管网都归海宁市江湾能源有限公司统一经营管理。</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海宁市部分区域由于热负荷相对分散，考虑到企业实施集中供热的意愿和供热管网铺设的可行性等因素，鼓励新建分布式天然气能源站或者采用建设天然气自备锅炉进行供热，支持供热条件允许且供热能力过剩的热源点对这些区域开展集中供热。同时，为进一步提供海宁市集中供热的稳定性、可靠性，保障热用户需求，鼓励热源点之间供热管网互联互通。</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规划后续实施中须注意满足“双控”要求，不得突破现有能耗、煤耗、排放总量等限制指标。</w:t>
      </w:r>
    </w:p>
    <w:p>
      <w:pPr>
        <w:spacing w:before="156" w:beforeLines="50"/>
        <w:jc w:val="center"/>
        <w:rPr>
          <w:rFonts w:ascii="黑体" w:hAnsi="黑体" w:eastAsia="黑体" w:cs="Times New Roman"/>
          <w:sz w:val="28"/>
          <w:szCs w:val="24"/>
        </w:rPr>
      </w:pPr>
      <w:r>
        <w:rPr>
          <w:rFonts w:hint="eastAsia" w:ascii="黑体" w:hAnsi="黑体" w:eastAsia="黑体" w:cs="Times New Roman"/>
          <w:sz w:val="28"/>
          <w:szCs w:val="24"/>
        </w:rPr>
        <w:t>表</w:t>
      </w:r>
      <w:r>
        <w:rPr>
          <w:rFonts w:ascii="黑体" w:hAnsi="黑体" w:eastAsia="黑体" w:cs="Times New Roman"/>
          <w:sz w:val="28"/>
          <w:szCs w:val="24"/>
        </w:rPr>
        <w:t xml:space="preserve">10.1.2-3 </w:t>
      </w:r>
      <w:r>
        <w:rPr>
          <w:rFonts w:hint="eastAsia" w:ascii="黑体" w:hAnsi="黑体" w:eastAsia="黑体" w:cs="Times New Roman"/>
          <w:sz w:val="28"/>
          <w:szCs w:val="24"/>
        </w:rPr>
        <w:t>海宁市规划期集中供热供需关系表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1427"/>
        <w:gridCol w:w="1427"/>
        <w:gridCol w:w="1397"/>
        <w:gridCol w:w="1536"/>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251" w:type="dxa"/>
            <w:gridSpan w:val="3"/>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供应能力（2030年）</w:t>
            </w:r>
          </w:p>
        </w:tc>
        <w:tc>
          <w:tcPr>
            <w:tcW w:w="4469" w:type="dxa"/>
            <w:gridSpan w:val="3"/>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热负荷需求（2030年）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97" w:type="dxa"/>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热源点</w:t>
            </w:r>
          </w:p>
        </w:tc>
        <w:tc>
          <w:tcPr>
            <w:tcW w:w="1427" w:type="dxa"/>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最大供热能力（t/h）</w:t>
            </w:r>
          </w:p>
        </w:tc>
        <w:tc>
          <w:tcPr>
            <w:tcW w:w="1427" w:type="dxa"/>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日常供热能力（t/h）</w:t>
            </w:r>
          </w:p>
        </w:tc>
        <w:tc>
          <w:tcPr>
            <w:tcW w:w="1397" w:type="dxa"/>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区域</w:t>
            </w:r>
          </w:p>
        </w:tc>
        <w:tc>
          <w:tcPr>
            <w:tcW w:w="1536" w:type="dxa"/>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最大热负荷（t/h）</w:t>
            </w:r>
          </w:p>
        </w:tc>
        <w:tc>
          <w:tcPr>
            <w:tcW w:w="1536" w:type="dxa"/>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平均热负荷（t/h）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海宁光耀热电有限公司</w:t>
            </w:r>
          </w:p>
        </w:tc>
        <w:tc>
          <w:tcPr>
            <w:tcW w:w="142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190</w:t>
            </w:r>
          </w:p>
        </w:tc>
        <w:tc>
          <w:tcPr>
            <w:tcW w:w="142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170</w:t>
            </w:r>
          </w:p>
        </w:tc>
        <w:tc>
          <w:tcPr>
            <w:tcW w:w="139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中心城区北部及周边区块</w:t>
            </w:r>
          </w:p>
        </w:tc>
        <w:tc>
          <w:tcPr>
            <w:tcW w:w="1536" w:type="dxa"/>
            <w:vAlign w:val="center"/>
          </w:tcPr>
          <w:p>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187.5</w:t>
            </w:r>
          </w:p>
        </w:tc>
        <w:tc>
          <w:tcPr>
            <w:tcW w:w="1536" w:type="dxa"/>
            <w:vAlign w:val="center"/>
          </w:tcPr>
          <w:p>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海宁马桥大都市热电公司</w:t>
            </w:r>
          </w:p>
        </w:tc>
        <w:tc>
          <w:tcPr>
            <w:tcW w:w="142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360</w:t>
            </w:r>
          </w:p>
        </w:tc>
        <w:tc>
          <w:tcPr>
            <w:tcW w:w="142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280</w:t>
            </w:r>
          </w:p>
        </w:tc>
        <w:tc>
          <w:tcPr>
            <w:tcW w:w="139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中心城区南部及周边区块</w:t>
            </w:r>
          </w:p>
        </w:tc>
        <w:tc>
          <w:tcPr>
            <w:tcW w:w="1536" w:type="dxa"/>
            <w:vAlign w:val="center"/>
          </w:tcPr>
          <w:p>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358.2</w:t>
            </w:r>
          </w:p>
        </w:tc>
        <w:tc>
          <w:tcPr>
            <w:tcW w:w="1536" w:type="dxa"/>
            <w:vAlign w:val="center"/>
          </w:tcPr>
          <w:p>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39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海宁红宝热电有限公司</w:t>
            </w:r>
          </w:p>
        </w:tc>
        <w:tc>
          <w:tcPr>
            <w:tcW w:w="142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342</w:t>
            </w:r>
          </w:p>
        </w:tc>
        <w:tc>
          <w:tcPr>
            <w:tcW w:w="142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280</w:t>
            </w:r>
          </w:p>
        </w:tc>
        <w:tc>
          <w:tcPr>
            <w:tcW w:w="139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长安及周边区块</w:t>
            </w:r>
          </w:p>
        </w:tc>
        <w:tc>
          <w:tcPr>
            <w:tcW w:w="1536" w:type="dxa"/>
            <w:vAlign w:val="center"/>
          </w:tcPr>
          <w:p>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335.6</w:t>
            </w:r>
          </w:p>
        </w:tc>
        <w:tc>
          <w:tcPr>
            <w:tcW w:w="1536" w:type="dxa"/>
            <w:vAlign w:val="center"/>
          </w:tcPr>
          <w:p>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浙江宝峰热电公司</w:t>
            </w:r>
          </w:p>
        </w:tc>
        <w:tc>
          <w:tcPr>
            <w:tcW w:w="142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360</w:t>
            </w:r>
          </w:p>
        </w:tc>
        <w:tc>
          <w:tcPr>
            <w:tcW w:w="142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220</w:t>
            </w:r>
          </w:p>
        </w:tc>
        <w:tc>
          <w:tcPr>
            <w:tcW w:w="139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许村区块</w:t>
            </w:r>
          </w:p>
        </w:tc>
        <w:tc>
          <w:tcPr>
            <w:tcW w:w="1536" w:type="dxa"/>
            <w:vAlign w:val="center"/>
          </w:tcPr>
          <w:p>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340.4</w:t>
            </w:r>
          </w:p>
        </w:tc>
        <w:tc>
          <w:tcPr>
            <w:tcW w:w="1536" w:type="dxa"/>
            <w:vAlign w:val="center"/>
          </w:tcPr>
          <w:p>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218.0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海宁恒逸热电有限公司</w:t>
            </w:r>
          </w:p>
        </w:tc>
        <w:tc>
          <w:tcPr>
            <w:tcW w:w="142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672</w:t>
            </w:r>
          </w:p>
        </w:tc>
        <w:tc>
          <w:tcPr>
            <w:tcW w:w="142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510</w:t>
            </w:r>
          </w:p>
        </w:tc>
        <w:tc>
          <w:tcPr>
            <w:tcW w:w="1397" w:type="dxa"/>
            <w:vMerge w:val="restart"/>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尖山新区及周边区块</w:t>
            </w:r>
          </w:p>
        </w:tc>
        <w:tc>
          <w:tcPr>
            <w:tcW w:w="1536" w:type="dxa"/>
            <w:vMerge w:val="restart"/>
            <w:vAlign w:val="center"/>
          </w:tcPr>
          <w:p>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1240.2</w:t>
            </w:r>
          </w:p>
        </w:tc>
        <w:tc>
          <w:tcPr>
            <w:tcW w:w="1536" w:type="dxa"/>
            <w:vMerge w:val="restart"/>
            <w:vAlign w:val="center"/>
          </w:tcPr>
          <w:p>
            <w:pPr>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1096.9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尖山新区第二公共热源点</w:t>
            </w:r>
          </w:p>
        </w:tc>
        <w:tc>
          <w:tcPr>
            <w:tcW w:w="142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853.1</w:t>
            </w:r>
          </w:p>
        </w:tc>
        <w:tc>
          <w:tcPr>
            <w:tcW w:w="142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614.6</w:t>
            </w:r>
          </w:p>
        </w:tc>
        <w:tc>
          <w:tcPr>
            <w:tcW w:w="1397" w:type="dxa"/>
            <w:vMerge w:val="continue"/>
            <w:vAlign w:val="center"/>
          </w:tcPr>
          <w:p>
            <w:pPr>
              <w:jc w:val="center"/>
              <w:rPr>
                <w:rFonts w:ascii="Times New Roman" w:hAnsi="Times New Roman" w:eastAsia="仿宋_GB2312" w:cs="Times New Roman"/>
                <w:sz w:val="24"/>
                <w:szCs w:val="24"/>
              </w:rPr>
            </w:pPr>
          </w:p>
        </w:tc>
        <w:tc>
          <w:tcPr>
            <w:tcW w:w="1536" w:type="dxa"/>
            <w:vMerge w:val="continue"/>
            <w:vAlign w:val="center"/>
          </w:tcPr>
          <w:p>
            <w:pPr>
              <w:jc w:val="center"/>
              <w:rPr>
                <w:rFonts w:ascii="Times New Roman" w:hAnsi="Times New Roman" w:eastAsia="仿宋_GB2312" w:cs="Times New Roman"/>
                <w:color w:val="000000"/>
                <w:sz w:val="24"/>
                <w:szCs w:val="24"/>
              </w:rPr>
            </w:pPr>
          </w:p>
        </w:tc>
        <w:tc>
          <w:tcPr>
            <w:tcW w:w="1536" w:type="dxa"/>
            <w:vMerge w:val="continue"/>
            <w:vAlign w:val="center"/>
          </w:tcPr>
          <w:p>
            <w:pPr>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海宁绿动海云环保能源有限公司</w:t>
            </w:r>
          </w:p>
        </w:tc>
        <w:tc>
          <w:tcPr>
            <w:tcW w:w="142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80</w:t>
            </w:r>
          </w:p>
        </w:tc>
        <w:tc>
          <w:tcPr>
            <w:tcW w:w="1427" w:type="dxa"/>
            <w:vAlign w:val="center"/>
          </w:tcPr>
          <w:p>
            <w:pPr>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80</w:t>
            </w:r>
          </w:p>
        </w:tc>
        <w:tc>
          <w:tcPr>
            <w:tcW w:w="1397" w:type="dxa"/>
            <w:vMerge w:val="continue"/>
            <w:vAlign w:val="center"/>
          </w:tcPr>
          <w:p>
            <w:pPr>
              <w:jc w:val="center"/>
              <w:rPr>
                <w:rFonts w:ascii="Times New Roman" w:hAnsi="Times New Roman" w:eastAsia="仿宋_GB2312" w:cs="Times New Roman"/>
                <w:sz w:val="24"/>
                <w:szCs w:val="24"/>
              </w:rPr>
            </w:pPr>
          </w:p>
        </w:tc>
        <w:tc>
          <w:tcPr>
            <w:tcW w:w="1536" w:type="dxa"/>
            <w:vMerge w:val="continue"/>
            <w:vAlign w:val="center"/>
          </w:tcPr>
          <w:p>
            <w:pPr>
              <w:jc w:val="center"/>
              <w:rPr>
                <w:rFonts w:ascii="Times New Roman" w:hAnsi="Times New Roman" w:eastAsia="仿宋_GB2312" w:cs="Times New Roman"/>
                <w:color w:val="000000"/>
                <w:sz w:val="24"/>
                <w:szCs w:val="24"/>
              </w:rPr>
            </w:pPr>
          </w:p>
        </w:tc>
        <w:tc>
          <w:tcPr>
            <w:tcW w:w="1536" w:type="dxa"/>
            <w:vMerge w:val="continue"/>
            <w:vAlign w:val="center"/>
          </w:tcPr>
          <w:p>
            <w:pPr>
              <w:jc w:val="center"/>
              <w:rPr>
                <w:rFonts w:ascii="Times New Roman" w:hAnsi="Times New Roman" w:eastAsia="仿宋_GB2312"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合计</w:t>
            </w:r>
          </w:p>
        </w:tc>
        <w:tc>
          <w:tcPr>
            <w:tcW w:w="1427" w:type="dxa"/>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color w:val="000000"/>
                <w:sz w:val="24"/>
                <w:szCs w:val="24"/>
              </w:rPr>
              <w:t>2857.1</w:t>
            </w:r>
          </w:p>
        </w:tc>
        <w:tc>
          <w:tcPr>
            <w:tcW w:w="1427" w:type="dxa"/>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color w:val="000000"/>
                <w:sz w:val="24"/>
                <w:szCs w:val="24"/>
              </w:rPr>
              <w:t>2154.6</w:t>
            </w:r>
          </w:p>
        </w:tc>
        <w:tc>
          <w:tcPr>
            <w:tcW w:w="1397" w:type="dxa"/>
            <w:vAlign w:val="center"/>
          </w:tcPr>
          <w:p>
            <w:pPr>
              <w:jc w:val="center"/>
              <w:rPr>
                <w:rFonts w:ascii="Times New Roman" w:hAnsi="Times New Roman" w:eastAsia="仿宋_GB2312" w:cs="Times New Roman"/>
                <w:b/>
                <w:sz w:val="24"/>
                <w:szCs w:val="24"/>
              </w:rPr>
            </w:pPr>
            <w:r>
              <w:rPr>
                <w:rFonts w:ascii="Times New Roman" w:hAnsi="Times New Roman" w:eastAsia="仿宋_GB2312" w:cs="Times New Roman"/>
                <w:b/>
                <w:color w:val="000000"/>
                <w:sz w:val="24"/>
                <w:szCs w:val="24"/>
              </w:rPr>
              <w:t>合计</w:t>
            </w:r>
          </w:p>
        </w:tc>
        <w:tc>
          <w:tcPr>
            <w:tcW w:w="1536" w:type="dxa"/>
            <w:vAlign w:val="center"/>
          </w:tcPr>
          <w:p>
            <w:pPr>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2462.0</w:t>
            </w:r>
          </w:p>
        </w:tc>
        <w:tc>
          <w:tcPr>
            <w:tcW w:w="1536" w:type="dxa"/>
            <w:vAlign w:val="center"/>
          </w:tcPr>
          <w:p>
            <w:pPr>
              <w:jc w:val="center"/>
              <w:rPr>
                <w:rFonts w:ascii="Times New Roman" w:hAnsi="Times New Roman" w:eastAsia="仿宋_GB2312" w:cs="Times New Roman"/>
                <w:b/>
                <w:color w:val="000000"/>
                <w:sz w:val="24"/>
                <w:szCs w:val="24"/>
              </w:rPr>
            </w:pPr>
            <w:r>
              <w:rPr>
                <w:rFonts w:ascii="Times New Roman" w:hAnsi="Times New Roman" w:eastAsia="仿宋_GB2312" w:cs="Times New Roman"/>
                <w:b/>
                <w:color w:val="000000"/>
                <w:sz w:val="24"/>
                <w:szCs w:val="24"/>
              </w:rPr>
              <w:t>1872.1</w:t>
            </w:r>
          </w:p>
        </w:tc>
      </w:tr>
    </w:tbl>
    <w:p>
      <w:pPr>
        <w:spacing w:line="580" w:lineRule="exact"/>
        <w:ind w:firstLine="555"/>
        <w:rPr>
          <w:rFonts w:ascii="Times New Roman" w:hAnsi="Times New Roman" w:eastAsia="仿宋_GB2312" w:cs="Times New Roman"/>
          <w:b/>
          <w:sz w:val="28"/>
        </w:rPr>
      </w:pPr>
      <w:r>
        <w:rPr>
          <w:rFonts w:hint="eastAsia" w:ascii="Times New Roman" w:hAnsi="Times New Roman" w:eastAsia="仿宋_GB2312" w:cs="Times New Roman"/>
          <w:b/>
          <w:sz w:val="28"/>
        </w:rPr>
        <w:t>（</w:t>
      </w:r>
      <w:r>
        <w:rPr>
          <w:rFonts w:ascii="Times New Roman" w:hAnsi="Times New Roman" w:eastAsia="仿宋_GB2312" w:cs="Times New Roman"/>
          <w:b/>
          <w:sz w:val="28"/>
        </w:rPr>
        <w:t>7</w:t>
      </w:r>
      <w:r>
        <w:rPr>
          <w:rFonts w:hint="eastAsia" w:ascii="Times New Roman" w:hAnsi="Times New Roman" w:eastAsia="仿宋_GB2312" w:cs="Times New Roman"/>
          <w:b/>
          <w:sz w:val="28"/>
        </w:rPr>
        <w:t>）本规划实施后，将在节能减排方面发挥积极作用</w:t>
      </w:r>
    </w:p>
    <w:p>
      <w:pPr>
        <w:spacing w:line="580" w:lineRule="exact"/>
        <w:ind w:firstLine="555"/>
        <w:rPr>
          <w:rFonts w:ascii="Times New Roman" w:hAnsi="Times New Roman" w:eastAsia="仿宋_GB2312" w:cs="Times New Roman"/>
          <w:sz w:val="28"/>
        </w:rPr>
      </w:pPr>
      <w:r>
        <w:rPr>
          <w:rFonts w:hint="eastAsia" w:ascii="Times New Roman" w:hAnsi="Times New Roman" w:eastAsia="仿宋_GB2312" w:cs="Times New Roman"/>
          <w:sz w:val="28"/>
        </w:rPr>
        <w:t>热电联产是节能和环保的重要措施。经初步测算，至</w:t>
      </w:r>
      <w:r>
        <w:rPr>
          <w:rFonts w:ascii="Times New Roman" w:hAnsi="Times New Roman" w:eastAsia="仿宋_GB2312" w:cs="Times New Roman"/>
          <w:sz w:val="28"/>
        </w:rPr>
        <w:t>2030</w:t>
      </w:r>
      <w:r>
        <w:rPr>
          <w:rFonts w:hint="eastAsia" w:ascii="Times New Roman" w:hAnsi="Times New Roman" w:eastAsia="仿宋_GB2312" w:cs="Times New Roman"/>
          <w:sz w:val="28"/>
        </w:rPr>
        <w:t>年规划内项目全部实施后，每年可节标煤约</w:t>
      </w:r>
      <w:r>
        <w:rPr>
          <w:rFonts w:ascii="Times New Roman" w:hAnsi="Times New Roman" w:eastAsia="仿宋_GB2312" w:cs="Times New Roman"/>
          <w:sz w:val="28"/>
        </w:rPr>
        <w:t>50.0</w:t>
      </w:r>
      <w:r>
        <w:rPr>
          <w:rFonts w:hint="eastAsia" w:ascii="Times New Roman" w:hAnsi="Times New Roman" w:eastAsia="仿宋_GB2312" w:cs="Times New Roman"/>
          <w:sz w:val="28"/>
        </w:rPr>
        <w:t>万吨，烟气达到《燃煤电厂大气污染物排放标准》（</w:t>
      </w:r>
      <w:r>
        <w:rPr>
          <w:rFonts w:ascii="Times New Roman" w:hAnsi="Times New Roman" w:eastAsia="仿宋_GB2312" w:cs="Times New Roman"/>
          <w:sz w:val="28"/>
        </w:rPr>
        <w:t>DB332147-2018</w:t>
      </w:r>
      <w:r>
        <w:rPr>
          <w:rFonts w:hint="eastAsia" w:ascii="Times New Roman" w:hAnsi="Times New Roman" w:eastAsia="仿宋_GB2312" w:cs="Times New Roman"/>
          <w:sz w:val="28"/>
        </w:rPr>
        <w:t>）中的燃气轮机组排放限值要求，可进一步提升海宁市环境质量，每年可减排二氧化硫</w:t>
      </w:r>
      <w:r>
        <w:rPr>
          <w:rFonts w:ascii="Times New Roman" w:hAnsi="Times New Roman" w:eastAsia="仿宋_GB2312" w:cs="Times New Roman"/>
          <w:sz w:val="28"/>
        </w:rPr>
        <w:t>198</w:t>
      </w:r>
      <w:r>
        <w:rPr>
          <w:rFonts w:hint="eastAsia" w:ascii="Times New Roman" w:hAnsi="Times New Roman" w:eastAsia="仿宋_GB2312" w:cs="Times New Roman"/>
          <w:sz w:val="28"/>
        </w:rPr>
        <w:t>吨，减排烟尘</w:t>
      </w:r>
      <w:r>
        <w:rPr>
          <w:rFonts w:ascii="Times New Roman" w:hAnsi="Times New Roman" w:eastAsia="仿宋_GB2312" w:cs="Times New Roman"/>
          <w:sz w:val="28"/>
        </w:rPr>
        <w:t>61</w:t>
      </w:r>
      <w:r>
        <w:rPr>
          <w:rFonts w:hint="eastAsia" w:ascii="Times New Roman" w:hAnsi="Times New Roman" w:eastAsia="仿宋_GB2312" w:cs="Times New Roman"/>
          <w:sz w:val="28"/>
        </w:rPr>
        <w:t>吨，减排氮氧化物</w:t>
      </w:r>
      <w:r>
        <w:rPr>
          <w:rFonts w:ascii="Times New Roman" w:hAnsi="Times New Roman" w:eastAsia="仿宋_GB2312" w:cs="Times New Roman"/>
          <w:sz w:val="28"/>
        </w:rPr>
        <w:t>390</w:t>
      </w:r>
      <w:r>
        <w:rPr>
          <w:rFonts w:hint="eastAsia" w:ascii="Times New Roman" w:hAnsi="Times New Roman" w:eastAsia="仿宋_GB2312" w:cs="Times New Roman"/>
          <w:sz w:val="28"/>
        </w:rPr>
        <w:t>吨，减排二氧化碳</w:t>
      </w:r>
      <w:r>
        <w:rPr>
          <w:rFonts w:ascii="Times New Roman" w:hAnsi="Times New Roman" w:eastAsia="仿宋_GB2312" w:cs="Times New Roman"/>
          <w:sz w:val="28"/>
        </w:rPr>
        <w:t>133</w:t>
      </w:r>
      <w:r>
        <w:rPr>
          <w:rFonts w:hint="eastAsia" w:ascii="Times New Roman" w:hAnsi="Times New Roman" w:eastAsia="仿宋_GB2312" w:cs="Times New Roman"/>
          <w:sz w:val="28"/>
        </w:rPr>
        <w:t>万吨，节能减排效果显著。</w:t>
      </w:r>
    </w:p>
    <w:p>
      <w:pPr>
        <w:pStyle w:val="3"/>
      </w:pPr>
      <w:bookmarkStart w:id="588" w:name="_Toc188636978"/>
      <w:r>
        <w:t>10.2</w:t>
      </w:r>
      <w:r>
        <w:rPr>
          <w:rFonts w:hint="eastAsia"/>
        </w:rPr>
        <w:t>保障措施</w:t>
      </w:r>
      <w:bookmarkEnd w:id="588"/>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热电联产是一项社会公益性工程，将涉及到方方面面的问题，为保证规划能落到实处，政府应根据国家有关政策，制定适合本区域供热工程发展的保障措施，正确引导企业有计划、有步骤地发展热电联产（集中供热）事业，确保集中供热工程健康、蓬勃地发展。</w:t>
      </w:r>
    </w:p>
    <w:p>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w:t>
      </w:r>
      <w:r>
        <w:rPr>
          <w:rFonts w:ascii="Times New Roman" w:hAnsi="Times New Roman" w:eastAsia="仿宋_GB2312" w:cs="宋体"/>
          <w:b/>
          <w:sz w:val="28"/>
        </w:rPr>
        <w:t>1</w:t>
      </w:r>
      <w:r>
        <w:rPr>
          <w:rFonts w:hint="eastAsia" w:ascii="Times New Roman" w:hAnsi="Times New Roman" w:eastAsia="仿宋_GB2312" w:cs="宋体"/>
          <w:b/>
          <w:sz w:val="28"/>
        </w:rPr>
        <w:t>）加强政府职能部门协调</w:t>
      </w:r>
      <w:r>
        <w:rPr>
          <w:rFonts w:ascii="Times New Roman" w:hAnsi="Times New Roman" w:eastAsia="仿宋_GB2312" w:cs="宋体"/>
          <w:b/>
          <w:sz w:val="28"/>
        </w:rPr>
        <w:t>，</w:t>
      </w:r>
      <w:r>
        <w:rPr>
          <w:rFonts w:hint="eastAsia" w:ascii="Times New Roman" w:hAnsi="Times New Roman" w:eastAsia="仿宋_GB2312" w:cs="宋体"/>
          <w:b/>
          <w:sz w:val="28"/>
        </w:rPr>
        <w:t>强化</w:t>
      </w:r>
      <w:r>
        <w:rPr>
          <w:rFonts w:ascii="Times New Roman" w:hAnsi="Times New Roman" w:eastAsia="仿宋_GB2312" w:cs="宋体"/>
          <w:b/>
          <w:sz w:val="28"/>
        </w:rPr>
        <w:t>执法和管理力度</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本次集中供热规划区域包括</w:t>
      </w:r>
      <w:r>
        <w:rPr>
          <w:rFonts w:ascii="Times New Roman" w:hAnsi="Times New Roman" w:eastAsia="仿宋_GB2312" w:cs="宋体"/>
          <w:sz w:val="28"/>
        </w:rPr>
        <w:t>5</w:t>
      </w:r>
      <w:r>
        <w:rPr>
          <w:rFonts w:hint="eastAsia" w:ascii="Times New Roman" w:hAnsi="Times New Roman" w:eastAsia="仿宋_GB2312" w:cs="宋体"/>
          <w:sz w:val="28"/>
        </w:rPr>
        <w:t>个供热分区，热源点及热网建设过程涉及城建、规划、交通、河道、环保、消防安全等有关部门，协调工作有一定难度。政府有关主管部门应加强领导，统一思想，充分发挥政府有关职能部门协调能力，促进规划顺利实施。地方政府应严格执行《中华人民共和国节约能源法》《热电联产管理办法》及《浙江省地方燃煤热电联产行业综合改造升级行动计划》，支持热源点和热网建设</w:t>
      </w:r>
      <w:r>
        <w:rPr>
          <w:rFonts w:ascii="Times New Roman" w:hAnsi="Times New Roman" w:eastAsia="仿宋_GB2312" w:cs="宋体"/>
          <w:sz w:val="28"/>
        </w:rPr>
        <w:t>，避免在供热范围内新建小锅炉的现象发生</w:t>
      </w:r>
      <w:r>
        <w:rPr>
          <w:rFonts w:hint="eastAsia" w:ascii="Times New Roman" w:hAnsi="Times New Roman" w:eastAsia="仿宋_GB2312" w:cs="宋体"/>
          <w:sz w:val="28"/>
        </w:rPr>
        <w:t>。规划实施中须注意满足“双控”要求，不得突破现有能耗、煤耗、排放总量等限制指标。</w:t>
      </w:r>
    </w:p>
    <w:p>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w:t>
      </w:r>
      <w:r>
        <w:rPr>
          <w:rFonts w:ascii="Times New Roman" w:hAnsi="Times New Roman" w:eastAsia="仿宋_GB2312" w:cs="宋体"/>
          <w:b/>
          <w:sz w:val="28"/>
        </w:rPr>
        <w:t>2</w:t>
      </w:r>
      <w:r>
        <w:rPr>
          <w:rFonts w:hint="eastAsia" w:ascii="Times New Roman" w:hAnsi="Times New Roman" w:eastAsia="仿宋_GB2312" w:cs="宋体"/>
          <w:b/>
          <w:sz w:val="28"/>
        </w:rPr>
        <w:t>）网源协调，推动供热管理体制改革</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支持配套热网工程建设和老旧管网改造工程，热电联产项目配套热网应与热电联产项目同步规划、同步建设、同步投产。积极推动供热管理体制改革，成立热网公司，着力整合当地供热资源，加快推进供热区域热网互联互通，尽早实现各类热源联网运行，统一运营调度，提高热源点运行的安全性、经济性和热网运行的可靠性。</w:t>
      </w:r>
    </w:p>
    <w:p>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w:t>
      </w:r>
      <w:r>
        <w:rPr>
          <w:rFonts w:ascii="Times New Roman" w:hAnsi="Times New Roman" w:eastAsia="仿宋_GB2312" w:cs="宋体"/>
          <w:b/>
          <w:sz w:val="28"/>
        </w:rPr>
        <w:t>3</w:t>
      </w:r>
      <w:r>
        <w:rPr>
          <w:rFonts w:hint="eastAsia" w:ascii="Times New Roman" w:hAnsi="Times New Roman" w:eastAsia="仿宋_GB2312" w:cs="宋体"/>
          <w:b/>
          <w:sz w:val="28"/>
        </w:rPr>
        <w:t>）</w:t>
      </w:r>
      <w:r>
        <w:rPr>
          <w:rFonts w:ascii="Times New Roman" w:hAnsi="Times New Roman" w:eastAsia="仿宋_GB2312" w:cs="宋体"/>
          <w:b/>
          <w:sz w:val="28"/>
        </w:rPr>
        <w:t>热电企业加强自身管理，提高企业竞争力</w:t>
      </w:r>
    </w:p>
    <w:p>
      <w:pPr>
        <w:spacing w:line="580" w:lineRule="exact"/>
        <w:ind w:firstLine="555"/>
        <w:rPr>
          <w:rFonts w:ascii="Times New Roman" w:hAnsi="Times New Roman" w:eastAsia="仿宋_GB2312" w:cs="宋体"/>
          <w:sz w:val="28"/>
        </w:rPr>
      </w:pPr>
      <w:r>
        <w:rPr>
          <w:rFonts w:ascii="Times New Roman" w:hAnsi="Times New Roman" w:eastAsia="仿宋_GB2312" w:cs="宋体"/>
          <w:sz w:val="28"/>
        </w:rPr>
        <w:t>建议热电企业既要依靠科技进步，积极采用新技术、新工艺、新设备和新材料，增加科技含量；同时也要加强企业内部管理，积极推行ISO9000系列标准，建立以用户为中心、科学管理为保障手段的质量管理体系；此外，还要积极主动多渠道拓展热</w:t>
      </w:r>
      <w:r>
        <w:rPr>
          <w:rFonts w:hint="eastAsia" w:ascii="Times New Roman" w:hAnsi="Times New Roman" w:eastAsia="仿宋_GB2312" w:cs="宋体"/>
          <w:sz w:val="28"/>
        </w:rPr>
        <w:t>用户。</w:t>
      </w:r>
    </w:p>
    <w:p>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w:t>
      </w:r>
      <w:r>
        <w:rPr>
          <w:rFonts w:ascii="Times New Roman" w:hAnsi="Times New Roman" w:eastAsia="仿宋_GB2312" w:cs="宋体"/>
          <w:b/>
          <w:sz w:val="28"/>
        </w:rPr>
        <w:t>4</w:t>
      </w:r>
      <w:r>
        <w:rPr>
          <w:rFonts w:hint="eastAsia" w:ascii="Times New Roman" w:hAnsi="Times New Roman" w:eastAsia="仿宋_GB2312" w:cs="宋体"/>
          <w:b/>
          <w:sz w:val="28"/>
        </w:rPr>
        <w:t>）惠企利企，建议制定相关优惠政策</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建议当地政府除执行国家有关热电联产优惠政策外，比照自来水、城市煤气的公用事业的政策，给予贴息贷款支持，同时对热电建设中的土地使用及其它费用给予一定优惠。热电联产所发电量按“以热定电”原则由电网企业优先收购。为了更好地节约能源，保护环境，建议政府在执行国家有关现行税收优惠政策基础上，对于企业给予更多的扶持，同时对热网建设中的政策费用给予优惠。这对提高供热管理水平、降低供热成本，保障热用户权益能起到积极地促进作用。同时建议政府采取相关措施，统筹规划，在项目建成投产后，保证以合理的价格满足能源站的燃料供应。</w:t>
      </w:r>
    </w:p>
    <w:p>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w:t>
      </w:r>
      <w:r>
        <w:rPr>
          <w:rFonts w:ascii="Times New Roman" w:hAnsi="Times New Roman" w:eastAsia="仿宋_GB2312" w:cs="宋体"/>
          <w:b/>
          <w:sz w:val="28"/>
        </w:rPr>
        <w:t>5</w:t>
      </w:r>
      <w:r>
        <w:rPr>
          <w:rFonts w:hint="eastAsia" w:ascii="Times New Roman" w:hAnsi="Times New Roman" w:eastAsia="仿宋_GB2312" w:cs="宋体"/>
          <w:b/>
          <w:sz w:val="28"/>
        </w:rPr>
        <w:t>）强化</w:t>
      </w:r>
      <w:r>
        <w:rPr>
          <w:rFonts w:ascii="Times New Roman" w:hAnsi="Times New Roman" w:eastAsia="仿宋_GB2312" w:cs="宋体"/>
          <w:b/>
          <w:sz w:val="28"/>
        </w:rPr>
        <w:t>要素保障</w:t>
      </w:r>
      <w:r>
        <w:rPr>
          <w:rFonts w:hint="eastAsia" w:ascii="Times New Roman" w:hAnsi="Times New Roman" w:eastAsia="仿宋_GB2312" w:cs="宋体"/>
          <w:b/>
          <w:sz w:val="28"/>
        </w:rPr>
        <w:t>，推进集中供热项目落地</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积极向上争取煤炭指标，优先保障集中供热用能指标。</w:t>
      </w:r>
      <w:r>
        <w:rPr>
          <w:rFonts w:ascii="Times New Roman" w:hAnsi="Times New Roman" w:eastAsia="仿宋_GB2312" w:cs="宋体"/>
          <w:sz w:val="28"/>
        </w:rPr>
        <w:t>督促供热范围内的企业在热电厂建成运行后的自备锅炉拆除工作，停止审批新建、改建及扩建</w:t>
      </w:r>
      <w:r>
        <w:rPr>
          <w:rFonts w:hint="eastAsia" w:ascii="Times New Roman" w:hAnsi="Times New Roman" w:eastAsia="仿宋_GB2312" w:cs="宋体"/>
          <w:sz w:val="28"/>
        </w:rPr>
        <w:t>燃煤</w:t>
      </w:r>
      <w:r>
        <w:rPr>
          <w:rFonts w:ascii="Times New Roman" w:hAnsi="Times New Roman" w:eastAsia="仿宋_GB2312" w:cs="宋体"/>
          <w:sz w:val="28"/>
        </w:rPr>
        <w:t>小锅炉项目，</w:t>
      </w:r>
      <w:r>
        <w:rPr>
          <w:rFonts w:hint="eastAsia" w:ascii="Times New Roman" w:hAnsi="Times New Roman" w:eastAsia="仿宋_GB2312" w:cs="宋体"/>
          <w:sz w:val="28"/>
        </w:rPr>
        <w:t>严控散煤消费，</w:t>
      </w:r>
      <w:r>
        <w:rPr>
          <w:rFonts w:ascii="Times New Roman" w:hAnsi="Times New Roman" w:eastAsia="仿宋_GB2312" w:cs="宋体"/>
          <w:sz w:val="28"/>
        </w:rPr>
        <w:t>引进的用热项目均应实施集中供热。</w:t>
      </w:r>
      <w:r>
        <w:rPr>
          <w:rFonts w:hint="eastAsia" w:ascii="Times New Roman" w:hAnsi="Times New Roman" w:eastAsia="仿宋_GB2312" w:cs="宋体"/>
          <w:sz w:val="28"/>
        </w:rPr>
        <w:t>优化土地利用布局，年度土地利用计划安排向集中供热项目倾斜。鼓励公共热源点建设天然气锅炉或者熔盐储能设施作为备用热源，进行应急补充供热，在热负荷高峰时承担供热任务，保障对外稳定连续供热。</w:t>
      </w:r>
    </w:p>
    <w:p>
      <w:pPr>
        <w:spacing w:line="580" w:lineRule="exact"/>
        <w:ind w:firstLine="555"/>
        <w:rPr>
          <w:rFonts w:ascii="Times New Roman" w:hAnsi="Times New Roman" w:eastAsia="仿宋_GB2312" w:cs="宋体"/>
          <w:b/>
          <w:sz w:val="28"/>
        </w:rPr>
      </w:pPr>
      <w:r>
        <w:rPr>
          <w:rFonts w:hint="eastAsia" w:ascii="Times New Roman" w:hAnsi="Times New Roman" w:eastAsia="仿宋_GB2312" w:cs="宋体"/>
          <w:b/>
          <w:sz w:val="28"/>
        </w:rPr>
        <w:t>（</w:t>
      </w:r>
      <w:r>
        <w:rPr>
          <w:rFonts w:ascii="Times New Roman" w:hAnsi="Times New Roman" w:eastAsia="仿宋_GB2312" w:cs="宋体"/>
          <w:b/>
          <w:sz w:val="28"/>
        </w:rPr>
        <w:t>6</w:t>
      </w:r>
      <w:r>
        <w:rPr>
          <w:rFonts w:hint="eastAsia" w:ascii="Times New Roman" w:hAnsi="Times New Roman" w:eastAsia="仿宋_GB2312" w:cs="宋体"/>
          <w:b/>
          <w:sz w:val="28"/>
        </w:rPr>
        <w:t>）因地制宜，鼓励发展天然气分布式能源</w:t>
      </w:r>
    </w:p>
    <w:p>
      <w:pPr>
        <w:spacing w:line="580" w:lineRule="exact"/>
        <w:ind w:firstLine="555"/>
        <w:rPr>
          <w:rFonts w:ascii="Times New Roman" w:hAnsi="Times New Roman" w:eastAsia="仿宋_GB2312" w:cs="宋体"/>
          <w:sz w:val="28"/>
        </w:rPr>
      </w:pPr>
      <w:r>
        <w:rPr>
          <w:rFonts w:hint="eastAsia" w:ascii="Times New Roman" w:hAnsi="Times New Roman" w:eastAsia="仿宋_GB2312" w:cs="宋体"/>
          <w:sz w:val="28"/>
        </w:rPr>
        <w:t>天然气分布式能源具有气源和电力接入方便、运行灵活、清洁高效等特点，适合于有一定规模冷热电需求的公共建筑设施、高层住宅群、工业集聚园区及单个大型工业企业等。鼓励发展天然气等分布式能源（冷、热、电三联供），出台分布式天然气发展相关的扶持政策，加快推进分布式天然气能源站以及配套相应的管网设施建设。</w:t>
      </w:r>
    </w:p>
    <w:p/>
    <w:p>
      <w:pPr>
        <w:spacing w:line="360" w:lineRule="auto"/>
        <w:ind w:firstLine="555"/>
        <w:rPr>
          <w:rFonts w:ascii="Times New Roman" w:hAnsi="Times New Roman" w:eastAsia="仿宋_GB2312" w:cs="宋体"/>
          <w:sz w:val="28"/>
        </w:rPr>
        <w:sectPr>
          <w:pgSz w:w="11906" w:h="16838"/>
          <w:pgMar w:top="1474" w:right="1588" w:bottom="1701" w:left="1588" w:header="851" w:footer="992" w:gutter="0"/>
          <w:cols w:space="425" w:num="1"/>
          <w:docGrid w:type="lines" w:linePitch="312" w:charSpace="0"/>
        </w:sectPr>
      </w:pPr>
    </w:p>
    <w:p>
      <w:pPr>
        <w:pStyle w:val="2"/>
      </w:pPr>
      <w:bookmarkStart w:id="589" w:name="_Toc188636979"/>
      <w:bookmarkStart w:id="590" w:name="_Toc136514792"/>
      <w:bookmarkStart w:id="591" w:name="_Toc139377221"/>
      <w:bookmarkStart w:id="592" w:name="_Toc110595675"/>
      <w:bookmarkStart w:id="593" w:name="_Toc78117455"/>
      <w:bookmarkStart w:id="594" w:name="_Toc82546969"/>
      <w:bookmarkStart w:id="595" w:name="_Toc111225995"/>
      <w:bookmarkStart w:id="596" w:name="_Toc110677136"/>
      <w:r>
        <w:rPr>
          <w:rFonts w:hint="eastAsia"/>
        </w:rPr>
        <w:t>附表1</w:t>
      </w:r>
      <w:r>
        <w:t xml:space="preserve"> </w:t>
      </w:r>
      <w:r>
        <w:rPr>
          <w:rFonts w:hint="eastAsia"/>
        </w:rPr>
        <w:t>海宁市在用分散锅炉清单</w:t>
      </w:r>
      <w:bookmarkEnd w:id="589"/>
      <w:bookmarkEnd w:id="590"/>
      <w:bookmarkEnd w:id="591"/>
    </w:p>
    <w:tbl>
      <w:tblPr>
        <w:tblStyle w:val="24"/>
        <w:tblW w:w="14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969"/>
        <w:gridCol w:w="3685"/>
        <w:gridCol w:w="3544"/>
        <w:gridCol w:w="1418"/>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846" w:type="dxa"/>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序号</w:t>
            </w:r>
          </w:p>
        </w:tc>
        <w:tc>
          <w:tcPr>
            <w:tcW w:w="3969" w:type="dxa"/>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使用单位</w:t>
            </w:r>
          </w:p>
        </w:tc>
        <w:tc>
          <w:tcPr>
            <w:tcW w:w="3685" w:type="dxa"/>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设备型号</w:t>
            </w:r>
          </w:p>
        </w:tc>
        <w:tc>
          <w:tcPr>
            <w:tcW w:w="3544" w:type="dxa"/>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设备名称</w:t>
            </w:r>
          </w:p>
        </w:tc>
        <w:tc>
          <w:tcPr>
            <w:tcW w:w="1418" w:type="dxa"/>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燃料种类</w:t>
            </w:r>
          </w:p>
        </w:tc>
        <w:tc>
          <w:tcPr>
            <w:tcW w:w="1518" w:type="dxa"/>
            <w:shd w:val="clear" w:color="auto" w:fill="auto"/>
            <w:noWrap/>
            <w:vAlign w:val="center"/>
          </w:tcPr>
          <w:p>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额定蒸发量（t/h）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浙江华德利纺织印染有限公司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SFG35/5.3-M7</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发电锅炉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烟煤</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浙江华德利纺织印染有限公司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YJL－29500J</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浙江华德利纺织印染有限公司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YJL－29500J</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浙江恒生印染有限公司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YJL－24500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水煤浆有机热载体油炉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YJL－28000J</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YJL－28000J</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YJL－28000J</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YJL－42000J</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YJL－25100J</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YJL－42000J</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水煤浆</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东栋宏业建设集团有限公司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YYW－1200Y、Q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海宁富兴复合新材料有限公司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YY(Q)W-1400Y(Q)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海宁光宇布业有限公司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YY(Q)W-2300Y(Q)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海宁海潮轧钢有限公司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WNS1.0-1.0-Y.Q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海宁海象新材料有限公司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YY(Q)W-4600Y(Q)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海宁海兴酒店有限公司名力酒店</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WNS2.8-0.7/95/70-Y/Q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热水锅炉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海宁金水如意科技股份有限公司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海宁利昂纺织有限公司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NWNS4-1.25-Y(Q)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燃油（气）冷凝式蒸汽锅炉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海宁利昂纺织有限公司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WNS4-1.25-YQ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燃天然气承压蒸汽锅炉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海宁日新保护材料实业有限公司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YYW-1500Y（Q）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海宁市宝宁型钢有限公司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WNS0.5－1.0－YQ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海宁市博创新材料有限公司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海宁市丰泰复合新材料有限公司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YY（Q）W－1800Y（Q）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海宁市公安局</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WNS0.5-0.8-Y、Q1</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全自动燃油、气蒸汽锅炉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海宁市公安局</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WNS0.5－0.8－Y、Q1</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全自动燃气承压蒸汽锅炉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海宁市恒星斋食品有限责任公司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WNS2－1.2－Q（LN）</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卧式燃气冷凝式蒸汽锅炉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海宁市宏达高级中学有限公司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WNS1-1.0-YC-A</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海宁市宏达高级中学有限公司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WNS2-1.0-Y(Q)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海宁市宏亮化纤有限公司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海宁市华欣油脂有限责任公司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YY（Q）W－1400Y（Q）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海宁市金马包装有限公司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LSS0.5-0.7-YQ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立式蒸汽锅炉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海宁市明德新材料有限公司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海宁市上方建材有限公司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WNS6.0-1.25-Q.Y</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海宁市斜桥宏源供热服务有限公司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WNS5－1.25－Y.Q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卧式内燃燃油/气蒸汽锅炉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海宁市欣业钢管有限公司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WNS1.0－1.0－Q－1</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卧式燃气蒸汽锅炉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海宁斯巴特针织股份有限公司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LHS0.5-0.7-YQ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海宁泰威新材料有限公司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YQW-1800Q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海宁新能纺织有限公司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SEG-304/1.25</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克雷登蒸汽发生器</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海宁新业新材料科技有限公司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YYW－1200Y.Q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海宁盐官古城旅游股份有限公司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WNS6-1.25-Q/Y</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卧式燃气（油）冷凝锅炉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海宁耀华鞋材有限公司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YQW-1400Q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燃气有机热载体锅炉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海宁远东化工有限公司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WNS4-1.25-Q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海宁长安皮革有限公司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LSS6-1.25-Q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立式水管室燃蒸汽锅炉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海宁长昆包装有限公司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YY(Q)W－3500Y.Q(2)</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嘉兴海云紫伊环保有限公司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WNS3－1.25－Q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燃气蒸汽锅炉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嘉兴市白浪淀粉制品有限公司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WNS4-1.25-BMF</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舒汇食品（浙江）有限公司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LSS1.7－1.0－Q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贯流式蒸汽锅炉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天通控股股份有限公司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LHS0.5-0.4-YQ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先幻新材料（海宁）有限公司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WNS4-1.25-Y(Q)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燃油（气）蒸汽锅炉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远盛沪防（浙江）建筑科技有限公司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YYW－2900Y、Q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浙江博菲电气股份有限公司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YY（Q）W-1750Y、Q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卧式液相燃油（气）有机热载体锅炉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浙江博泰塑胶有限公司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YY（Q）W－2400Y（Q）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浙江博泰塑胶有限公司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浙江博阳新材料有限公司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浙江成如旦新能源科技股份有限公司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浙江成如旦新能源科技股份有限公司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浙江德嘉新材料有限公司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浙江德俊新材料有限公司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浙江德俊新材料有限公司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浙江东柔新材料有限公司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YY（Q）W-1200Y.Q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浙江盖亚纺织有限公司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浙江港龙新材料股份有限公司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浙江港龙新材料股份有限公司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YY(Q)W-9340Y、Q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卧式液相燃油（气）有机热载体锅炉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浙江港龙新材料股份有限公司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YY(Q)W－4600Y(Q)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浙江光华科技股份有限公司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YQL-9300Q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燃气有机热载体锅炉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浙江光华科技股份有限公司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YQW－8200Q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燃天然气有机热载体炉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浙江海利得薄膜新材料有限公司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YY(Q)W－4670Y.Q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浙江海利得薄膜新材料有限公司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浙江海利得地板有限公司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YQ(Y)L－16300Q(Y)</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YQ(Y)L－9300Q(Y)</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WNS4－1.0－Y.Q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卧式内燃燃油（气）蒸汽锅炉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YY(Q)W－7000Y(Q)DRS600－Y(Q)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YY(Q)W－9340Y.Q(2)</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YY(Q)W－9340Y.Q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YY（Q）W－7000Y.Q（2）</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卧式液相燃气有机热载体炉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浙江海象新材料股份有限公司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浙江翰隆新材料股份有限公司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YY（Q）W－2300Y（Q）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浙江宏仕达科技股份有限公司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浙江宏仕达科技股份有限公司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浙江宏仕达科技股份有限公司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浙江宏泰新材料股份有限公司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浙江华清包装材料有限公司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YQW1200-Q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导热油锅炉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浙江华生科技股份有限公司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浙江华欣包装有限公司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LSS4-1.25-Q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立式水管室燃蒸汽锅炉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浙江汇锋智造科技有限公司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YY(Q)W－6000Y(Q)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浙江积派服饰有限公司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WNS1-1.0-YQ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浙江交工高等级公路养护有限公司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YYW－1500Y.Q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浙江金汇特材料有限公司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YQW-3500Q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燃气有机热载体锅炉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浙江锦达膜材科技有限公司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浙江锦达膜材科技有限公司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浙江钜成新材料股份有限公司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浙江利江食品股份有限公司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YYW-1500Y、Q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浙江路佰胜橡塑有限公司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YY（Q)w－700Y(Q)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浙江绿家食品有限公司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WNS6－1.57－Y.Q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承压蒸汽锅炉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浙江米赛丝绸有限公司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WNS4－1.25－Y.Q(LN)</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承压蒸汽锅炉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浙江明士达股份有限公司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YY(Q)W-5840Y.Q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浙江明士达股份有限公司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YY(Q)W-5840Y.Q（DRS500-Y.Q）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浙江明士达股份有限公司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YY(Q)W-5840Y、QDRS500-1.0/320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卧式液相燃油（气）有机热载体锅炉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浙江明士达股份有限公司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YY(Q)W-5840Y、QDRS500-1.0/320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卧式液相燃油（气）有机热载体锅炉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浙江明士达股份有限公司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YY(Q)W－6000Y(Q)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浙江欧耐力新材料有限公司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WNS6－1.25－Y(Q)－2</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燃油、气蒸汽锅炉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浙江强力神保健品有限公司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WNS1-1.0-Y(Q)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燃油（气）蒸汽锅炉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浙江上口心食品股份有限公司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YYW-1500Y、Q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浙江申豪新材料有限公司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浙江省特种设备科学研究院</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LHS1.0-1.0-Q(Y)</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燃气（油）蒸汽锅炉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浙江思凯域新材料有限公司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YY（Q）W-4000Y（Q）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浙江天畅塑胶有限公司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浙江天星产业用布有限公司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YY(Q)W－3500Y.Q(2)</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浙江通达磁业有限公司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LHS0.2-0.4-YⅠ(Q)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浙江万木新材料科技股份有限公司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浙江显昱纤维织染制衣有限公司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WNS20－1.25－Y，Q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承压蒸汽锅炉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浙江新胜油脂科技有限公司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WNS1－1.0－Y(Q)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卧式燃油（气）蒸汽锅炉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浙江星益达增强材料有限公司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YY(Q)W－4000Y(Q)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浙江雪中炭环境科技有限公司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LSS0.75-1.0-Q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浙江亦阳新材料有限公司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浙江宇立新材料有限公司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YY(Q)W-6000Y(Q)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浙江源嘉包装科技有限公司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SZS8-1.25-Q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双锅筒纵置式燃气蒸汽锅炉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天然气</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海宁华意纺织有限公司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DZS2-1.0-SC II</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卧式燃生物质蒸汽锅炉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海宁市明德新材料有限公司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YLW-3500T</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海宁市万路针织有限公司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DZG1-0.8-S</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卧式燃生物质颗粒蒸汽锅炉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海宁市五洲胶带厂</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DZL2－1.25－S</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承压蒸汽锅炉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海宁市盐官椰娃糖果食品厂</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LSF0.5-0.7-T</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海宁市裕丰酿造有限公司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DZL1-1.25-T</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海宁市裕丰酿造有限公司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DZL4-1.25-M</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海宁市振海针纺染整有限公司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YLW-8000S</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有机热载体液相炉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嘉兴市东明纸业有限公司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DZL4-1.25-S</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浙江绿家食品有限公司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DZL6-1.57-S</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浙江群大饲料科技股份有限公司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DZL2-1.25-S</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卧式燃生物质蒸汽锅炉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浙江万宝龙胶粘制品有限公司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YLW-2800SK</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浙江雅昌染织有限公司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YLW-6000SCII</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燃生物质有机热载体锅炉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浙江裕德服装有限公司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DZL2-1.25-S</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燃生物质蒸汽锅炉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海宁绿动海云环保能源有限公司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SLC750－6.4/450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发电锅炉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生物质</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海宁市振海针纺染整有限公司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Q18/360－1.5－0.8</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热管式余热蒸汽锅炉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QC51/356－3－1.0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QC75/398－7.5－1.0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QC46/397－4.5－1.0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139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万凯新材料股份有限公司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QC51/356－3－1.0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浙江宝丽士印刷股份有限公司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Q4.5/830-1.5-1.0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浙江诚信包装有限公司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Q3.8/800－1－0.8</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浙江诚信包装有限公司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Q7/950－3－1.0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浙江德立普新型材料科技有限公司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Q7.1/800-2-1.0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浙江富晟科技股份有限公司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QC6.8/850－1.52－0.8/280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YYRL－280YR</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浙江恒生印染有限公司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QC50/600－9－1.0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浙江华德利纺织印染有限公司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QC27/388－3－1.0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浙江华清包装材料有限公司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Q4/850－1.2－0.7</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149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浙江钜成新材料股份有限公司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Q12.5/850-2.8-0.8/260/238</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浙江喜客新材料有限公司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QC8/900－1.86－0.8/280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浙江雅昌染织有限公司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Q13/490-1.5-1.0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浙江阳天包装材料有限公司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Q10.6/850-2.35-0.8</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浙江粤海包装新材料有限公司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QCF7.1/800-2-1.0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RTO废气余热蒸汽锅炉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154</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浙江庄臣新材料有限公司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QYW－1400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余热有机热载体炉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余热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155</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YDW-1200D</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电加热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156</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浙江海利得新材料股份有限公司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YDW－1200D</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电加热有机热载体锅炉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电加热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157</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浙江英德赛半导体材料股份有限公司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GYD-180</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电加热</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158</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海宁市格林纺织助剂有限公司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WNS1-1.0-Y(Q)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柴油</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159</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海宁市宏利蜡业有限公司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WNS1.0－1.0－Y（Q）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柴油</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160</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浙江金汇特材料有限公司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YY(Q)W-3500Y(Q)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燃油（气）有机热载体锅炉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柴油</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161</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浙江时代汽车零部件有限公司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WNS1-1.0-Y(Q)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柴油</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162</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兄弟科技股份有限公司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SGZ4/1.27－I</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其他</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163</w:t>
            </w:r>
          </w:p>
        </w:tc>
        <w:tc>
          <w:tcPr>
            <w:tcW w:w="3969"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浙江绿洲环保能源有限公司</w:t>
            </w:r>
          </w:p>
        </w:tc>
        <w:tc>
          <w:tcPr>
            <w:tcW w:w="3685"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WNS2－1.25－YQ</w:t>
            </w:r>
          </w:p>
        </w:tc>
        <w:tc>
          <w:tcPr>
            <w:tcW w:w="3544"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蒸汽锅炉</w:t>
            </w:r>
          </w:p>
        </w:tc>
        <w:tc>
          <w:tcPr>
            <w:tcW w:w="14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其他</w:t>
            </w: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46"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p>
        </w:tc>
        <w:tc>
          <w:tcPr>
            <w:tcW w:w="3969" w:type="dxa"/>
            <w:shd w:val="clear" w:color="auto" w:fill="auto"/>
            <w:noWrap/>
            <w:vAlign w:val="center"/>
          </w:tcPr>
          <w:p>
            <w:pPr>
              <w:widowControl/>
              <w:jc w:val="center"/>
              <w:rPr>
                <w:rFonts w:ascii="Times New Roman" w:hAnsi="Times New Roman" w:eastAsia="仿宋_GB2312" w:cs="Times New Roman"/>
                <w:kern w:val="0"/>
                <w:sz w:val="24"/>
                <w:szCs w:val="24"/>
              </w:rPr>
            </w:pPr>
          </w:p>
        </w:tc>
        <w:tc>
          <w:tcPr>
            <w:tcW w:w="3685" w:type="dxa"/>
            <w:shd w:val="clear" w:color="auto" w:fill="auto"/>
            <w:noWrap/>
            <w:vAlign w:val="center"/>
          </w:tcPr>
          <w:p>
            <w:pPr>
              <w:widowControl/>
              <w:jc w:val="center"/>
              <w:rPr>
                <w:rFonts w:ascii="Times New Roman" w:hAnsi="Times New Roman" w:eastAsia="仿宋_GB2312" w:cs="Times New Roman"/>
                <w:kern w:val="0"/>
                <w:sz w:val="24"/>
                <w:szCs w:val="24"/>
              </w:rPr>
            </w:pPr>
          </w:p>
        </w:tc>
        <w:tc>
          <w:tcPr>
            <w:tcW w:w="3544" w:type="dxa"/>
            <w:shd w:val="clear" w:color="auto" w:fill="auto"/>
            <w:noWrap/>
            <w:vAlign w:val="center"/>
          </w:tcPr>
          <w:p>
            <w:pPr>
              <w:widowControl/>
              <w:jc w:val="center"/>
              <w:rPr>
                <w:rFonts w:ascii="Times New Roman" w:hAnsi="Times New Roman" w:eastAsia="仿宋_GB2312" w:cs="Times New Roman"/>
                <w:kern w:val="0"/>
                <w:sz w:val="24"/>
                <w:szCs w:val="24"/>
              </w:rPr>
            </w:pPr>
          </w:p>
        </w:tc>
        <w:tc>
          <w:tcPr>
            <w:tcW w:w="1418" w:type="dxa"/>
            <w:shd w:val="clear" w:color="auto" w:fill="auto"/>
            <w:noWrap/>
            <w:vAlign w:val="center"/>
          </w:tcPr>
          <w:p>
            <w:pPr>
              <w:widowControl/>
              <w:jc w:val="center"/>
              <w:rPr>
                <w:rFonts w:ascii="Times New Roman" w:hAnsi="Times New Roman" w:eastAsia="仿宋_GB2312" w:cs="Times New Roman"/>
                <w:kern w:val="0"/>
                <w:sz w:val="24"/>
                <w:szCs w:val="24"/>
              </w:rPr>
            </w:pPr>
          </w:p>
        </w:tc>
        <w:tc>
          <w:tcPr>
            <w:tcW w:w="1518" w:type="dxa"/>
            <w:shd w:val="clear" w:color="auto" w:fill="auto"/>
            <w:noWrap/>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1179.5</w:t>
            </w:r>
          </w:p>
        </w:tc>
      </w:tr>
    </w:tbl>
    <w:p>
      <w:pPr>
        <w:tabs>
          <w:tab w:val="left" w:pos="733"/>
        </w:tabs>
        <w:rPr>
          <w:rFonts w:ascii="Times New Roman" w:hAnsi="Times New Roman" w:eastAsia="仿宋_GB2312" w:cs="宋体"/>
          <w:color w:val="000000" w:themeColor="text1"/>
          <w:kern w:val="0"/>
          <w:sz w:val="24"/>
          <w:szCs w:val="24"/>
          <w14:textFill>
            <w14:solidFill>
              <w14:schemeClr w14:val="tx1"/>
            </w14:solidFill>
          </w14:textFill>
        </w:rPr>
      </w:pPr>
      <w:r>
        <w:rPr>
          <w:rFonts w:hint="eastAsia" w:ascii="Times New Roman" w:hAnsi="Times New Roman" w:eastAsia="仿宋_GB2312" w:cs="宋体"/>
          <w:color w:val="000000" w:themeColor="text1"/>
          <w:kern w:val="0"/>
          <w:sz w:val="24"/>
          <w:szCs w:val="24"/>
          <w14:textFill>
            <w14:solidFill>
              <w14:schemeClr w14:val="tx1"/>
            </w14:solidFill>
          </w14:textFill>
        </w:rPr>
        <w:t>注：其他锅炉为燃料种类登记为“其他”的注册登记分散锅炉。</w:t>
      </w:r>
    </w:p>
    <w:p>
      <w:r>
        <w:br w:type="page"/>
      </w:r>
    </w:p>
    <w:p>
      <w:pPr>
        <w:pStyle w:val="2"/>
      </w:pPr>
      <w:bookmarkStart w:id="597" w:name="_Toc136514793"/>
      <w:bookmarkStart w:id="598" w:name="_Toc139377222"/>
      <w:bookmarkStart w:id="599" w:name="_Toc188636980"/>
      <w:r>
        <w:rPr>
          <w:rFonts w:hint="eastAsia"/>
        </w:rPr>
        <w:t>附图</w:t>
      </w:r>
      <w:r>
        <w:t xml:space="preserve">1 </w:t>
      </w:r>
      <w:bookmarkEnd w:id="592"/>
      <w:bookmarkEnd w:id="593"/>
      <w:bookmarkEnd w:id="594"/>
      <w:r>
        <w:rPr>
          <w:rFonts w:hint="eastAsia"/>
        </w:rPr>
        <w:t>海宁市</w:t>
      </w:r>
      <w:bookmarkEnd w:id="595"/>
      <w:bookmarkEnd w:id="596"/>
      <w:bookmarkEnd w:id="597"/>
      <w:bookmarkEnd w:id="598"/>
      <w:r>
        <w:rPr>
          <w:rFonts w:hint="eastAsia"/>
        </w:rPr>
        <w:t>区位图</w:t>
      </w:r>
      <w:bookmarkEnd w:id="599"/>
    </w:p>
    <w:p>
      <w:pPr>
        <w:jc w:val="center"/>
      </w:pPr>
      <w:r>
        <w:drawing>
          <wp:inline distT="0" distB="0" distL="0" distR="0">
            <wp:extent cx="8691880" cy="5287010"/>
            <wp:effectExtent l="0" t="0" r="0" b="8890"/>
            <wp:docPr id="1" name="图片 1" descr="E:\1-省发展规划研究院\0-发规院近期任务\2-海宁供热规划\资料\海宁市区位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省发展规划研究院\0-发规院近期任务\2-海宁供热规划\资料\海宁市区位图.jpg"/>
                    <pic:cNvPicPr>
                      <a:picLocks noChangeAspect="1" noChangeArrowheads="1"/>
                    </pic:cNvPicPr>
                  </pic:nvPicPr>
                  <pic:blipFill>
                    <a:blip r:embed="rId14"/>
                    <a:srcRect/>
                    <a:stretch>
                      <a:fillRect/>
                    </a:stretch>
                  </pic:blipFill>
                  <pic:spPr>
                    <a:xfrm>
                      <a:off x="0" y="0"/>
                      <a:ext cx="8696622" cy="5290375"/>
                    </a:xfrm>
                    <a:prstGeom prst="rect">
                      <a:avLst/>
                    </a:prstGeom>
                    <a:noFill/>
                    <a:ln>
                      <a:noFill/>
                    </a:ln>
                  </pic:spPr>
                </pic:pic>
              </a:graphicData>
            </a:graphic>
          </wp:inline>
        </w:drawing>
      </w:r>
    </w:p>
    <w:p>
      <w:pPr>
        <w:jc w:val="center"/>
        <w:sectPr>
          <w:pgSz w:w="16838" w:h="11906" w:orient="landscape"/>
          <w:pgMar w:top="720" w:right="720" w:bottom="720" w:left="720" w:header="851" w:footer="992" w:gutter="0"/>
          <w:cols w:space="425" w:num="1"/>
          <w:docGrid w:type="lines" w:linePitch="312" w:charSpace="0"/>
        </w:sectPr>
      </w:pPr>
    </w:p>
    <w:p>
      <w:pPr>
        <w:pStyle w:val="2"/>
      </w:pPr>
      <w:bookmarkStart w:id="600" w:name="_Toc188636981"/>
      <w:bookmarkStart w:id="601" w:name="_Toc139377223"/>
      <w:bookmarkStart w:id="602" w:name="_Toc136514794"/>
      <w:bookmarkStart w:id="603" w:name="_Toc111225996"/>
      <w:bookmarkStart w:id="604" w:name="_Toc110677137"/>
      <w:r>
        <w:rPr>
          <w:rFonts w:hint="eastAsia"/>
        </w:rPr>
        <w:t>附图</w:t>
      </w:r>
      <w:r>
        <w:t xml:space="preserve">3 </w:t>
      </w:r>
      <w:r>
        <w:rPr>
          <w:rFonts w:hint="eastAsia"/>
        </w:rPr>
        <w:t>海宁市热电联产（集中供热）规划现有热源点分布图</w:t>
      </w:r>
      <w:bookmarkEnd w:id="600"/>
    </w:p>
    <w:p>
      <w:pPr>
        <w:jc w:val="center"/>
      </w:pPr>
      <w:r>
        <w:drawing>
          <wp:inline distT="0" distB="0" distL="0" distR="0">
            <wp:extent cx="7514590" cy="5311140"/>
            <wp:effectExtent l="0" t="0" r="0" b="3810"/>
            <wp:docPr id="40" name="图片 40" descr="E:\1-省发展规划研究院\0-发规院近期任务\4-海宁供热规划\作图\热源点布局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1-省发展规划研究院\0-发规院近期任务\4-海宁供热规划\作图\热源点布局2024.jpg"/>
                    <pic:cNvPicPr>
                      <a:picLocks noChangeAspect="1" noChangeArrowheads="1"/>
                    </pic:cNvPicPr>
                  </pic:nvPicPr>
                  <pic:blipFill>
                    <a:blip r:embed="rId15"/>
                    <a:srcRect/>
                    <a:stretch>
                      <a:fillRect/>
                    </a:stretch>
                  </pic:blipFill>
                  <pic:spPr>
                    <a:xfrm>
                      <a:off x="0" y="0"/>
                      <a:ext cx="7520896" cy="5315919"/>
                    </a:xfrm>
                    <a:prstGeom prst="rect">
                      <a:avLst/>
                    </a:prstGeom>
                    <a:noFill/>
                    <a:ln>
                      <a:noFill/>
                    </a:ln>
                  </pic:spPr>
                </pic:pic>
              </a:graphicData>
            </a:graphic>
          </wp:inline>
        </w:drawing>
      </w:r>
      <w:r>
        <w:t xml:space="preserve"> </w:t>
      </w:r>
    </w:p>
    <w:p>
      <w:pPr>
        <w:jc w:val="center"/>
        <w:sectPr>
          <w:pgSz w:w="16838" w:h="11906" w:orient="landscape"/>
          <w:pgMar w:top="720" w:right="720" w:bottom="720" w:left="720" w:header="851" w:footer="992" w:gutter="0"/>
          <w:cols w:space="425" w:num="1"/>
          <w:docGrid w:type="lines" w:linePitch="312" w:charSpace="0"/>
        </w:sectPr>
      </w:pPr>
    </w:p>
    <w:p>
      <w:pPr>
        <w:pStyle w:val="2"/>
      </w:pPr>
      <w:bookmarkStart w:id="605" w:name="_Toc188636982"/>
      <w:r>
        <w:rPr>
          <w:rFonts w:hint="eastAsia"/>
        </w:rPr>
        <w:t>附图</w:t>
      </w:r>
      <w:r>
        <w:t xml:space="preserve">2 </w:t>
      </w:r>
      <w:bookmarkEnd w:id="601"/>
      <w:bookmarkEnd w:id="602"/>
      <w:r>
        <w:rPr>
          <w:rFonts w:hint="eastAsia"/>
        </w:rPr>
        <w:t>海宁市供热分区图</w:t>
      </w:r>
      <w:bookmarkEnd w:id="605"/>
    </w:p>
    <w:p>
      <w:pPr>
        <w:jc w:val="center"/>
      </w:pPr>
      <w:r>
        <w:drawing>
          <wp:inline distT="0" distB="0" distL="0" distR="0">
            <wp:extent cx="7626985" cy="5390515"/>
            <wp:effectExtent l="0" t="0" r="0" b="635"/>
            <wp:docPr id="38" name="图片 38" descr="E:\1-省发展规划研究院\0-发规院近期任务\4-海宁供热规划\作图\供热分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1-省发展规划研究院\0-发规院近期任务\4-海宁供热规划\作图\供热分区.jpg"/>
                    <pic:cNvPicPr>
                      <a:picLocks noChangeAspect="1" noChangeArrowheads="1"/>
                    </pic:cNvPicPr>
                  </pic:nvPicPr>
                  <pic:blipFill>
                    <a:blip r:embed="rId16"/>
                    <a:srcRect/>
                    <a:stretch>
                      <a:fillRect/>
                    </a:stretch>
                  </pic:blipFill>
                  <pic:spPr>
                    <a:xfrm>
                      <a:off x="0" y="0"/>
                      <a:ext cx="7640536" cy="5400482"/>
                    </a:xfrm>
                    <a:prstGeom prst="rect">
                      <a:avLst/>
                    </a:prstGeom>
                    <a:noFill/>
                    <a:ln>
                      <a:noFill/>
                    </a:ln>
                  </pic:spPr>
                </pic:pic>
              </a:graphicData>
            </a:graphic>
          </wp:inline>
        </w:drawing>
      </w:r>
      <w:r>
        <w:t xml:space="preserve"> </w:t>
      </w:r>
    </w:p>
    <w:bookmarkEnd w:id="603"/>
    <w:bookmarkEnd w:id="604"/>
    <w:p>
      <w:pPr>
        <w:pStyle w:val="53"/>
        <w:ind w:firstLine="560"/>
        <w:sectPr>
          <w:pgSz w:w="16838" w:h="11906" w:orient="landscape"/>
          <w:pgMar w:top="720" w:right="720" w:bottom="720" w:left="720" w:header="851" w:footer="992" w:gutter="0"/>
          <w:cols w:space="425" w:num="1"/>
          <w:docGrid w:type="lines" w:linePitch="312" w:charSpace="0"/>
        </w:sectPr>
      </w:pPr>
    </w:p>
    <w:p>
      <w:pPr>
        <w:pStyle w:val="2"/>
      </w:pPr>
      <w:bookmarkStart w:id="606" w:name="_Toc82546971"/>
      <w:bookmarkStart w:id="607" w:name="_Toc78117457"/>
      <w:bookmarkStart w:id="608" w:name="_Toc110677139"/>
      <w:bookmarkStart w:id="609" w:name="_Toc110595677"/>
      <w:bookmarkStart w:id="610" w:name="_Toc139377225"/>
      <w:bookmarkStart w:id="611" w:name="_Toc111225998"/>
      <w:bookmarkStart w:id="612" w:name="_Toc136514796"/>
      <w:bookmarkStart w:id="613" w:name="_Toc188636983"/>
      <w:r>
        <w:rPr>
          <w:rFonts w:hint="eastAsia"/>
        </w:rPr>
        <w:t>附图</w:t>
      </w:r>
      <w:r>
        <w:t xml:space="preserve">4 </w:t>
      </w:r>
      <w:bookmarkEnd w:id="606"/>
      <w:bookmarkEnd w:id="607"/>
      <w:bookmarkEnd w:id="608"/>
      <w:bookmarkEnd w:id="609"/>
      <w:bookmarkEnd w:id="610"/>
      <w:bookmarkEnd w:id="611"/>
      <w:bookmarkEnd w:id="612"/>
      <w:r>
        <w:rPr>
          <w:rFonts w:hint="eastAsia"/>
        </w:rPr>
        <w:t>海宁市热电联产（集中供热）规划热源点规划分布图</w:t>
      </w:r>
      <w:bookmarkEnd w:id="613"/>
    </w:p>
    <w:p>
      <w:pPr>
        <w:jc w:val="center"/>
        <w:sectPr>
          <w:pgSz w:w="16838" w:h="11906" w:orient="landscape"/>
          <w:pgMar w:top="720" w:right="720" w:bottom="720" w:left="720" w:header="851" w:footer="992" w:gutter="0"/>
          <w:cols w:space="425" w:num="1"/>
          <w:docGrid w:type="lines" w:linePitch="312" w:charSpace="0"/>
        </w:sectPr>
      </w:pPr>
      <w:r>
        <w:drawing>
          <wp:inline distT="0" distB="0" distL="0" distR="0">
            <wp:extent cx="7338695" cy="5187315"/>
            <wp:effectExtent l="0" t="0" r="0" b="0"/>
            <wp:docPr id="35" name="图片 35" descr="E:\1-省发展规划研究院\0-发规院近期任务\4-海宁供热规划\作图\热源点布局2030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1-省发展规划研究院\0-发规院近期任务\4-海宁供热规划\作图\热源点布局2030年.jpg"/>
                    <pic:cNvPicPr>
                      <a:picLocks noChangeAspect="1" noChangeArrowheads="1"/>
                    </pic:cNvPicPr>
                  </pic:nvPicPr>
                  <pic:blipFill>
                    <a:blip r:embed="rId17"/>
                    <a:srcRect/>
                    <a:stretch>
                      <a:fillRect/>
                    </a:stretch>
                  </pic:blipFill>
                  <pic:spPr>
                    <a:xfrm>
                      <a:off x="0" y="0"/>
                      <a:ext cx="7346076" cy="5192354"/>
                    </a:xfrm>
                    <a:prstGeom prst="rect">
                      <a:avLst/>
                    </a:prstGeom>
                    <a:noFill/>
                    <a:ln>
                      <a:noFill/>
                    </a:ln>
                  </pic:spPr>
                </pic:pic>
              </a:graphicData>
            </a:graphic>
          </wp:inline>
        </w:drawing>
      </w:r>
      <w:r>
        <w:t xml:space="preserve"> </w:t>
      </w:r>
    </w:p>
    <w:p>
      <w:pPr>
        <w:pStyle w:val="2"/>
      </w:pPr>
      <w:bookmarkStart w:id="614" w:name="_Toc188636984"/>
      <w:r>
        <w:rPr>
          <w:rFonts w:hint="eastAsia"/>
        </w:rPr>
        <w:t>附图</w:t>
      </w:r>
      <w:r>
        <w:t xml:space="preserve">5 </w:t>
      </w:r>
      <w:r>
        <w:rPr>
          <w:rFonts w:hint="eastAsia"/>
        </w:rPr>
        <w:t>海宁市公共热源点供热半径图</w:t>
      </w:r>
      <w:bookmarkEnd w:id="614"/>
    </w:p>
    <w:p>
      <w:pPr>
        <w:jc w:val="center"/>
        <w:sectPr>
          <w:pgSz w:w="16838" w:h="11906" w:orient="landscape"/>
          <w:pgMar w:top="720" w:right="720" w:bottom="720" w:left="720" w:header="851" w:footer="992" w:gutter="0"/>
          <w:cols w:space="425" w:num="1"/>
          <w:docGrid w:type="lines" w:linePitch="312" w:charSpace="0"/>
        </w:sectPr>
      </w:pPr>
      <w:r>
        <w:drawing>
          <wp:inline distT="0" distB="0" distL="0" distR="0">
            <wp:extent cx="7235190" cy="5114925"/>
            <wp:effectExtent l="0" t="0" r="3810" b="0"/>
            <wp:docPr id="32" name="图片 32" descr="E:\1-省发展规划研究院\0-发规院近期任务\4-海宁供热规划\作图\供热半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1-省发展规划研究院\0-发规院近期任务\4-海宁供热规划\作图\供热半径图.jpg"/>
                    <pic:cNvPicPr>
                      <a:picLocks noChangeAspect="1" noChangeArrowheads="1"/>
                    </pic:cNvPicPr>
                  </pic:nvPicPr>
                  <pic:blipFill>
                    <a:blip r:embed="rId18"/>
                    <a:srcRect/>
                    <a:stretch>
                      <a:fillRect/>
                    </a:stretch>
                  </pic:blipFill>
                  <pic:spPr>
                    <a:xfrm>
                      <a:off x="0" y="0"/>
                      <a:ext cx="7245973" cy="5122188"/>
                    </a:xfrm>
                    <a:prstGeom prst="rect">
                      <a:avLst/>
                    </a:prstGeom>
                    <a:noFill/>
                    <a:ln>
                      <a:noFill/>
                    </a:ln>
                  </pic:spPr>
                </pic:pic>
              </a:graphicData>
            </a:graphic>
          </wp:inline>
        </w:drawing>
      </w:r>
    </w:p>
    <w:p>
      <w:pPr>
        <w:pStyle w:val="2"/>
      </w:pPr>
      <w:bookmarkStart w:id="615" w:name="_Toc110595678"/>
      <w:bookmarkStart w:id="616" w:name="_Toc111225999"/>
      <w:bookmarkStart w:id="617" w:name="_Toc78117458"/>
      <w:bookmarkStart w:id="618" w:name="_Toc82546972"/>
      <w:bookmarkStart w:id="619" w:name="_Toc136514797"/>
      <w:bookmarkStart w:id="620" w:name="_Toc110677140"/>
      <w:bookmarkStart w:id="621" w:name="_Toc139377226"/>
      <w:bookmarkStart w:id="622" w:name="_Toc188636985"/>
      <w:r>
        <w:rPr>
          <w:rFonts w:hint="eastAsia"/>
        </w:rPr>
        <w:t>附图</w:t>
      </w:r>
      <w:bookmarkEnd w:id="615"/>
      <w:bookmarkEnd w:id="616"/>
      <w:bookmarkEnd w:id="617"/>
      <w:bookmarkEnd w:id="618"/>
      <w:bookmarkEnd w:id="619"/>
      <w:bookmarkEnd w:id="620"/>
      <w:bookmarkEnd w:id="621"/>
      <w:r>
        <w:t xml:space="preserve">6 </w:t>
      </w:r>
      <w:r>
        <w:rPr>
          <w:rFonts w:hint="eastAsia"/>
        </w:rPr>
        <w:t>海宁市公共热源点供热管网图</w:t>
      </w:r>
      <w:bookmarkEnd w:id="622"/>
    </w:p>
    <w:p>
      <w:pPr>
        <w:jc w:val="center"/>
        <w:rPr>
          <w:rFonts w:ascii="Times New Roman" w:hAnsi="Times New Roman" w:eastAsia="仿宋_GB2312" w:cs="Times New Roman"/>
          <w:sz w:val="32"/>
          <w:szCs w:val="36"/>
        </w:rPr>
      </w:pP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r>
        <w:rPr>
          <w:rFonts w:ascii="Times New Roman" w:hAnsi="Times New Roman" w:eastAsia="仿宋_GB2312" w:cs="Times New Roman"/>
          <w:sz w:val="32"/>
          <w:szCs w:val="36"/>
        </w:rPr>
        <w:drawing>
          <wp:inline distT="0" distB="0" distL="0" distR="0">
            <wp:extent cx="7092315" cy="5012690"/>
            <wp:effectExtent l="0" t="0" r="0" b="0"/>
            <wp:docPr id="34" name="图片 34" descr="E:\1-省发展规划研究院\0-发规院近期任务\4-海宁供热规划\作图\供热管网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1-省发展规划研究院\0-发规院近期任务\4-海宁供热规划\作图\供热管网图.jpg"/>
                    <pic:cNvPicPr>
                      <a:picLocks noChangeAspect="1" noChangeArrowheads="1"/>
                    </pic:cNvPicPr>
                  </pic:nvPicPr>
                  <pic:blipFill>
                    <a:blip r:embed="rId19"/>
                    <a:srcRect/>
                    <a:stretch>
                      <a:fillRect/>
                    </a:stretch>
                  </pic:blipFill>
                  <pic:spPr>
                    <a:xfrm>
                      <a:off x="0" y="0"/>
                      <a:ext cx="7103143" cy="5020642"/>
                    </a:xfrm>
                    <a:prstGeom prst="rect">
                      <a:avLst/>
                    </a:prstGeom>
                    <a:noFill/>
                    <a:ln>
                      <a:noFill/>
                    </a:ln>
                  </pic:spPr>
                </pic:pic>
              </a:graphicData>
            </a:graphic>
          </wp:inline>
        </w:drawing>
      </w:r>
    </w:p>
    <w:p>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-1 </w:t>
      </w:r>
      <w:r>
        <w:rPr>
          <w:rFonts w:hint="eastAsia" w:ascii="Times New Roman" w:hAnsi="Times New Roman" w:eastAsia="仿宋_GB2312" w:cs="Times New Roman"/>
          <w:sz w:val="32"/>
          <w:szCs w:val="36"/>
        </w:rPr>
        <w:t>海宁市公共热源点供热管网图</w:t>
      </w:r>
    </w:p>
    <w:p>
      <w:pPr>
        <w:jc w:val="center"/>
        <w:rPr>
          <w:rFonts w:ascii="Times New Roman" w:hAnsi="Times New Roman" w:eastAsia="仿宋_GB2312" w:cs="Times New Roman"/>
          <w:sz w:val="32"/>
          <w:szCs w:val="36"/>
        </w:rPr>
      </w:pPr>
      <w:r>
        <w:rPr>
          <w:rFonts w:ascii="Times New Roman" w:hAnsi="Times New Roman" w:eastAsia="仿宋_GB2312" w:cs="Times New Roman"/>
          <w:sz w:val="32"/>
          <w:szCs w:val="36"/>
        </w:rPr>
        <w:drawing>
          <wp:inline distT="0" distB="0" distL="0" distR="0">
            <wp:extent cx="6576060" cy="4815205"/>
            <wp:effectExtent l="0" t="0" r="0" b="4445"/>
            <wp:docPr id="23" name="图片 23" descr="E:\1-省发展规划研究院\0-发规院近期任务\2-海宁供热规划\海宁供热规划资料\海宁供热规划资料\热电企业资料\宝峰\宝峰供热管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1-省发展规划研究院\0-发规院近期任务\2-海宁供热规划\海宁供热规划资料\海宁供热规划资料\热电企业资料\宝峰\宝峰供热管网.jpg"/>
                    <pic:cNvPicPr>
                      <a:picLocks noChangeAspect="1" noChangeArrowheads="1"/>
                    </pic:cNvPicPr>
                  </pic:nvPicPr>
                  <pic:blipFill>
                    <a:blip r:embed="rId20"/>
                    <a:srcRect/>
                    <a:stretch>
                      <a:fillRect/>
                    </a:stretch>
                  </pic:blipFill>
                  <pic:spPr>
                    <a:xfrm>
                      <a:off x="0" y="0"/>
                      <a:ext cx="6605788" cy="4836785"/>
                    </a:xfrm>
                    <a:prstGeom prst="rect">
                      <a:avLst/>
                    </a:prstGeom>
                    <a:noFill/>
                    <a:ln>
                      <a:noFill/>
                    </a:ln>
                  </pic:spPr>
                </pic:pic>
              </a:graphicData>
            </a:graphic>
          </wp:inline>
        </w:drawing>
      </w:r>
    </w:p>
    <w:p>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-2 </w:t>
      </w:r>
      <w:r>
        <w:rPr>
          <w:rFonts w:hint="eastAsia" w:ascii="Times New Roman" w:hAnsi="Times New Roman" w:eastAsia="仿宋_GB2312" w:cs="Times New Roman"/>
          <w:sz w:val="32"/>
          <w:szCs w:val="36"/>
        </w:rPr>
        <w:t>浙江宝峰热电有限公司供热管网图（实线为现状，虚线为规划新建）</w:t>
      </w:r>
    </w:p>
    <w:p>
      <w:pPr>
        <w:jc w:val="center"/>
        <w:rPr>
          <w:rFonts w:ascii="Times New Roman" w:hAnsi="Times New Roman" w:eastAsia="仿宋_GB2312" w:cs="Times New Roman"/>
          <w:sz w:val="32"/>
          <w:szCs w:val="36"/>
        </w:rPr>
      </w:pPr>
      <w:r>
        <w:drawing>
          <wp:inline distT="0" distB="0" distL="0" distR="0">
            <wp:extent cx="8324215" cy="488569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8330427" cy="4889622"/>
                    </a:xfrm>
                    <a:prstGeom prst="rect">
                      <a:avLst/>
                    </a:prstGeom>
                  </pic:spPr>
                </pic:pic>
              </a:graphicData>
            </a:graphic>
          </wp:inline>
        </w:drawing>
      </w:r>
    </w:p>
    <w:p>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-3 </w:t>
      </w:r>
      <w:r>
        <w:rPr>
          <w:rFonts w:hint="eastAsia" w:ascii="Times New Roman" w:hAnsi="Times New Roman" w:eastAsia="仿宋_GB2312" w:cs="Times New Roman"/>
          <w:sz w:val="32"/>
          <w:szCs w:val="36"/>
        </w:rPr>
        <w:t>海宁马桥大都市热电有限公司供热管网图（实线为现状，虚线为规划新建）</w:t>
      </w:r>
    </w:p>
    <w:p>
      <w:pPr>
        <w:jc w:val="center"/>
        <w:rPr>
          <w:rFonts w:ascii="Times New Roman" w:hAnsi="Times New Roman" w:eastAsia="仿宋_GB2312" w:cs="Times New Roman"/>
          <w:sz w:val="32"/>
          <w:szCs w:val="36"/>
        </w:rPr>
      </w:pPr>
      <w:r>
        <w:rPr>
          <w:rFonts w:hint="eastAsia" w:ascii="Times New Roman" w:hAnsi="Times New Roman" w:eastAsia="仿宋_GB2312"/>
          <w:sz w:val="32"/>
          <w:szCs w:val="32"/>
        </w:rPr>
        <w:drawing>
          <wp:inline distT="0" distB="0" distL="114300" distR="114300">
            <wp:extent cx="2486660" cy="5164455"/>
            <wp:effectExtent l="0" t="0" r="8890" b="0"/>
            <wp:docPr id="25" name="图片 25" descr="2e176e550426e8539dd1fd9cf750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e176e550426e8539dd1fd9cf750d88"/>
                    <pic:cNvPicPr>
                      <a:picLocks noChangeAspect="1"/>
                    </pic:cNvPicPr>
                  </pic:nvPicPr>
                  <pic:blipFill>
                    <a:blip r:embed="rId22"/>
                    <a:stretch>
                      <a:fillRect/>
                    </a:stretch>
                  </pic:blipFill>
                  <pic:spPr>
                    <a:xfrm>
                      <a:off x="0" y="0"/>
                      <a:ext cx="2495532" cy="5181999"/>
                    </a:xfrm>
                    <a:prstGeom prst="rect">
                      <a:avLst/>
                    </a:prstGeom>
                  </pic:spPr>
                </pic:pic>
              </a:graphicData>
            </a:graphic>
          </wp:inline>
        </w:drawing>
      </w:r>
    </w:p>
    <w:p>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-4 </w:t>
      </w:r>
      <w:r>
        <w:rPr>
          <w:rFonts w:hint="eastAsia" w:ascii="Times New Roman" w:hAnsi="Times New Roman" w:eastAsia="仿宋_GB2312" w:cs="Times New Roman"/>
          <w:sz w:val="32"/>
          <w:szCs w:val="36"/>
        </w:rPr>
        <w:t>海宁光耀热电有限公司</w:t>
      </w:r>
      <w:r>
        <w:rPr>
          <w:rFonts w:ascii="Times New Roman" w:hAnsi="Times New Roman" w:eastAsia="仿宋_GB2312" w:cs="Times New Roman"/>
          <w:sz w:val="32"/>
          <w:szCs w:val="36"/>
        </w:rPr>
        <w:t>1号能源站</w:t>
      </w:r>
      <w:r>
        <w:rPr>
          <w:rFonts w:hint="eastAsia" w:ascii="Times New Roman" w:hAnsi="Times New Roman" w:eastAsia="仿宋_GB2312" w:cs="Times New Roman"/>
          <w:sz w:val="32"/>
          <w:szCs w:val="36"/>
        </w:rPr>
        <w:t>供热管网图（实线为现状，虚线为规划新建）</w:t>
      </w:r>
    </w:p>
    <w:p>
      <w:pPr>
        <w:jc w:val="center"/>
        <w:rPr>
          <w:rFonts w:ascii="Times New Roman" w:hAnsi="Times New Roman" w:eastAsia="仿宋_GB2312" w:cs="Times New Roman"/>
          <w:sz w:val="32"/>
          <w:szCs w:val="36"/>
        </w:rPr>
      </w:pPr>
      <w:r>
        <w:rPr>
          <w:rFonts w:hint="eastAsia" w:ascii="Times New Roman" w:hAnsi="Times New Roman" w:eastAsia="仿宋_GB2312"/>
          <w:b/>
          <w:sz w:val="32"/>
          <w:szCs w:val="32"/>
        </w:rPr>
        <w:drawing>
          <wp:inline distT="0" distB="0" distL="114300" distR="114300">
            <wp:extent cx="6378575" cy="4252595"/>
            <wp:effectExtent l="0" t="0" r="3175" b="0"/>
            <wp:docPr id="26" name="图片 26" descr="240ebf2f10dddec45f4058c7669e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40ebf2f10dddec45f4058c7669e35c"/>
                    <pic:cNvPicPr>
                      <a:picLocks noChangeAspect="1"/>
                    </pic:cNvPicPr>
                  </pic:nvPicPr>
                  <pic:blipFill>
                    <a:blip r:embed="rId23"/>
                    <a:stretch>
                      <a:fillRect/>
                    </a:stretch>
                  </pic:blipFill>
                  <pic:spPr>
                    <a:xfrm>
                      <a:off x="0" y="0"/>
                      <a:ext cx="6385034" cy="4257202"/>
                    </a:xfrm>
                    <a:prstGeom prst="rect">
                      <a:avLst/>
                    </a:prstGeom>
                  </pic:spPr>
                </pic:pic>
              </a:graphicData>
            </a:graphic>
          </wp:inline>
        </w:drawing>
      </w:r>
    </w:p>
    <w:p>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-5 </w:t>
      </w:r>
      <w:r>
        <w:rPr>
          <w:rFonts w:hint="eastAsia" w:ascii="Times New Roman" w:hAnsi="Times New Roman" w:eastAsia="仿宋_GB2312" w:cs="Times New Roman"/>
          <w:sz w:val="32"/>
          <w:szCs w:val="36"/>
        </w:rPr>
        <w:t>海宁光耀热电有限公司</w:t>
      </w:r>
      <w:r>
        <w:rPr>
          <w:rFonts w:ascii="Times New Roman" w:hAnsi="Times New Roman" w:eastAsia="仿宋_GB2312" w:cs="Times New Roman"/>
          <w:sz w:val="32"/>
          <w:szCs w:val="36"/>
        </w:rPr>
        <w:t>2号能源站</w:t>
      </w:r>
      <w:r>
        <w:rPr>
          <w:rFonts w:hint="eastAsia" w:ascii="Times New Roman" w:hAnsi="Times New Roman" w:eastAsia="仿宋_GB2312" w:cs="Times New Roman"/>
          <w:sz w:val="32"/>
          <w:szCs w:val="36"/>
        </w:rPr>
        <w:t>供热管网图（实线为现状，虚线为规划新建）</w:t>
      </w:r>
    </w:p>
    <w:p>
      <w:pPr>
        <w:jc w:val="center"/>
        <w:rPr>
          <w:rFonts w:ascii="Times New Roman" w:hAnsi="Times New Roman" w:eastAsia="仿宋_GB2312" w:cs="Times New Roman"/>
          <w:sz w:val="32"/>
          <w:szCs w:val="36"/>
        </w:rPr>
      </w:pPr>
    </w:p>
    <w:p>
      <w:pPr>
        <w:jc w:val="center"/>
        <w:rPr>
          <w:rFonts w:ascii="Times New Roman" w:hAnsi="Times New Roman" w:eastAsia="仿宋_GB2312" w:cs="Times New Roman"/>
          <w:sz w:val="32"/>
          <w:szCs w:val="36"/>
        </w:rPr>
      </w:pPr>
      <w:r>
        <w:rPr>
          <w:rFonts w:ascii="Times New Roman" w:hAnsi="Times New Roman" w:eastAsia="仿宋_GB2312" w:cs="Times New Roman"/>
          <w:sz w:val="32"/>
          <w:szCs w:val="36"/>
        </w:rPr>
        <w:drawing>
          <wp:inline distT="0" distB="0" distL="0" distR="0">
            <wp:extent cx="8214995" cy="5209540"/>
            <wp:effectExtent l="0" t="0" r="0" b="0"/>
            <wp:docPr id="28" name="图片 28" descr="C:\Users\DELL\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DELL\Desktop\1111.jpg"/>
                    <pic:cNvPicPr>
                      <a:picLocks noChangeAspect="1" noChangeArrowheads="1"/>
                    </pic:cNvPicPr>
                  </pic:nvPicPr>
                  <pic:blipFill>
                    <a:blip r:embed="rId24"/>
                    <a:srcRect t="5073" b="5671"/>
                    <a:stretch>
                      <a:fillRect/>
                    </a:stretch>
                  </pic:blipFill>
                  <pic:spPr>
                    <a:xfrm>
                      <a:off x="0" y="0"/>
                      <a:ext cx="8219313" cy="5212807"/>
                    </a:xfrm>
                    <a:prstGeom prst="rect">
                      <a:avLst/>
                    </a:prstGeom>
                    <a:noFill/>
                    <a:ln>
                      <a:noFill/>
                    </a:ln>
                  </pic:spPr>
                </pic:pic>
              </a:graphicData>
            </a:graphic>
          </wp:inline>
        </w:drawing>
      </w:r>
    </w:p>
    <w:p>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-6 </w:t>
      </w:r>
      <w:r>
        <w:rPr>
          <w:rFonts w:hint="eastAsia" w:ascii="Times New Roman" w:hAnsi="Times New Roman" w:eastAsia="仿宋_GB2312" w:cs="Times New Roman"/>
          <w:sz w:val="32"/>
          <w:szCs w:val="36"/>
        </w:rPr>
        <w:t>尖山新区及周边区块供热管网图（实线为现状，虚线为规划新建）</w:t>
      </w:r>
    </w:p>
    <w:p>
      <w:pPr>
        <w:jc w:val="center"/>
        <w:rPr>
          <w:rFonts w:ascii="Times New Roman" w:hAnsi="Times New Roman" w:eastAsia="仿宋_GB2312" w:cs="Times New Roman"/>
          <w:sz w:val="32"/>
          <w:szCs w:val="36"/>
        </w:rPr>
      </w:pPr>
      <w:r>
        <w:rPr>
          <w:rFonts w:ascii="Times New Roman" w:hAnsi="Times New Roman" w:eastAsia="仿宋_GB2312" w:cs="Times New Roman"/>
          <w:sz w:val="32"/>
          <w:szCs w:val="36"/>
        </w:rPr>
        <w:drawing>
          <wp:inline distT="0" distB="0" distL="0" distR="0">
            <wp:extent cx="3632835" cy="5360670"/>
            <wp:effectExtent l="0" t="0" r="5715" b="0"/>
            <wp:docPr id="22" name="图片 22" descr="E:\1-省发展规划研究院\0-发规院近期任务\2-海宁供热规划\海宁供热规划资料\海宁供热规划资料\热电企业资料\红宝\微信图片_20230803103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1-省发展规划研究院\0-发规院近期任务\2-海宁供热规划\海宁供热规划资料\海宁供热规划资料\热电企业资料\红宝\微信图片_20230803103235.png"/>
                    <pic:cNvPicPr>
                      <a:picLocks noChangeAspect="1" noChangeArrowheads="1"/>
                    </pic:cNvPicPr>
                  </pic:nvPicPr>
                  <pic:blipFill>
                    <a:blip r:embed="rId25"/>
                    <a:srcRect/>
                    <a:stretch>
                      <a:fillRect/>
                    </a:stretch>
                  </pic:blipFill>
                  <pic:spPr>
                    <a:xfrm>
                      <a:off x="0" y="0"/>
                      <a:ext cx="3637689" cy="5367557"/>
                    </a:xfrm>
                    <a:prstGeom prst="rect">
                      <a:avLst/>
                    </a:prstGeom>
                    <a:noFill/>
                    <a:ln>
                      <a:noFill/>
                    </a:ln>
                  </pic:spPr>
                </pic:pic>
              </a:graphicData>
            </a:graphic>
          </wp:inline>
        </w:drawing>
      </w:r>
    </w:p>
    <w:p>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-7 </w:t>
      </w:r>
      <w:r>
        <w:rPr>
          <w:rFonts w:hint="eastAsia" w:ascii="Times New Roman" w:hAnsi="Times New Roman" w:eastAsia="仿宋_GB2312" w:cs="Times New Roman"/>
          <w:sz w:val="32"/>
          <w:szCs w:val="36"/>
        </w:rPr>
        <w:t>海宁红宝热电有限公司供热管网图（实线为现状，虚线为规划新建）</w:t>
      </w:r>
    </w:p>
    <w:p>
      <w:pPr>
        <w:jc w:val="center"/>
        <w:rPr>
          <w:rFonts w:ascii="Times New Roman" w:hAnsi="Times New Roman" w:eastAsia="仿宋_GB2312" w:cs="Times New Roman"/>
          <w:sz w:val="32"/>
          <w:szCs w:val="36"/>
        </w:rPr>
      </w:pPr>
      <w:r>
        <w:rPr>
          <w:rFonts w:ascii="Times New Roman" w:hAnsi="Times New Roman" w:eastAsia="仿宋_GB2312" w:cs="Times New Roman"/>
          <w:sz w:val="32"/>
          <w:szCs w:val="36"/>
        </w:rPr>
        <w:drawing>
          <wp:inline distT="0" distB="0" distL="0" distR="0">
            <wp:extent cx="8034020" cy="3672205"/>
            <wp:effectExtent l="0" t="0" r="5080" b="4445"/>
            <wp:docPr id="29" name="图片 29" descr="E:\1-省发展规划研究院\0-发规院近期任务\2-海宁供热规划\海宁供热规划资料\海宁供热规划资料\热电企业资料\泰亿\泰逸管网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1-省发展规划研究院\0-发规院近期任务\2-海宁供热规划\海宁供热规划资料\海宁供热规划资料\热电企业资料\泰亿\泰逸管网图.png"/>
                    <pic:cNvPicPr>
                      <a:picLocks noChangeAspect="1" noChangeArrowheads="1"/>
                    </pic:cNvPicPr>
                  </pic:nvPicPr>
                  <pic:blipFill>
                    <a:blip r:embed="rId26"/>
                    <a:srcRect/>
                    <a:stretch>
                      <a:fillRect/>
                    </a:stretch>
                  </pic:blipFill>
                  <pic:spPr>
                    <a:xfrm>
                      <a:off x="0" y="0"/>
                      <a:ext cx="8040927" cy="3675278"/>
                    </a:xfrm>
                    <a:prstGeom prst="rect">
                      <a:avLst/>
                    </a:prstGeom>
                    <a:noFill/>
                    <a:ln>
                      <a:noFill/>
                    </a:ln>
                  </pic:spPr>
                </pic:pic>
              </a:graphicData>
            </a:graphic>
          </wp:inline>
        </w:drawing>
      </w:r>
    </w:p>
    <w:p>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-8 </w:t>
      </w:r>
      <w:r>
        <w:rPr>
          <w:rFonts w:hint="eastAsia" w:ascii="Times New Roman" w:hAnsi="Times New Roman" w:eastAsia="仿宋_GB2312" w:cs="Times New Roman"/>
          <w:sz w:val="32"/>
          <w:szCs w:val="36"/>
        </w:rPr>
        <w:t>浙江泰亿能源有限公司供热管网图（实线为现状，虚线为规划新建）</w:t>
      </w:r>
    </w:p>
    <w:p>
      <w:pPr>
        <w:jc w:val="center"/>
        <w:rPr>
          <w:rFonts w:ascii="Times New Roman" w:hAnsi="Times New Roman" w:eastAsia="仿宋_GB2312" w:cs="Times New Roman"/>
          <w:sz w:val="32"/>
          <w:szCs w:val="36"/>
        </w:rPr>
      </w:pPr>
      <w:r>
        <w:drawing>
          <wp:inline distT="0" distB="0" distL="0" distR="0">
            <wp:extent cx="7482840" cy="5491480"/>
            <wp:effectExtent l="0" t="0" r="381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7"/>
                    <a:stretch>
                      <a:fillRect/>
                    </a:stretch>
                  </pic:blipFill>
                  <pic:spPr>
                    <a:xfrm>
                      <a:off x="0" y="0"/>
                      <a:ext cx="7507570" cy="5509728"/>
                    </a:xfrm>
                    <a:prstGeom prst="rect">
                      <a:avLst/>
                    </a:prstGeom>
                  </pic:spPr>
                </pic:pic>
              </a:graphicData>
            </a:graphic>
          </wp:inline>
        </w:drawing>
      </w:r>
    </w:p>
    <w:p>
      <w:pPr>
        <w:jc w:val="center"/>
        <w:rPr>
          <w:rFonts w:ascii="Times New Roman" w:hAnsi="Times New Roman" w:eastAsia="仿宋_GB2312" w:cs="Times New Roman"/>
          <w:sz w:val="32"/>
          <w:szCs w:val="36"/>
        </w:rPr>
      </w:pPr>
      <w:r>
        <w:rPr>
          <w:rFonts w:hint="eastAsia" w:ascii="Times New Roman" w:hAnsi="Times New Roman" w:eastAsia="仿宋_GB2312" w:cs="Times New Roman"/>
          <w:sz w:val="32"/>
          <w:szCs w:val="36"/>
        </w:rPr>
        <w:t>附图5</w:t>
      </w:r>
      <w:r>
        <w:rPr>
          <w:rFonts w:ascii="Times New Roman" w:hAnsi="Times New Roman" w:eastAsia="仿宋_GB2312" w:cs="Times New Roman"/>
          <w:sz w:val="32"/>
          <w:szCs w:val="36"/>
        </w:rPr>
        <w:t xml:space="preserve">-9 </w:t>
      </w:r>
      <w:r>
        <w:rPr>
          <w:rFonts w:hint="eastAsia" w:ascii="Times New Roman" w:hAnsi="Times New Roman" w:eastAsia="仿宋_GB2312" w:cs="Times New Roman"/>
          <w:sz w:val="32"/>
          <w:szCs w:val="36"/>
        </w:rPr>
        <w:t>海宁红宝热电有限公司与浙江泰亿能源有限公司供热管网互通方案</w:t>
      </w:r>
    </w:p>
    <w:p>
      <w:pPr>
        <w:rPr>
          <w:rFonts w:ascii="Times New Roman" w:hAnsi="Times New Roman" w:eastAsia="仿宋_GB2312" w:cs="Times New Roman"/>
          <w:sz w:val="32"/>
          <w:szCs w:val="36"/>
        </w:rPr>
        <w:sectPr>
          <w:pgSz w:w="16838" w:h="11906" w:orient="landscape"/>
          <w:pgMar w:top="720" w:right="720" w:bottom="720" w:left="720" w:header="851" w:footer="992" w:gutter="0"/>
          <w:cols w:space="425" w:num="1"/>
          <w:docGrid w:type="lines" w:linePitch="312" w:charSpace="0"/>
        </w:sectPr>
      </w:pPr>
    </w:p>
    <w:p>
      <w:pPr>
        <w:pStyle w:val="2"/>
      </w:pPr>
      <w:bookmarkStart w:id="623" w:name="_Toc188636986"/>
      <w:bookmarkStart w:id="624" w:name="_Toc139377228"/>
      <w:bookmarkStart w:id="625" w:name="_Toc136514799"/>
      <w:bookmarkStart w:id="626" w:name="_Toc110677142"/>
      <w:bookmarkStart w:id="627" w:name="_Toc110595680"/>
      <w:bookmarkStart w:id="628" w:name="_Toc111226001"/>
      <w:bookmarkStart w:id="629" w:name="_Toc82546974"/>
      <w:r>
        <w:rPr>
          <w:rFonts w:hint="eastAsia"/>
        </w:rPr>
        <w:t>附件</w:t>
      </w:r>
      <w:r>
        <w:t xml:space="preserve">1 </w:t>
      </w:r>
      <w:r>
        <w:rPr>
          <w:rFonts w:hint="eastAsia"/>
        </w:rPr>
        <w:t>能耗平衡方案</w:t>
      </w:r>
      <w:bookmarkEnd w:id="623"/>
    </w:p>
    <w:p>
      <w:pPr>
        <w:jc w:val="center"/>
      </w:pPr>
      <w:r>
        <w:rPr>
          <w:rFonts w:hint="eastAsia"/>
        </w:rPr>
        <w:drawing>
          <wp:inline distT="0" distB="0" distL="114300" distR="114300">
            <wp:extent cx="5159375" cy="7306310"/>
            <wp:effectExtent l="0" t="0" r="9525" b="8890"/>
            <wp:docPr id="19" name="图片 19" descr="270803d413764b1b18d1313f46060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70803d413764b1b18d1313f46060c40"/>
                    <pic:cNvPicPr>
                      <a:picLocks noChangeAspect="1"/>
                    </pic:cNvPicPr>
                  </pic:nvPicPr>
                  <pic:blipFill>
                    <a:blip r:embed="rId28"/>
                    <a:stretch>
                      <a:fillRect/>
                    </a:stretch>
                  </pic:blipFill>
                  <pic:spPr>
                    <a:xfrm>
                      <a:off x="0" y="0"/>
                      <a:ext cx="5159375" cy="7306310"/>
                    </a:xfrm>
                    <a:prstGeom prst="rect">
                      <a:avLst/>
                    </a:prstGeom>
                  </pic:spPr>
                </pic:pic>
              </a:graphicData>
            </a:graphic>
          </wp:inline>
        </w:drawing>
      </w:r>
    </w:p>
    <w:p/>
    <w:p/>
    <w:p>
      <w:pPr>
        <w:jc w:val="center"/>
        <w:sectPr>
          <w:pgSz w:w="11906" w:h="16838"/>
          <w:pgMar w:top="1474" w:right="1588" w:bottom="1701" w:left="1588" w:header="851" w:footer="992" w:gutter="0"/>
          <w:cols w:space="425" w:num="1"/>
          <w:docGrid w:type="lines" w:linePitch="312" w:charSpace="0"/>
        </w:sectPr>
      </w:pPr>
    </w:p>
    <w:p>
      <w:pPr>
        <w:pStyle w:val="2"/>
      </w:pPr>
      <w:bookmarkStart w:id="630" w:name="_Toc188636987"/>
      <w:r>
        <w:rPr>
          <w:rFonts w:hint="eastAsia"/>
        </w:rPr>
        <w:t>附件</w:t>
      </w:r>
      <w:r>
        <w:t xml:space="preserve">2 </w:t>
      </w:r>
      <w:r>
        <w:rPr>
          <w:rFonts w:hint="eastAsia"/>
        </w:rPr>
        <w:t>煤耗平衡方案</w:t>
      </w:r>
      <w:bookmarkEnd w:id="630"/>
    </w:p>
    <w:p>
      <w:pPr>
        <w:jc w:val="center"/>
      </w:pPr>
      <w:r>
        <w:drawing>
          <wp:inline distT="0" distB="0" distL="0" distR="0">
            <wp:extent cx="5274310" cy="7574915"/>
            <wp:effectExtent l="0" t="0" r="254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9"/>
                    <a:stretch>
                      <a:fillRect/>
                    </a:stretch>
                  </pic:blipFill>
                  <pic:spPr>
                    <a:xfrm>
                      <a:off x="0" y="0"/>
                      <a:ext cx="5274310" cy="7574915"/>
                    </a:xfrm>
                    <a:prstGeom prst="rect">
                      <a:avLst/>
                    </a:prstGeom>
                  </pic:spPr>
                </pic:pic>
              </a:graphicData>
            </a:graphic>
          </wp:inline>
        </w:drawing>
      </w:r>
    </w:p>
    <w:p>
      <w:pPr>
        <w:jc w:val="center"/>
      </w:pPr>
    </w:p>
    <w:p>
      <w:pPr>
        <w:pStyle w:val="2"/>
      </w:pPr>
      <w:bookmarkStart w:id="631" w:name="_Toc188636988"/>
      <w:r>
        <w:rPr>
          <w:rFonts w:hint="eastAsia"/>
        </w:rPr>
        <w:t>附件</w:t>
      </w:r>
      <w:bookmarkEnd w:id="624"/>
      <w:bookmarkEnd w:id="625"/>
      <w:r>
        <w:t xml:space="preserve">3 </w:t>
      </w:r>
      <w:r>
        <w:rPr>
          <w:rFonts w:hint="eastAsia"/>
        </w:rPr>
        <w:t>《浙江省经济和信息化委员会关于同意海宁市集中供热规划（2</w:t>
      </w:r>
      <w:r>
        <w:t>015-2025</w:t>
      </w:r>
      <w:r>
        <w:rPr>
          <w:rFonts w:hint="eastAsia"/>
        </w:rPr>
        <w:t>）的批复》</w:t>
      </w:r>
      <w:bookmarkEnd w:id="631"/>
    </w:p>
    <w:p>
      <w:pPr>
        <w:rPr>
          <w:rFonts w:ascii="宋体" w:hAnsi="宋体"/>
          <w:sz w:val="24"/>
        </w:rPr>
      </w:pPr>
      <w:r>
        <w:rPr>
          <w:rFonts w:hint="eastAsia" w:ascii="宋体" w:hAnsi="宋体"/>
          <w:sz w:val="24"/>
        </w:rPr>
        <w:drawing>
          <wp:inline distT="0" distB="0" distL="0" distR="0">
            <wp:extent cx="5328285" cy="7528560"/>
            <wp:effectExtent l="0" t="0" r="5715" b="0"/>
            <wp:docPr id="7" name="图片 7" descr="2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20001"/>
                    <pic:cNvPicPr>
                      <a:picLocks noChangeAspect="1" noChangeArrowheads="1"/>
                    </pic:cNvPicPr>
                  </pic:nvPicPr>
                  <pic:blipFill>
                    <a:blip r:embed="rId30"/>
                    <a:srcRect/>
                    <a:stretch>
                      <a:fillRect/>
                    </a:stretch>
                  </pic:blipFill>
                  <pic:spPr>
                    <a:xfrm>
                      <a:off x="0" y="0"/>
                      <a:ext cx="5332440" cy="7533677"/>
                    </a:xfrm>
                    <a:prstGeom prst="rect">
                      <a:avLst/>
                    </a:prstGeom>
                    <a:noFill/>
                    <a:ln>
                      <a:noFill/>
                    </a:ln>
                  </pic:spPr>
                </pic:pic>
              </a:graphicData>
            </a:graphic>
          </wp:inline>
        </w:drawing>
      </w:r>
    </w:p>
    <w:p>
      <w:pPr>
        <w:rPr>
          <w:rFonts w:ascii="宋体" w:hAnsi="宋体"/>
          <w:sz w:val="24"/>
        </w:rPr>
      </w:pPr>
      <w:r>
        <w:rPr>
          <w:rFonts w:hint="eastAsia" w:ascii="宋体" w:hAnsi="宋体"/>
          <w:sz w:val="24"/>
        </w:rPr>
        <w:drawing>
          <wp:inline distT="0" distB="0" distL="0" distR="0">
            <wp:extent cx="5391150" cy="7625080"/>
            <wp:effectExtent l="0" t="0" r="0" b="0"/>
            <wp:docPr id="6" name="图片 6" descr="2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0002"/>
                    <pic:cNvPicPr>
                      <a:picLocks noChangeAspect="1" noChangeArrowheads="1"/>
                    </pic:cNvPicPr>
                  </pic:nvPicPr>
                  <pic:blipFill>
                    <a:blip r:embed="rId31"/>
                    <a:srcRect/>
                    <a:stretch>
                      <a:fillRect/>
                    </a:stretch>
                  </pic:blipFill>
                  <pic:spPr>
                    <a:xfrm>
                      <a:off x="0" y="0"/>
                      <a:ext cx="5394203" cy="7629254"/>
                    </a:xfrm>
                    <a:prstGeom prst="rect">
                      <a:avLst/>
                    </a:prstGeom>
                    <a:noFill/>
                    <a:ln>
                      <a:noFill/>
                    </a:ln>
                  </pic:spPr>
                </pic:pic>
              </a:graphicData>
            </a:graphic>
          </wp:inline>
        </w:drawing>
      </w:r>
    </w:p>
    <w:p>
      <w:pPr>
        <w:rPr>
          <w:rFonts w:ascii="宋体" w:hAnsi="宋体"/>
          <w:sz w:val="24"/>
        </w:rPr>
      </w:pPr>
      <w:r>
        <w:rPr>
          <w:rFonts w:hint="eastAsia" w:ascii="宋体" w:hAnsi="宋体"/>
          <w:sz w:val="24"/>
        </w:rPr>
        <w:drawing>
          <wp:inline distT="0" distB="0" distL="0" distR="0">
            <wp:extent cx="5329555" cy="7512050"/>
            <wp:effectExtent l="0" t="0" r="4445" b="0"/>
            <wp:docPr id="5" name="图片 5" descr="2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0003"/>
                    <pic:cNvPicPr>
                      <a:picLocks noChangeAspect="1" noChangeArrowheads="1"/>
                    </pic:cNvPicPr>
                  </pic:nvPicPr>
                  <pic:blipFill>
                    <a:blip r:embed="rId32"/>
                    <a:srcRect/>
                    <a:stretch>
                      <a:fillRect/>
                    </a:stretch>
                  </pic:blipFill>
                  <pic:spPr>
                    <a:xfrm>
                      <a:off x="0" y="0"/>
                      <a:ext cx="5334664" cy="7519026"/>
                    </a:xfrm>
                    <a:prstGeom prst="rect">
                      <a:avLst/>
                    </a:prstGeom>
                    <a:noFill/>
                    <a:ln>
                      <a:noFill/>
                    </a:ln>
                  </pic:spPr>
                </pic:pic>
              </a:graphicData>
            </a:graphic>
          </wp:inline>
        </w:drawing>
      </w:r>
    </w:p>
    <w:p>
      <w:pPr>
        <w:rPr>
          <w:rFonts w:ascii="宋体" w:hAnsi="宋体"/>
          <w:sz w:val="24"/>
        </w:rPr>
      </w:pPr>
      <w:r>
        <w:rPr>
          <w:rFonts w:hint="eastAsia" w:ascii="宋体" w:hAnsi="宋体"/>
          <w:sz w:val="24"/>
        </w:rPr>
        <w:drawing>
          <wp:inline distT="0" distB="0" distL="0" distR="0">
            <wp:extent cx="5416550" cy="7632700"/>
            <wp:effectExtent l="0" t="0" r="0" b="6350"/>
            <wp:docPr id="4" name="图片 4" descr="2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0004"/>
                    <pic:cNvPicPr>
                      <a:picLocks noChangeAspect="1" noChangeArrowheads="1"/>
                    </pic:cNvPicPr>
                  </pic:nvPicPr>
                  <pic:blipFill>
                    <a:blip r:embed="rId33"/>
                    <a:srcRect/>
                    <a:stretch>
                      <a:fillRect/>
                    </a:stretch>
                  </pic:blipFill>
                  <pic:spPr>
                    <a:xfrm>
                      <a:off x="0" y="0"/>
                      <a:ext cx="5418495" cy="7634946"/>
                    </a:xfrm>
                    <a:prstGeom prst="rect">
                      <a:avLst/>
                    </a:prstGeom>
                    <a:noFill/>
                    <a:ln>
                      <a:noFill/>
                    </a:ln>
                  </pic:spPr>
                </pic:pic>
              </a:graphicData>
            </a:graphic>
          </wp:inline>
        </w:drawing>
      </w:r>
    </w:p>
    <w:p>
      <w:pPr>
        <w:rPr>
          <w:rFonts w:ascii="宋体" w:hAnsi="宋体"/>
          <w:sz w:val="24"/>
        </w:rPr>
      </w:pPr>
      <w:r>
        <w:rPr>
          <w:rFonts w:hint="eastAsia" w:ascii="宋体" w:hAnsi="宋体"/>
          <w:sz w:val="24"/>
        </w:rPr>
        <w:drawing>
          <wp:inline distT="0" distB="0" distL="0" distR="0">
            <wp:extent cx="5367020" cy="7576185"/>
            <wp:effectExtent l="0" t="0" r="5080" b="5715"/>
            <wp:docPr id="3" name="图片 3" descr="2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0005"/>
                    <pic:cNvPicPr>
                      <a:picLocks noChangeAspect="1" noChangeArrowheads="1"/>
                    </pic:cNvPicPr>
                  </pic:nvPicPr>
                  <pic:blipFill>
                    <a:blip r:embed="rId34"/>
                    <a:srcRect/>
                    <a:stretch>
                      <a:fillRect/>
                    </a:stretch>
                  </pic:blipFill>
                  <pic:spPr>
                    <a:xfrm>
                      <a:off x="0" y="0"/>
                      <a:ext cx="5370562" cy="7580677"/>
                    </a:xfrm>
                    <a:prstGeom prst="rect">
                      <a:avLst/>
                    </a:prstGeom>
                    <a:noFill/>
                    <a:ln>
                      <a:noFill/>
                    </a:ln>
                  </pic:spPr>
                </pic:pic>
              </a:graphicData>
            </a:graphic>
          </wp:inline>
        </w:drawing>
      </w:r>
    </w:p>
    <w:p>
      <w:pPr>
        <w:rPr>
          <w:rFonts w:ascii="宋体" w:hAnsi="宋体"/>
          <w:sz w:val="24"/>
        </w:rPr>
      </w:pPr>
      <w:r>
        <w:rPr>
          <w:rFonts w:hint="eastAsia" w:ascii="宋体" w:hAnsi="宋体"/>
          <w:sz w:val="24"/>
        </w:rPr>
        <w:drawing>
          <wp:inline distT="0" distB="0" distL="0" distR="0">
            <wp:extent cx="5461635" cy="7385685"/>
            <wp:effectExtent l="0" t="0" r="5715" b="5715"/>
            <wp:docPr id="2" name="图片 2" descr="2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0006"/>
                    <pic:cNvPicPr>
                      <a:picLocks noChangeAspect="1" noChangeArrowheads="1"/>
                    </pic:cNvPicPr>
                  </pic:nvPicPr>
                  <pic:blipFill>
                    <a:blip r:embed="rId35"/>
                    <a:srcRect b="1520"/>
                    <a:stretch>
                      <a:fillRect/>
                    </a:stretch>
                  </pic:blipFill>
                  <pic:spPr>
                    <a:xfrm>
                      <a:off x="0" y="0"/>
                      <a:ext cx="5464160" cy="7389098"/>
                    </a:xfrm>
                    <a:prstGeom prst="rect">
                      <a:avLst/>
                    </a:prstGeom>
                    <a:noFill/>
                    <a:ln>
                      <a:noFill/>
                    </a:ln>
                  </pic:spPr>
                </pic:pic>
              </a:graphicData>
            </a:graphic>
          </wp:inline>
        </w:drawing>
      </w:r>
    </w:p>
    <w:p>
      <w:pPr>
        <w:spacing w:line="580" w:lineRule="exact"/>
        <w:ind w:firstLine="556"/>
        <w:rPr>
          <w:rFonts w:ascii="Times New Roman" w:hAnsi="宋体" w:eastAsia="仿宋_GB2312" w:cs="Times New Roman"/>
          <w:bCs/>
          <w:sz w:val="28"/>
          <w:szCs w:val="32"/>
        </w:rPr>
      </w:pPr>
    </w:p>
    <w:p>
      <w:pPr>
        <w:spacing w:line="580" w:lineRule="exact"/>
        <w:ind w:firstLine="556"/>
        <w:rPr>
          <w:rFonts w:ascii="Times New Roman" w:hAnsi="宋体" w:eastAsia="仿宋_GB2312" w:cs="Times New Roman"/>
          <w:bCs/>
          <w:sz w:val="28"/>
          <w:szCs w:val="32"/>
        </w:rPr>
        <w:sectPr>
          <w:pgSz w:w="11906" w:h="16838"/>
          <w:pgMar w:top="1440" w:right="1800" w:bottom="1440" w:left="1800" w:header="851" w:footer="992" w:gutter="0"/>
          <w:cols w:space="425" w:num="1"/>
          <w:docGrid w:type="lines" w:linePitch="312" w:charSpace="0"/>
        </w:sectPr>
      </w:pPr>
    </w:p>
    <w:bookmarkEnd w:id="626"/>
    <w:bookmarkEnd w:id="627"/>
    <w:bookmarkEnd w:id="628"/>
    <w:bookmarkEnd w:id="629"/>
    <w:p>
      <w:pPr>
        <w:pStyle w:val="2"/>
      </w:pPr>
      <w:bookmarkStart w:id="632" w:name="_Toc188636989"/>
      <w:r>
        <w:rPr>
          <w:rFonts w:hint="eastAsia"/>
        </w:rPr>
        <w:t>附件</w:t>
      </w:r>
      <w:r>
        <w:t xml:space="preserve">4 </w:t>
      </w:r>
      <w:r>
        <w:rPr>
          <w:rFonts w:hint="eastAsia"/>
        </w:rPr>
        <w:t>《</w:t>
      </w:r>
      <w:r>
        <w:t>关于海宁恒逸热电有限公司热电联产一期项目核准的批复</w:t>
      </w:r>
      <w:r>
        <w:rPr>
          <w:rFonts w:hint="eastAsia"/>
        </w:rPr>
        <w:t>》</w:t>
      </w:r>
      <w:bookmarkEnd w:id="632"/>
    </w:p>
    <w:p>
      <w:pPr>
        <w:jc w:val="center"/>
      </w:pPr>
      <w:r>
        <w:drawing>
          <wp:inline distT="0" distB="0" distL="0" distR="0">
            <wp:extent cx="5008245" cy="7343775"/>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a:stretch>
                      <a:fillRect/>
                    </a:stretch>
                  </pic:blipFill>
                  <pic:spPr>
                    <a:xfrm>
                      <a:off x="0" y="0"/>
                      <a:ext cx="5013635" cy="7351600"/>
                    </a:xfrm>
                    <a:prstGeom prst="rect">
                      <a:avLst/>
                    </a:prstGeom>
                  </pic:spPr>
                </pic:pic>
              </a:graphicData>
            </a:graphic>
          </wp:inline>
        </w:drawing>
      </w:r>
      <w:r>
        <w:t xml:space="preserve"> </w:t>
      </w:r>
      <w:r>
        <w:drawing>
          <wp:inline distT="0" distB="0" distL="0" distR="0">
            <wp:extent cx="5343525" cy="76104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7"/>
                    <a:stretch>
                      <a:fillRect/>
                    </a:stretch>
                  </pic:blipFill>
                  <pic:spPr>
                    <a:xfrm>
                      <a:off x="0" y="0"/>
                      <a:ext cx="5343525" cy="7610475"/>
                    </a:xfrm>
                    <a:prstGeom prst="rect">
                      <a:avLst/>
                    </a:prstGeom>
                  </pic:spPr>
                </pic:pic>
              </a:graphicData>
            </a:graphic>
          </wp:inline>
        </w:drawing>
      </w:r>
      <w:r>
        <w:t xml:space="preserve"> </w:t>
      </w:r>
      <w:r>
        <w:drawing>
          <wp:inline distT="0" distB="0" distL="0" distR="0">
            <wp:extent cx="5076825" cy="76009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8"/>
                    <a:stretch>
                      <a:fillRect/>
                    </a:stretch>
                  </pic:blipFill>
                  <pic:spPr>
                    <a:xfrm>
                      <a:off x="0" y="0"/>
                      <a:ext cx="5076825" cy="7600950"/>
                    </a:xfrm>
                    <a:prstGeom prst="rect">
                      <a:avLst/>
                    </a:prstGeom>
                  </pic:spPr>
                </pic:pic>
              </a:graphicData>
            </a:graphic>
          </wp:inline>
        </w:drawing>
      </w:r>
      <w:r>
        <w:t xml:space="preserve"> </w:t>
      </w:r>
      <w:r>
        <w:drawing>
          <wp:inline distT="0" distB="0" distL="0" distR="0">
            <wp:extent cx="5267325" cy="75628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9"/>
                    <a:stretch>
                      <a:fillRect/>
                    </a:stretch>
                  </pic:blipFill>
                  <pic:spPr>
                    <a:xfrm>
                      <a:off x="0" y="0"/>
                      <a:ext cx="5267325" cy="7562850"/>
                    </a:xfrm>
                    <a:prstGeom prst="rect">
                      <a:avLst/>
                    </a:prstGeom>
                  </pic:spPr>
                </pic:pic>
              </a:graphicData>
            </a:graphic>
          </wp:inline>
        </w:drawing>
      </w:r>
    </w:p>
    <w:p>
      <w:pPr>
        <w:jc w:val="center"/>
        <w:sectPr>
          <w:pgSz w:w="11906" w:h="16838"/>
          <w:pgMar w:top="1474" w:right="1588" w:bottom="1701" w:left="1588" w:header="851" w:footer="992" w:gutter="0"/>
          <w:cols w:space="425" w:num="1"/>
          <w:docGrid w:type="lines" w:linePitch="312" w:charSpace="0"/>
        </w:sectPr>
      </w:pPr>
    </w:p>
    <w:p>
      <w:pPr>
        <w:pStyle w:val="2"/>
      </w:pPr>
      <w:bookmarkStart w:id="633" w:name="_Toc188636990"/>
      <w:r>
        <w:rPr>
          <w:rFonts w:hint="eastAsia"/>
        </w:rPr>
        <w:t>附件</w:t>
      </w:r>
      <w:r>
        <w:t xml:space="preserve">5 </w:t>
      </w:r>
      <w:r>
        <w:rPr>
          <w:rFonts w:hint="eastAsia"/>
        </w:rPr>
        <w:t>《关于浙江泰亿能源有限公司热电联产项目核准的批复》</w:t>
      </w:r>
      <w:bookmarkEnd w:id="633"/>
    </w:p>
    <w:p>
      <w:pPr>
        <w:jc w:val="center"/>
        <w:sectPr>
          <w:pgSz w:w="11906" w:h="16838"/>
          <w:pgMar w:top="1474" w:right="1588" w:bottom="1701" w:left="1588" w:header="851" w:footer="992" w:gutter="0"/>
          <w:cols w:space="425" w:num="1"/>
          <w:docGrid w:type="lines" w:linePitch="312" w:charSpace="0"/>
        </w:sectPr>
      </w:pPr>
      <w:r>
        <w:drawing>
          <wp:inline distT="0" distB="0" distL="0" distR="0">
            <wp:extent cx="5543550" cy="7334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0"/>
                    <a:stretch>
                      <a:fillRect/>
                    </a:stretch>
                  </pic:blipFill>
                  <pic:spPr>
                    <a:xfrm>
                      <a:off x="0" y="0"/>
                      <a:ext cx="5543550" cy="7334250"/>
                    </a:xfrm>
                    <a:prstGeom prst="rect">
                      <a:avLst/>
                    </a:prstGeom>
                  </pic:spPr>
                </pic:pic>
              </a:graphicData>
            </a:graphic>
          </wp:inline>
        </w:drawing>
      </w:r>
      <w:r>
        <w:t xml:space="preserve"> </w:t>
      </w:r>
      <w:r>
        <w:drawing>
          <wp:inline distT="0" distB="0" distL="0" distR="0">
            <wp:extent cx="5543550" cy="72205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1"/>
                    <a:stretch>
                      <a:fillRect/>
                    </a:stretch>
                  </pic:blipFill>
                  <pic:spPr>
                    <a:xfrm>
                      <a:off x="0" y="0"/>
                      <a:ext cx="5543550" cy="7220585"/>
                    </a:xfrm>
                    <a:prstGeom prst="rect">
                      <a:avLst/>
                    </a:prstGeom>
                  </pic:spPr>
                </pic:pic>
              </a:graphicData>
            </a:graphic>
          </wp:inline>
        </w:drawing>
      </w:r>
      <w:r>
        <w:t xml:space="preserve"> </w:t>
      </w:r>
      <w:r>
        <w:drawing>
          <wp:inline distT="0" distB="0" distL="0" distR="0">
            <wp:extent cx="5514975" cy="78009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2"/>
                    <a:stretch>
                      <a:fillRect/>
                    </a:stretch>
                  </pic:blipFill>
                  <pic:spPr>
                    <a:xfrm>
                      <a:off x="0" y="0"/>
                      <a:ext cx="5514975" cy="7800975"/>
                    </a:xfrm>
                    <a:prstGeom prst="rect">
                      <a:avLst/>
                    </a:prstGeom>
                  </pic:spPr>
                </pic:pic>
              </a:graphicData>
            </a:graphic>
          </wp:inline>
        </w:drawing>
      </w:r>
      <w:r>
        <w:t xml:space="preserve"> </w:t>
      </w:r>
      <w:r>
        <w:drawing>
          <wp:inline distT="0" distB="0" distL="0" distR="0">
            <wp:extent cx="5543550" cy="75514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3"/>
                    <a:stretch>
                      <a:fillRect/>
                    </a:stretch>
                  </pic:blipFill>
                  <pic:spPr>
                    <a:xfrm>
                      <a:off x="0" y="0"/>
                      <a:ext cx="5543550" cy="7551420"/>
                    </a:xfrm>
                    <a:prstGeom prst="rect">
                      <a:avLst/>
                    </a:prstGeom>
                  </pic:spPr>
                </pic:pic>
              </a:graphicData>
            </a:graphic>
          </wp:inline>
        </w:drawing>
      </w:r>
    </w:p>
    <w:p>
      <w:pPr>
        <w:pStyle w:val="2"/>
      </w:pPr>
      <w:bookmarkStart w:id="634" w:name="_Toc188636991"/>
      <w:r>
        <w:rPr>
          <w:rFonts w:hint="eastAsia"/>
        </w:rPr>
        <w:t>附件</w:t>
      </w:r>
      <w:r>
        <w:t xml:space="preserve">6 </w:t>
      </w:r>
      <w:r>
        <w:rPr>
          <w:rFonts w:hint="eastAsia"/>
        </w:rPr>
        <w:t>《关于海宁市红宝热电有限公司等容量改造提升项目核准的批复》</w:t>
      </w:r>
      <w:bookmarkEnd w:id="634"/>
    </w:p>
    <w:p>
      <w:pPr>
        <w:jc w:val="center"/>
      </w:pPr>
      <w:r>
        <w:drawing>
          <wp:inline distT="0" distB="0" distL="0" distR="0">
            <wp:extent cx="4829175" cy="69818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4"/>
                    <a:stretch>
                      <a:fillRect/>
                    </a:stretch>
                  </pic:blipFill>
                  <pic:spPr>
                    <a:xfrm>
                      <a:off x="0" y="0"/>
                      <a:ext cx="4829175" cy="6981825"/>
                    </a:xfrm>
                    <a:prstGeom prst="rect">
                      <a:avLst/>
                    </a:prstGeom>
                  </pic:spPr>
                </pic:pic>
              </a:graphicData>
            </a:graphic>
          </wp:inline>
        </w:drawing>
      </w:r>
      <w:r>
        <w:t xml:space="preserve"> </w:t>
      </w:r>
      <w:r>
        <w:drawing>
          <wp:inline distT="0" distB="0" distL="0" distR="0">
            <wp:extent cx="4610100" cy="64770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5"/>
                    <a:stretch>
                      <a:fillRect/>
                    </a:stretch>
                  </pic:blipFill>
                  <pic:spPr>
                    <a:xfrm>
                      <a:off x="0" y="0"/>
                      <a:ext cx="4610100" cy="6477000"/>
                    </a:xfrm>
                    <a:prstGeom prst="rect">
                      <a:avLst/>
                    </a:prstGeom>
                  </pic:spPr>
                </pic:pic>
              </a:graphicData>
            </a:graphic>
          </wp:inline>
        </w:drawing>
      </w:r>
      <w:r>
        <w:t xml:space="preserve"> </w:t>
      </w:r>
      <w:r>
        <w:drawing>
          <wp:inline distT="0" distB="0" distL="0" distR="0">
            <wp:extent cx="4800600" cy="69913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6"/>
                    <a:stretch>
                      <a:fillRect/>
                    </a:stretch>
                  </pic:blipFill>
                  <pic:spPr>
                    <a:xfrm>
                      <a:off x="0" y="0"/>
                      <a:ext cx="4800600" cy="6991350"/>
                    </a:xfrm>
                    <a:prstGeom prst="rect">
                      <a:avLst/>
                    </a:prstGeom>
                  </pic:spPr>
                </pic:pic>
              </a:graphicData>
            </a:graphic>
          </wp:inline>
        </w:drawing>
      </w:r>
    </w:p>
    <w:p>
      <w:pPr>
        <w:jc w:val="center"/>
      </w:pPr>
    </w:p>
    <w:p>
      <w:pPr>
        <w:pStyle w:val="53"/>
        <w:ind w:firstLine="0" w:firstLineChars="0"/>
      </w:pPr>
    </w:p>
    <w:p>
      <w:pPr>
        <w:pStyle w:val="2"/>
      </w:pPr>
      <w:bookmarkStart w:id="635" w:name="_Toc188636992"/>
      <w:r>
        <w:rPr>
          <w:rFonts w:hint="eastAsia"/>
        </w:rPr>
        <w:t>附件</w:t>
      </w:r>
      <w:r>
        <w:t xml:space="preserve">7 </w:t>
      </w:r>
      <w:r>
        <w:rPr>
          <w:rFonts w:hint="eastAsia"/>
        </w:rPr>
        <w:t>《关于同意海宁红宝热电有限公司搬迁规划方案的说明》</w:t>
      </w:r>
      <w:bookmarkEnd w:id="635"/>
    </w:p>
    <w:p>
      <w:pPr>
        <w:jc w:val="center"/>
      </w:pPr>
      <w:r>
        <w:drawing>
          <wp:inline distT="0" distB="0" distL="0" distR="0">
            <wp:extent cx="5543550" cy="63309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7"/>
                    <a:stretch>
                      <a:fillRect/>
                    </a:stretch>
                  </pic:blipFill>
                  <pic:spPr>
                    <a:xfrm>
                      <a:off x="0" y="0"/>
                      <a:ext cx="5543550" cy="6330950"/>
                    </a:xfrm>
                    <a:prstGeom prst="rect">
                      <a:avLst/>
                    </a:prstGeom>
                  </pic:spPr>
                </pic:pic>
              </a:graphicData>
            </a:graphic>
          </wp:inline>
        </w:drawing>
      </w:r>
      <w:r>
        <w:t xml:space="preserve"> </w:t>
      </w:r>
      <w:r>
        <w:drawing>
          <wp:inline distT="0" distB="0" distL="0" distR="0">
            <wp:extent cx="4657725" cy="5476875"/>
            <wp:effectExtent l="0" t="0" r="9525"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8"/>
                    <a:stretch>
                      <a:fillRect/>
                    </a:stretch>
                  </pic:blipFill>
                  <pic:spPr>
                    <a:xfrm>
                      <a:off x="0" y="0"/>
                      <a:ext cx="4657725" cy="5476875"/>
                    </a:xfrm>
                    <a:prstGeom prst="rect">
                      <a:avLst/>
                    </a:prstGeom>
                  </pic:spPr>
                </pic:pic>
              </a:graphicData>
            </a:graphic>
          </wp:inline>
        </w:drawing>
      </w:r>
    </w:p>
    <w:p>
      <w:pPr>
        <w:jc w:val="center"/>
      </w:pPr>
    </w:p>
    <w:p>
      <w:pPr>
        <w:jc w:val="center"/>
      </w:pPr>
    </w:p>
    <w:p>
      <w:pPr>
        <w:jc w:val="center"/>
        <w:sectPr>
          <w:pgSz w:w="11906" w:h="16838"/>
          <w:pgMar w:top="1474" w:right="1588" w:bottom="1701" w:left="1588" w:header="851" w:footer="992" w:gutter="0"/>
          <w:cols w:space="425" w:num="1"/>
          <w:docGrid w:type="lines" w:linePitch="312" w:charSpace="0"/>
        </w:sectPr>
      </w:pPr>
    </w:p>
    <w:p>
      <w:pPr>
        <w:pStyle w:val="2"/>
      </w:pPr>
      <w:bookmarkStart w:id="636" w:name="_Toc188636993"/>
      <w:r>
        <w:rPr>
          <w:rFonts w:hint="eastAsia"/>
        </w:rPr>
        <w:t>附件</w:t>
      </w:r>
      <w:r>
        <w:t xml:space="preserve">8 </w:t>
      </w:r>
      <w:r>
        <w:rPr>
          <w:rFonts w:hint="eastAsia"/>
        </w:rPr>
        <w:t>《关于同意新增尖山新区第二公共热源点规划方案的说明》</w:t>
      </w:r>
      <w:bookmarkEnd w:id="636"/>
    </w:p>
    <w:p>
      <w:r>
        <w:drawing>
          <wp:inline distT="0" distB="0" distL="0" distR="0">
            <wp:extent cx="5543550" cy="7289800"/>
            <wp:effectExtent l="0" t="0" r="0" b="635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9"/>
                    <a:stretch>
                      <a:fillRect/>
                    </a:stretch>
                  </pic:blipFill>
                  <pic:spPr>
                    <a:xfrm>
                      <a:off x="0" y="0"/>
                      <a:ext cx="5543550" cy="7289800"/>
                    </a:xfrm>
                    <a:prstGeom prst="rect">
                      <a:avLst/>
                    </a:prstGeom>
                  </pic:spPr>
                </pic:pic>
              </a:graphicData>
            </a:graphic>
          </wp:inline>
        </w:drawing>
      </w:r>
    </w:p>
    <w:p/>
    <w:p>
      <w:pPr>
        <w:jc w:val="center"/>
        <w:sectPr>
          <w:pgSz w:w="11906" w:h="16838"/>
          <w:pgMar w:top="1474" w:right="1588" w:bottom="1701" w:left="1588" w:header="851" w:footer="992" w:gutter="0"/>
          <w:cols w:space="425" w:num="1"/>
          <w:docGrid w:type="lines" w:linePitch="312" w:charSpace="0"/>
        </w:sectPr>
      </w:pPr>
    </w:p>
    <w:p>
      <w:pPr>
        <w:pStyle w:val="2"/>
      </w:pPr>
      <w:bookmarkStart w:id="637" w:name="_Toc188636994"/>
      <w:r>
        <w:rPr>
          <w:rFonts w:hint="eastAsia"/>
        </w:rPr>
        <w:t>附件</w:t>
      </w:r>
      <w:r>
        <w:t xml:space="preserve">9 </w:t>
      </w:r>
      <w:r>
        <w:rPr>
          <w:rFonts w:hint="eastAsia"/>
        </w:rPr>
        <w:t>海宁恒逸热电有限公司8</w:t>
      </w:r>
      <w:r>
        <w:t>0</w:t>
      </w:r>
      <w:r>
        <w:rPr>
          <w:rFonts w:hint="eastAsia"/>
        </w:rPr>
        <w:t>t</w:t>
      </w:r>
      <w:r>
        <w:t>/h</w:t>
      </w:r>
      <w:r>
        <w:rPr>
          <w:rFonts w:hint="eastAsia"/>
        </w:rPr>
        <w:t>锅炉停用报废注销登记表</w:t>
      </w:r>
      <w:bookmarkEnd w:id="637"/>
    </w:p>
    <w:p>
      <w:pPr>
        <w:jc w:val="center"/>
        <w:sectPr>
          <w:pgSz w:w="11906" w:h="16838"/>
          <w:pgMar w:top="1474" w:right="1588" w:bottom="1701" w:left="1588" w:header="851" w:footer="992" w:gutter="0"/>
          <w:cols w:space="425" w:num="1"/>
          <w:docGrid w:type="lines" w:linePitch="312" w:charSpace="0"/>
        </w:sectPr>
      </w:pPr>
      <w:r>
        <w:drawing>
          <wp:inline distT="0" distB="0" distL="0" distR="0">
            <wp:extent cx="4952365" cy="8231505"/>
            <wp:effectExtent l="0" t="0" r="635" b="0"/>
            <wp:docPr id="16" name="图片 16" descr="D:\2 software\微信\数据库\WeChat Files\q413138279\FileStorage\Temp\4c4b99d18368b34ebd7cb554855c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2 software\微信\数据库\WeChat Files\q413138279\FileStorage\Temp\4c4b99d18368b34ebd7cb554855c6d4.jpg"/>
                    <pic:cNvPicPr>
                      <a:picLocks noChangeAspect="1" noChangeArrowheads="1"/>
                    </pic:cNvPicPr>
                  </pic:nvPicPr>
                  <pic:blipFill>
                    <a:blip r:embed="rId50"/>
                    <a:srcRect r="15280" b="9208"/>
                    <a:stretch>
                      <a:fillRect/>
                    </a:stretch>
                  </pic:blipFill>
                  <pic:spPr>
                    <a:xfrm>
                      <a:off x="0" y="0"/>
                      <a:ext cx="4958613" cy="8242119"/>
                    </a:xfrm>
                    <a:prstGeom prst="rect">
                      <a:avLst/>
                    </a:prstGeom>
                    <a:noFill/>
                    <a:ln>
                      <a:noFill/>
                    </a:ln>
                  </pic:spPr>
                </pic:pic>
              </a:graphicData>
            </a:graphic>
          </wp:inline>
        </w:drawing>
      </w:r>
    </w:p>
    <w:p>
      <w:pPr>
        <w:pStyle w:val="2"/>
      </w:pPr>
      <w:bookmarkStart w:id="638" w:name="_Toc188636995"/>
      <w:r>
        <w:rPr>
          <w:rFonts w:hint="eastAsia"/>
        </w:rPr>
        <w:t>附件</w:t>
      </w:r>
      <w:r>
        <w:t xml:space="preserve">10 </w:t>
      </w:r>
      <w:r>
        <w:rPr>
          <w:rFonts w:hint="eastAsia"/>
        </w:rPr>
        <w:t>海宁市热电联产（集中供热）规划主要新增热用户证明材料</w:t>
      </w:r>
      <w:bookmarkEnd w:id="638"/>
    </w:p>
    <w:p>
      <w:r>
        <w:drawing>
          <wp:inline distT="0" distB="0" distL="0" distR="0">
            <wp:extent cx="5191125" cy="76104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1"/>
                    <a:stretch>
                      <a:fillRect/>
                    </a:stretch>
                  </pic:blipFill>
                  <pic:spPr>
                    <a:xfrm>
                      <a:off x="0" y="0"/>
                      <a:ext cx="5191125" cy="7610475"/>
                    </a:xfrm>
                    <a:prstGeom prst="rect">
                      <a:avLst/>
                    </a:prstGeom>
                  </pic:spPr>
                </pic:pic>
              </a:graphicData>
            </a:graphic>
          </wp:inline>
        </w:drawing>
      </w:r>
      <w:r>
        <w:drawing>
          <wp:inline distT="0" distB="0" distL="0" distR="0">
            <wp:extent cx="4962525" cy="76009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2"/>
                    <a:stretch>
                      <a:fillRect/>
                    </a:stretch>
                  </pic:blipFill>
                  <pic:spPr>
                    <a:xfrm>
                      <a:off x="0" y="0"/>
                      <a:ext cx="4962525" cy="7600950"/>
                    </a:xfrm>
                    <a:prstGeom prst="rect">
                      <a:avLst/>
                    </a:prstGeom>
                  </pic:spPr>
                </pic:pic>
              </a:graphicData>
            </a:graphic>
          </wp:inline>
        </w:drawing>
      </w:r>
      <w:r>
        <w:drawing>
          <wp:inline distT="0" distB="0" distL="0" distR="0">
            <wp:extent cx="5543550" cy="758761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3"/>
                    <a:stretch>
                      <a:fillRect/>
                    </a:stretch>
                  </pic:blipFill>
                  <pic:spPr>
                    <a:xfrm>
                      <a:off x="0" y="0"/>
                      <a:ext cx="5543550" cy="7587615"/>
                    </a:xfrm>
                    <a:prstGeom prst="rect">
                      <a:avLst/>
                    </a:prstGeom>
                  </pic:spPr>
                </pic:pic>
              </a:graphicData>
            </a:graphic>
          </wp:inline>
        </w:drawing>
      </w:r>
      <w:r>
        <w:drawing>
          <wp:inline distT="0" distB="0" distL="0" distR="0">
            <wp:extent cx="4933950" cy="68865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4"/>
                    <a:stretch>
                      <a:fillRect/>
                    </a:stretch>
                  </pic:blipFill>
                  <pic:spPr>
                    <a:xfrm>
                      <a:off x="0" y="0"/>
                      <a:ext cx="4933950" cy="6886575"/>
                    </a:xfrm>
                    <a:prstGeom prst="rect">
                      <a:avLst/>
                    </a:prstGeom>
                  </pic:spPr>
                </pic:pic>
              </a:graphicData>
            </a:graphic>
          </wp:inline>
        </w:drawing>
      </w:r>
      <w:r>
        <w:drawing>
          <wp:inline distT="0" distB="0" distL="0" distR="0">
            <wp:extent cx="5543550" cy="724344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5543550" cy="7243445"/>
                    </a:xfrm>
                    <a:prstGeom prst="rect">
                      <a:avLst/>
                    </a:prstGeom>
                  </pic:spPr>
                </pic:pic>
              </a:graphicData>
            </a:graphic>
          </wp:inline>
        </w:drawing>
      </w:r>
    </w:p>
    <w:p/>
    <w:p>
      <w:pPr>
        <w:sectPr>
          <w:pgSz w:w="11906" w:h="16838"/>
          <w:pgMar w:top="1474" w:right="1588" w:bottom="1701" w:left="1588" w:header="851" w:footer="992" w:gutter="0"/>
          <w:cols w:space="425" w:num="1"/>
          <w:docGrid w:type="lines" w:linePitch="312" w:charSpace="0"/>
        </w:sectPr>
      </w:pPr>
    </w:p>
    <w:p>
      <w:pPr>
        <w:pStyle w:val="2"/>
      </w:pPr>
      <w:bookmarkStart w:id="639" w:name="_Toc188636996"/>
      <w:r>
        <w:rPr>
          <w:rFonts w:hint="eastAsia"/>
        </w:rPr>
        <w:t>附件</w:t>
      </w:r>
      <w:r>
        <w:t xml:space="preserve">11 </w:t>
      </w:r>
      <w:r>
        <w:rPr>
          <w:rFonts w:hint="eastAsia"/>
        </w:rPr>
        <w:t>尖山新区及周边区块海宁市江湾能源有限公司蒸汽供应服务相关协议材料</w:t>
      </w:r>
      <w:bookmarkEnd w:id="639"/>
    </w:p>
    <w:p>
      <w:pPr>
        <w:jc w:val="center"/>
      </w:pPr>
      <w:r>
        <w:drawing>
          <wp:inline distT="0" distB="0" distL="0" distR="0">
            <wp:extent cx="5324475" cy="77152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6"/>
                    <a:stretch>
                      <a:fillRect/>
                    </a:stretch>
                  </pic:blipFill>
                  <pic:spPr>
                    <a:xfrm>
                      <a:off x="0" y="0"/>
                      <a:ext cx="5324475" cy="7715250"/>
                    </a:xfrm>
                    <a:prstGeom prst="rect">
                      <a:avLst/>
                    </a:prstGeom>
                  </pic:spPr>
                </pic:pic>
              </a:graphicData>
            </a:graphic>
          </wp:inline>
        </w:drawing>
      </w:r>
      <w:r>
        <w:drawing>
          <wp:inline distT="0" distB="0" distL="0" distR="0">
            <wp:extent cx="4591050" cy="69151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7"/>
                    <a:stretch>
                      <a:fillRect/>
                    </a:stretch>
                  </pic:blipFill>
                  <pic:spPr>
                    <a:xfrm>
                      <a:off x="0" y="0"/>
                      <a:ext cx="4591050" cy="6915150"/>
                    </a:xfrm>
                    <a:prstGeom prst="rect">
                      <a:avLst/>
                    </a:prstGeom>
                  </pic:spPr>
                </pic:pic>
              </a:graphicData>
            </a:graphic>
          </wp:inline>
        </w:drawing>
      </w:r>
      <w:r>
        <w:drawing>
          <wp:inline distT="0" distB="0" distL="0" distR="0">
            <wp:extent cx="4543425" cy="686752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8"/>
                    <a:stretch>
                      <a:fillRect/>
                    </a:stretch>
                  </pic:blipFill>
                  <pic:spPr>
                    <a:xfrm>
                      <a:off x="0" y="0"/>
                      <a:ext cx="4543425" cy="6867525"/>
                    </a:xfrm>
                    <a:prstGeom prst="rect">
                      <a:avLst/>
                    </a:prstGeom>
                  </pic:spPr>
                </pic:pic>
              </a:graphicData>
            </a:graphic>
          </wp:inline>
        </w:drawing>
      </w:r>
      <w:r>
        <w:drawing>
          <wp:inline distT="0" distB="0" distL="0" distR="0">
            <wp:extent cx="4257675" cy="68103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9"/>
                    <a:stretch>
                      <a:fillRect/>
                    </a:stretch>
                  </pic:blipFill>
                  <pic:spPr>
                    <a:xfrm>
                      <a:off x="0" y="0"/>
                      <a:ext cx="4257675" cy="6810375"/>
                    </a:xfrm>
                    <a:prstGeom prst="rect">
                      <a:avLst/>
                    </a:prstGeom>
                  </pic:spPr>
                </pic:pic>
              </a:graphicData>
            </a:graphic>
          </wp:inline>
        </w:drawing>
      </w:r>
      <w:r>
        <w:drawing>
          <wp:inline distT="0" distB="0" distL="0" distR="0">
            <wp:extent cx="4352925" cy="67818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0"/>
                    <a:stretch>
                      <a:fillRect/>
                    </a:stretch>
                  </pic:blipFill>
                  <pic:spPr>
                    <a:xfrm>
                      <a:off x="0" y="0"/>
                      <a:ext cx="4352925" cy="6781800"/>
                    </a:xfrm>
                    <a:prstGeom prst="rect">
                      <a:avLst/>
                    </a:prstGeom>
                  </pic:spPr>
                </pic:pic>
              </a:graphicData>
            </a:graphic>
          </wp:inline>
        </w:drawing>
      </w:r>
      <w:r>
        <w:drawing>
          <wp:inline distT="0" distB="0" distL="0" distR="0">
            <wp:extent cx="4410075" cy="673417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1"/>
                    <a:stretch>
                      <a:fillRect/>
                    </a:stretch>
                  </pic:blipFill>
                  <pic:spPr>
                    <a:xfrm>
                      <a:off x="0" y="0"/>
                      <a:ext cx="4410075" cy="6734175"/>
                    </a:xfrm>
                    <a:prstGeom prst="rect">
                      <a:avLst/>
                    </a:prstGeom>
                  </pic:spPr>
                </pic:pic>
              </a:graphicData>
            </a:graphic>
          </wp:inline>
        </w:drawing>
      </w:r>
      <w:r>
        <w:drawing>
          <wp:inline distT="0" distB="0" distL="0" distR="0">
            <wp:extent cx="4533900" cy="68199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2"/>
                    <a:stretch>
                      <a:fillRect/>
                    </a:stretch>
                  </pic:blipFill>
                  <pic:spPr>
                    <a:xfrm>
                      <a:off x="0" y="0"/>
                      <a:ext cx="4533900" cy="6819900"/>
                    </a:xfrm>
                    <a:prstGeom prst="rect">
                      <a:avLst/>
                    </a:prstGeom>
                  </pic:spPr>
                </pic:pic>
              </a:graphicData>
            </a:graphic>
          </wp:inline>
        </w:drawing>
      </w:r>
      <w:r>
        <w:drawing>
          <wp:inline distT="0" distB="0" distL="0" distR="0">
            <wp:extent cx="4286250" cy="70199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3"/>
                    <a:stretch>
                      <a:fillRect/>
                    </a:stretch>
                  </pic:blipFill>
                  <pic:spPr>
                    <a:xfrm>
                      <a:off x="0" y="0"/>
                      <a:ext cx="4286250" cy="7019925"/>
                    </a:xfrm>
                    <a:prstGeom prst="rect">
                      <a:avLst/>
                    </a:prstGeom>
                  </pic:spPr>
                </pic:pic>
              </a:graphicData>
            </a:graphic>
          </wp:inline>
        </w:drawing>
      </w:r>
      <w:r>
        <w:drawing>
          <wp:inline distT="0" distB="0" distL="0" distR="0">
            <wp:extent cx="4810125" cy="692467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4"/>
                    <a:stretch>
                      <a:fillRect/>
                    </a:stretch>
                  </pic:blipFill>
                  <pic:spPr>
                    <a:xfrm>
                      <a:off x="0" y="0"/>
                      <a:ext cx="4810125" cy="6924675"/>
                    </a:xfrm>
                    <a:prstGeom prst="rect">
                      <a:avLst/>
                    </a:prstGeom>
                  </pic:spPr>
                </pic:pic>
              </a:graphicData>
            </a:graphic>
          </wp:inline>
        </w:drawing>
      </w:r>
      <w:r>
        <w:drawing>
          <wp:inline distT="0" distB="0" distL="0" distR="0">
            <wp:extent cx="5057775" cy="703897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5"/>
                    <a:stretch>
                      <a:fillRect/>
                    </a:stretch>
                  </pic:blipFill>
                  <pic:spPr>
                    <a:xfrm>
                      <a:off x="0" y="0"/>
                      <a:ext cx="5057775" cy="7038975"/>
                    </a:xfrm>
                    <a:prstGeom prst="rect">
                      <a:avLst/>
                    </a:prstGeom>
                  </pic:spPr>
                </pic:pic>
              </a:graphicData>
            </a:graphic>
          </wp:inline>
        </w:drawing>
      </w:r>
      <w:r>
        <w:drawing>
          <wp:inline distT="0" distB="0" distL="0" distR="0">
            <wp:extent cx="4810125" cy="720090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6"/>
                    <a:stretch>
                      <a:fillRect/>
                    </a:stretch>
                  </pic:blipFill>
                  <pic:spPr>
                    <a:xfrm>
                      <a:off x="0" y="0"/>
                      <a:ext cx="4810125" cy="7200900"/>
                    </a:xfrm>
                    <a:prstGeom prst="rect">
                      <a:avLst/>
                    </a:prstGeom>
                  </pic:spPr>
                </pic:pic>
              </a:graphicData>
            </a:graphic>
          </wp:inline>
        </w:drawing>
      </w:r>
      <w:r>
        <w:drawing>
          <wp:inline distT="0" distB="0" distL="0" distR="0">
            <wp:extent cx="4819650" cy="76009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7"/>
                    <a:stretch>
                      <a:fillRect/>
                    </a:stretch>
                  </pic:blipFill>
                  <pic:spPr>
                    <a:xfrm>
                      <a:off x="0" y="0"/>
                      <a:ext cx="4819650" cy="7600950"/>
                    </a:xfrm>
                    <a:prstGeom prst="rect">
                      <a:avLst/>
                    </a:prstGeom>
                  </pic:spPr>
                </pic:pic>
              </a:graphicData>
            </a:graphic>
          </wp:inline>
        </w:drawing>
      </w:r>
      <w:r>
        <w:drawing>
          <wp:inline distT="0" distB="0" distL="0" distR="0">
            <wp:extent cx="4857750" cy="74866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8"/>
                    <a:stretch>
                      <a:fillRect/>
                    </a:stretch>
                  </pic:blipFill>
                  <pic:spPr>
                    <a:xfrm>
                      <a:off x="0" y="0"/>
                      <a:ext cx="4857750" cy="7486650"/>
                    </a:xfrm>
                    <a:prstGeom prst="rect">
                      <a:avLst/>
                    </a:prstGeom>
                  </pic:spPr>
                </pic:pic>
              </a:graphicData>
            </a:graphic>
          </wp:inline>
        </w:drawing>
      </w:r>
      <w:r>
        <w:drawing>
          <wp:inline distT="0" distB="0" distL="0" distR="0">
            <wp:extent cx="4686300" cy="751522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9"/>
                    <a:stretch>
                      <a:fillRect/>
                    </a:stretch>
                  </pic:blipFill>
                  <pic:spPr>
                    <a:xfrm>
                      <a:off x="0" y="0"/>
                      <a:ext cx="4686300" cy="7515225"/>
                    </a:xfrm>
                    <a:prstGeom prst="rect">
                      <a:avLst/>
                    </a:prstGeom>
                  </pic:spPr>
                </pic:pic>
              </a:graphicData>
            </a:graphic>
          </wp:inline>
        </w:drawing>
      </w:r>
      <w:r>
        <w:drawing>
          <wp:inline distT="0" distB="0" distL="0" distR="0">
            <wp:extent cx="5076825" cy="767715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0"/>
                    <a:stretch>
                      <a:fillRect/>
                    </a:stretch>
                  </pic:blipFill>
                  <pic:spPr>
                    <a:xfrm>
                      <a:off x="0" y="0"/>
                      <a:ext cx="5076825" cy="7677150"/>
                    </a:xfrm>
                    <a:prstGeom prst="rect">
                      <a:avLst/>
                    </a:prstGeom>
                  </pic:spPr>
                </pic:pic>
              </a:graphicData>
            </a:graphic>
          </wp:inline>
        </w:drawing>
      </w:r>
      <w:r>
        <w:drawing>
          <wp:inline distT="0" distB="0" distL="0" distR="0">
            <wp:extent cx="4800600" cy="741997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1"/>
                    <a:stretch>
                      <a:fillRect/>
                    </a:stretch>
                  </pic:blipFill>
                  <pic:spPr>
                    <a:xfrm>
                      <a:off x="0" y="0"/>
                      <a:ext cx="4800600" cy="7419975"/>
                    </a:xfrm>
                    <a:prstGeom prst="rect">
                      <a:avLst/>
                    </a:prstGeom>
                  </pic:spPr>
                </pic:pic>
              </a:graphicData>
            </a:graphic>
          </wp:inline>
        </w:drawing>
      </w:r>
      <w:r>
        <w:drawing>
          <wp:inline distT="0" distB="0" distL="0" distR="0">
            <wp:extent cx="4724400" cy="75438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2"/>
                    <a:stretch>
                      <a:fillRect/>
                    </a:stretch>
                  </pic:blipFill>
                  <pic:spPr>
                    <a:xfrm>
                      <a:off x="0" y="0"/>
                      <a:ext cx="4724400" cy="7543800"/>
                    </a:xfrm>
                    <a:prstGeom prst="rect">
                      <a:avLst/>
                    </a:prstGeom>
                  </pic:spPr>
                </pic:pic>
              </a:graphicData>
            </a:graphic>
          </wp:inline>
        </w:drawing>
      </w:r>
      <w:r>
        <w:drawing>
          <wp:inline distT="0" distB="0" distL="0" distR="0">
            <wp:extent cx="4533900" cy="759142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3"/>
                    <a:stretch>
                      <a:fillRect/>
                    </a:stretch>
                  </pic:blipFill>
                  <pic:spPr>
                    <a:xfrm>
                      <a:off x="0" y="0"/>
                      <a:ext cx="4533900" cy="7591425"/>
                    </a:xfrm>
                    <a:prstGeom prst="rect">
                      <a:avLst/>
                    </a:prstGeom>
                  </pic:spPr>
                </pic:pic>
              </a:graphicData>
            </a:graphic>
          </wp:inline>
        </w:drawing>
      </w:r>
      <w:r>
        <w:drawing>
          <wp:inline distT="0" distB="0" distL="0" distR="0">
            <wp:extent cx="4724400" cy="75057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4"/>
                    <a:stretch>
                      <a:fillRect/>
                    </a:stretch>
                  </pic:blipFill>
                  <pic:spPr>
                    <a:xfrm>
                      <a:off x="0" y="0"/>
                      <a:ext cx="4724400" cy="7505700"/>
                    </a:xfrm>
                    <a:prstGeom prst="rect">
                      <a:avLst/>
                    </a:prstGeom>
                  </pic:spPr>
                </pic:pic>
              </a:graphicData>
            </a:graphic>
          </wp:inline>
        </w:drawing>
      </w:r>
      <w:r>
        <w:drawing>
          <wp:inline distT="0" distB="0" distL="0" distR="0">
            <wp:extent cx="4781550" cy="76009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5"/>
                    <a:stretch>
                      <a:fillRect/>
                    </a:stretch>
                  </pic:blipFill>
                  <pic:spPr>
                    <a:xfrm>
                      <a:off x="0" y="0"/>
                      <a:ext cx="4781550" cy="7600950"/>
                    </a:xfrm>
                    <a:prstGeom prst="rect">
                      <a:avLst/>
                    </a:prstGeom>
                  </pic:spPr>
                </pic:pic>
              </a:graphicData>
            </a:graphic>
          </wp:inline>
        </w:drawing>
      </w:r>
      <w:r>
        <w:drawing>
          <wp:inline distT="0" distB="0" distL="0" distR="0">
            <wp:extent cx="4438650" cy="74676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6"/>
                    <a:stretch>
                      <a:fillRect/>
                    </a:stretch>
                  </pic:blipFill>
                  <pic:spPr>
                    <a:xfrm>
                      <a:off x="0" y="0"/>
                      <a:ext cx="4438650" cy="7467600"/>
                    </a:xfrm>
                    <a:prstGeom prst="rect">
                      <a:avLst/>
                    </a:prstGeom>
                  </pic:spPr>
                </pic:pic>
              </a:graphicData>
            </a:graphic>
          </wp:inline>
        </w:drawing>
      </w:r>
    </w:p>
    <w:p/>
    <w:p/>
    <w:p>
      <w:pPr>
        <w:sectPr>
          <w:pgSz w:w="11906" w:h="16838"/>
          <w:pgMar w:top="1474" w:right="1588" w:bottom="1701" w:left="1588" w:header="851" w:footer="992" w:gutter="0"/>
          <w:cols w:space="425" w:num="1"/>
          <w:docGrid w:type="lines" w:linePitch="312" w:charSpace="0"/>
        </w:sectPr>
      </w:pPr>
    </w:p>
    <w:p>
      <w:pPr>
        <w:pStyle w:val="2"/>
      </w:pPr>
    </w:p>
    <w:sectPr>
      <w:pgSz w:w="11906" w:h="16838"/>
      <w:pgMar w:top="1474" w:right="1588" w:bottom="1701"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Times New Roman" w:hAnsi="Times New Roman" w:eastAsia="仿宋"/>
      </w:rP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0281922"/>
    </w:sdtPr>
    <w:sdtEndPr>
      <w:rPr>
        <w:rFonts w:ascii="Times New Roman" w:hAnsi="Times New Roman" w:eastAsia="仿宋"/>
      </w:rPr>
    </w:sdtEndPr>
    <w:sdtContent>
      <w:p>
        <w:pPr>
          <w:pStyle w:val="13"/>
          <w:jc w:val="center"/>
          <w:rPr>
            <w:rFonts w:ascii="Times New Roman" w:hAnsi="Times New Roman" w:eastAsia="仿宋"/>
          </w:rPr>
        </w:pPr>
        <w:r>
          <w:rPr>
            <w:rFonts w:ascii="Times New Roman" w:hAnsi="Times New Roman" w:eastAsia="仿宋"/>
          </w:rPr>
          <w:fldChar w:fldCharType="begin"/>
        </w:r>
        <w:r>
          <w:rPr>
            <w:rFonts w:ascii="Times New Roman" w:hAnsi="Times New Roman" w:eastAsia="仿宋"/>
          </w:rPr>
          <w:instrText xml:space="preserve"> PAGE  \* ROMAN  \* MERGEFORMAT </w:instrText>
        </w:r>
        <w:r>
          <w:rPr>
            <w:rFonts w:ascii="Times New Roman" w:hAnsi="Times New Roman" w:eastAsia="仿宋"/>
          </w:rPr>
          <w:fldChar w:fldCharType="separate"/>
        </w:r>
        <w:r>
          <w:rPr>
            <w:rFonts w:ascii="Times New Roman" w:hAnsi="Times New Roman" w:eastAsia="仿宋"/>
          </w:rPr>
          <w:t>I</w:t>
        </w:r>
        <w:r>
          <w:rPr>
            <w:rFonts w:ascii="Times New Roman" w:hAnsi="Times New Roman" w:eastAsia="仿宋"/>
          </w:rPr>
          <w:fldChar w:fldCharType="end"/>
        </w:r>
      </w:p>
    </w:sdtContent>
  </w:sdt>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05900506"/>
    </w:sdtPr>
    <w:sdtEndPr>
      <w:rPr>
        <w:rFonts w:ascii="Times New Roman" w:hAnsi="Times New Roman" w:eastAsia="仿宋"/>
      </w:rPr>
    </w:sdtEndPr>
    <w:sdtContent>
      <w:p>
        <w:pPr>
          <w:pStyle w:val="13"/>
          <w:jc w:val="center"/>
          <w:rPr>
            <w:rFonts w:ascii="Times New Roman" w:hAnsi="Times New Roman" w:eastAsia="仿宋"/>
          </w:rPr>
        </w:pPr>
        <w:r>
          <w:rPr>
            <w:rFonts w:ascii="Times New Roman" w:hAnsi="Times New Roman" w:eastAsia="仿宋"/>
          </w:rPr>
          <w:fldChar w:fldCharType="begin"/>
        </w:r>
        <w:r>
          <w:rPr>
            <w:rFonts w:ascii="Times New Roman" w:hAnsi="Times New Roman" w:eastAsia="仿宋"/>
          </w:rPr>
          <w:instrText xml:space="preserve">PAGE   \* MERGEFORMAT</w:instrText>
        </w:r>
        <w:r>
          <w:rPr>
            <w:rFonts w:ascii="Times New Roman" w:hAnsi="Times New Roman" w:eastAsia="仿宋"/>
          </w:rPr>
          <w:fldChar w:fldCharType="separate"/>
        </w:r>
        <w:r>
          <w:rPr>
            <w:rFonts w:ascii="Times New Roman" w:hAnsi="Times New Roman" w:eastAsia="仿宋"/>
            <w:lang w:val="zh-CN"/>
          </w:rPr>
          <w:t>60</w:t>
        </w:r>
        <w:r>
          <w:rPr>
            <w:rFonts w:ascii="Times New Roman" w:hAnsi="Times New Roman" w:eastAsia="仿宋"/>
          </w:rPr>
          <w:fldChar w:fldCharType="end"/>
        </w:r>
      </w:p>
    </w:sdtContent>
  </w:sdt>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9718745"/>
    </w:sdtPr>
    <w:sdtEndPr>
      <w:rPr>
        <w:rFonts w:ascii="Times New Roman" w:hAnsi="Times New Roman" w:eastAsia="宋体" w:cs="Times New Roman"/>
        <w:sz w:val="21"/>
        <w:szCs w:val="21"/>
      </w:rPr>
    </w:sdtEndPr>
    <w:sdtContent>
      <w:p>
        <w:pPr>
          <w:pStyle w:val="13"/>
          <w:jc w:val="center"/>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PAGE   \* MERGEFORMAT</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lang w:val="zh-CN"/>
          </w:rPr>
          <w:t>81</w:t>
        </w:r>
        <w:r>
          <w:rPr>
            <w:rFonts w:ascii="Times New Roman" w:hAnsi="Times New Roman" w:eastAsia="宋体" w:cs="Times New Roman"/>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277883"/>
    </w:sdtPr>
    <w:sdtEndPr>
      <w:rPr>
        <w:rFonts w:ascii="Times New Roman" w:hAnsi="Times New Roman" w:eastAsia="宋体" w:cs="Times New Roman"/>
        <w:sz w:val="21"/>
        <w:szCs w:val="21"/>
      </w:rPr>
    </w:sdtEndPr>
    <w:sdtContent>
      <w:p>
        <w:pPr>
          <w:pStyle w:val="13"/>
          <w:jc w:val="center"/>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PAGE   \* MERGEFORMAT</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lang w:val="zh-CN"/>
          </w:rPr>
          <w:t>85</w:t>
        </w:r>
        <w:r>
          <w:rPr>
            <w:rFonts w:ascii="Times New Roman" w:hAnsi="Times New Roman" w:eastAsia="宋体" w:cs="Times New Roman"/>
            <w:sz w:val="21"/>
            <w:szCs w:val="21"/>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6126186"/>
    </w:sdtPr>
    <w:sdtEndPr>
      <w:rPr>
        <w:rFonts w:ascii="Times New Roman" w:hAnsi="Times New Roman" w:eastAsia="宋体" w:cs="Times New Roman"/>
        <w:sz w:val="21"/>
        <w:szCs w:val="21"/>
      </w:rPr>
    </w:sdtEndPr>
    <w:sdtContent>
      <w:p>
        <w:pPr>
          <w:pStyle w:val="13"/>
          <w:jc w:val="center"/>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PAGE   \* MERGEFORMAT</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lang w:val="zh-CN"/>
          </w:rPr>
          <w:t>188</w:t>
        </w:r>
        <w:r>
          <w:rPr>
            <w:rFonts w:ascii="Times New Roman" w:hAnsi="Times New Roman" w:eastAsia="宋体" w:cs="Times New Roman"/>
            <w:sz w:val="21"/>
            <w:szCs w:val="21"/>
          </w:rPr>
          <w:fldChar w:fldCharType="end"/>
        </w:r>
      </w:p>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Q4NjczOWIyMzExZWZkZDI1MGNhYmExZjQ2MTQxMmYifQ=="/>
  </w:docVars>
  <w:rsids>
    <w:rsidRoot w:val="008165F8"/>
    <w:rsid w:val="000F1D93"/>
    <w:rsid w:val="00183066"/>
    <w:rsid w:val="002845DB"/>
    <w:rsid w:val="00307350"/>
    <w:rsid w:val="00337D4A"/>
    <w:rsid w:val="00414F25"/>
    <w:rsid w:val="00426068"/>
    <w:rsid w:val="00486AAF"/>
    <w:rsid w:val="004D30CA"/>
    <w:rsid w:val="00565FBE"/>
    <w:rsid w:val="005734D1"/>
    <w:rsid w:val="005C24FC"/>
    <w:rsid w:val="005F6E4A"/>
    <w:rsid w:val="00660354"/>
    <w:rsid w:val="006C5912"/>
    <w:rsid w:val="0070714E"/>
    <w:rsid w:val="00745ACC"/>
    <w:rsid w:val="007F4CD4"/>
    <w:rsid w:val="008165F8"/>
    <w:rsid w:val="00850082"/>
    <w:rsid w:val="00874129"/>
    <w:rsid w:val="008942F1"/>
    <w:rsid w:val="00904C6E"/>
    <w:rsid w:val="00911741"/>
    <w:rsid w:val="009E71A0"/>
    <w:rsid w:val="009F54A3"/>
    <w:rsid w:val="00A8122F"/>
    <w:rsid w:val="00B025C0"/>
    <w:rsid w:val="00BC6810"/>
    <w:rsid w:val="00C86C0E"/>
    <w:rsid w:val="00CC56B6"/>
    <w:rsid w:val="00CD5DCB"/>
    <w:rsid w:val="00D86515"/>
    <w:rsid w:val="00D956D4"/>
    <w:rsid w:val="00DB7008"/>
    <w:rsid w:val="00E17724"/>
    <w:rsid w:val="00E55D31"/>
    <w:rsid w:val="00EC7525"/>
    <w:rsid w:val="00F236F2"/>
    <w:rsid w:val="00F44C63"/>
    <w:rsid w:val="00FF38D9"/>
    <w:rsid w:val="23F76D8B"/>
    <w:rsid w:val="55902646"/>
    <w:rsid w:val="67817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line="580" w:lineRule="exact"/>
      <w:outlineLvl w:val="0"/>
    </w:pPr>
    <w:rPr>
      <w:rFonts w:ascii="Times New Roman" w:hAnsi="Times New Roman" w:eastAsia="黑体"/>
      <w:bCs/>
      <w:kern w:val="44"/>
      <w:sz w:val="32"/>
      <w:szCs w:val="44"/>
    </w:rPr>
  </w:style>
  <w:style w:type="paragraph" w:styleId="3">
    <w:name w:val="heading 2"/>
    <w:basedOn w:val="1"/>
    <w:next w:val="1"/>
    <w:link w:val="32"/>
    <w:qFormat/>
    <w:uiPriority w:val="0"/>
    <w:pPr>
      <w:keepNext/>
      <w:keepLines/>
      <w:spacing w:line="580" w:lineRule="exact"/>
      <w:outlineLvl w:val="1"/>
    </w:pPr>
    <w:rPr>
      <w:rFonts w:ascii="Times New Roman" w:hAnsi="Times New Roman" w:eastAsia="楷体_GB2312" w:cs="Times New Roman"/>
      <w:b/>
      <w:bCs/>
      <w:sz w:val="28"/>
      <w:szCs w:val="32"/>
    </w:rPr>
  </w:style>
  <w:style w:type="paragraph" w:styleId="4">
    <w:name w:val="heading 3"/>
    <w:basedOn w:val="1"/>
    <w:next w:val="1"/>
    <w:link w:val="33"/>
    <w:qFormat/>
    <w:uiPriority w:val="0"/>
    <w:pPr>
      <w:keepNext/>
      <w:keepLines/>
      <w:spacing w:line="580" w:lineRule="exact"/>
      <w:outlineLvl w:val="2"/>
    </w:pPr>
    <w:rPr>
      <w:rFonts w:ascii="Times New Roman" w:hAnsi="Times New Roman" w:eastAsia="仿宋_GB2312" w:cs="Times New Roman"/>
      <w:b/>
      <w:bCs/>
      <w:sz w:val="28"/>
      <w:szCs w:val="32"/>
    </w:rPr>
  </w:style>
  <w:style w:type="paragraph" w:styleId="5">
    <w:name w:val="heading 4"/>
    <w:basedOn w:val="1"/>
    <w:next w:val="1"/>
    <w:link w:val="34"/>
    <w:unhideWhenUsed/>
    <w:qFormat/>
    <w:uiPriority w:val="9"/>
    <w:pPr>
      <w:keepNext/>
      <w:keepLines/>
      <w:spacing w:line="580" w:lineRule="exact"/>
      <w:outlineLvl w:val="3"/>
    </w:pPr>
    <w:rPr>
      <w:rFonts w:ascii="Times New Roman" w:hAnsi="Times New Roman" w:eastAsia="仿宋_GB2312" w:cstheme="majorBidi"/>
      <w:bCs/>
      <w:sz w:val="28"/>
      <w:szCs w:val="28"/>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annotation text"/>
    <w:basedOn w:val="1"/>
    <w:link w:val="35"/>
    <w:unhideWhenUsed/>
    <w:qFormat/>
    <w:uiPriority w:val="99"/>
    <w:pPr>
      <w:jc w:val="left"/>
    </w:pPr>
  </w:style>
  <w:style w:type="paragraph" w:styleId="8">
    <w:name w:val="Body Text Indent"/>
    <w:basedOn w:val="1"/>
    <w:link w:val="36"/>
    <w:qFormat/>
    <w:uiPriority w:val="0"/>
    <w:pPr>
      <w:spacing w:after="120"/>
      <w:ind w:left="420" w:leftChars="200"/>
    </w:pPr>
    <w:rPr>
      <w:rFonts w:ascii="Times New Roman" w:hAnsi="Times New Roman" w:eastAsia="宋体" w:cs="Times New Roman"/>
      <w:szCs w:val="24"/>
    </w:rPr>
  </w:style>
  <w:style w:type="paragraph" w:styleId="9">
    <w:name w:val="toc 5"/>
    <w:basedOn w:val="1"/>
    <w:next w:val="1"/>
    <w:unhideWhenUsed/>
    <w:qFormat/>
    <w:uiPriority w:val="39"/>
    <w:pPr>
      <w:ind w:left="1680" w:leftChars="800"/>
    </w:pPr>
  </w:style>
  <w:style w:type="paragraph" w:styleId="10">
    <w:name w:val="toc 3"/>
    <w:basedOn w:val="1"/>
    <w:next w:val="1"/>
    <w:unhideWhenUsed/>
    <w:qFormat/>
    <w:uiPriority w:val="39"/>
    <w:pPr>
      <w:ind w:left="840" w:leftChars="400"/>
    </w:pPr>
  </w:style>
  <w:style w:type="paragraph" w:styleId="11">
    <w:name w:val="toc 8"/>
    <w:basedOn w:val="1"/>
    <w:next w:val="1"/>
    <w:unhideWhenUsed/>
    <w:qFormat/>
    <w:uiPriority w:val="39"/>
    <w:pPr>
      <w:ind w:left="2940" w:leftChars="1400"/>
    </w:pPr>
  </w:style>
  <w:style w:type="paragraph" w:styleId="12">
    <w:name w:val="Balloon Text"/>
    <w:basedOn w:val="1"/>
    <w:link w:val="37"/>
    <w:semiHidden/>
    <w:unhideWhenUsed/>
    <w:qFormat/>
    <w:uiPriority w:val="99"/>
    <w:rPr>
      <w:sz w:val="18"/>
      <w:szCs w:val="18"/>
    </w:rPr>
  </w:style>
  <w:style w:type="paragraph" w:styleId="13">
    <w:name w:val="footer"/>
    <w:basedOn w:val="1"/>
    <w:link w:val="38"/>
    <w:unhideWhenUsed/>
    <w:qFormat/>
    <w:uiPriority w:val="99"/>
    <w:pPr>
      <w:tabs>
        <w:tab w:val="center" w:pos="4153"/>
        <w:tab w:val="right" w:pos="8306"/>
      </w:tabs>
      <w:snapToGrid w:val="0"/>
      <w:jc w:val="left"/>
    </w:pPr>
    <w:rPr>
      <w:sz w:val="18"/>
      <w:szCs w:val="18"/>
    </w:rPr>
  </w:style>
  <w:style w:type="paragraph" w:styleId="14">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4"/>
    <w:basedOn w:val="1"/>
    <w:next w:val="1"/>
    <w:unhideWhenUsed/>
    <w:qFormat/>
    <w:uiPriority w:val="39"/>
    <w:pPr>
      <w:ind w:left="1260" w:leftChars="600"/>
    </w:pPr>
  </w:style>
  <w:style w:type="paragraph" w:styleId="17">
    <w:name w:val="footnote text"/>
    <w:basedOn w:val="1"/>
    <w:link w:val="40"/>
    <w:semiHidden/>
    <w:unhideWhenUsed/>
    <w:qFormat/>
    <w:uiPriority w:val="99"/>
    <w:pPr>
      <w:snapToGrid w:val="0"/>
      <w:jc w:val="left"/>
    </w:pPr>
    <w:rPr>
      <w:sz w:val="18"/>
      <w:szCs w:val="18"/>
    </w:rPr>
  </w:style>
  <w:style w:type="paragraph" w:styleId="18">
    <w:name w:val="toc 6"/>
    <w:basedOn w:val="1"/>
    <w:next w:val="1"/>
    <w:unhideWhenUsed/>
    <w:qFormat/>
    <w:uiPriority w:val="39"/>
    <w:pPr>
      <w:ind w:left="2100" w:leftChars="1000"/>
    </w:pPr>
  </w:style>
  <w:style w:type="paragraph" w:styleId="19">
    <w:name w:val="Body Text Indent 3"/>
    <w:basedOn w:val="1"/>
    <w:link w:val="41"/>
    <w:qFormat/>
    <w:uiPriority w:val="99"/>
    <w:pPr>
      <w:spacing w:line="360" w:lineRule="auto"/>
      <w:ind w:firstLine="556"/>
    </w:pPr>
    <w:rPr>
      <w:rFonts w:ascii="Times New Roman" w:hAnsi="Times New Roman" w:eastAsia="宋体" w:cs="Times New Roman"/>
      <w:color w:val="FF0000"/>
      <w:sz w:val="28"/>
      <w:szCs w:val="28"/>
    </w:rPr>
  </w:style>
  <w:style w:type="paragraph" w:styleId="20">
    <w:name w:val="toc 2"/>
    <w:basedOn w:val="1"/>
    <w:next w:val="1"/>
    <w:unhideWhenUsed/>
    <w:qFormat/>
    <w:uiPriority w:val="39"/>
    <w:pPr>
      <w:ind w:left="420" w:leftChars="200"/>
    </w:pPr>
  </w:style>
  <w:style w:type="paragraph" w:styleId="21">
    <w:name w:val="toc 9"/>
    <w:basedOn w:val="1"/>
    <w:next w:val="1"/>
    <w:unhideWhenUsed/>
    <w:qFormat/>
    <w:uiPriority w:val="39"/>
    <w:pPr>
      <w:ind w:left="3360" w:leftChars="1600"/>
    </w:pPr>
  </w:style>
  <w:style w:type="paragraph" w:styleId="22">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3">
    <w:name w:val="annotation subject"/>
    <w:basedOn w:val="7"/>
    <w:next w:val="7"/>
    <w:link w:val="42"/>
    <w:semiHidden/>
    <w:unhideWhenUsed/>
    <w:qFormat/>
    <w:uiPriority w:val="99"/>
    <w:rPr>
      <w:b/>
      <w:bCs/>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22"/>
    <w:rPr>
      <w:b/>
      <w:bCs/>
    </w:rPr>
  </w:style>
  <w:style w:type="character" w:styleId="28">
    <w:name w:val="Hyperlink"/>
    <w:basedOn w:val="26"/>
    <w:unhideWhenUsed/>
    <w:qFormat/>
    <w:uiPriority w:val="99"/>
    <w:rPr>
      <w:color w:val="0563C1" w:themeColor="hyperlink"/>
      <w:u w:val="single"/>
      <w14:textFill>
        <w14:solidFill>
          <w14:schemeClr w14:val="hlink"/>
        </w14:solidFill>
      </w14:textFill>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character" w:customStyle="1" w:styleId="31">
    <w:name w:val="标题 1 字符"/>
    <w:basedOn w:val="26"/>
    <w:link w:val="2"/>
    <w:qFormat/>
    <w:uiPriority w:val="9"/>
    <w:rPr>
      <w:rFonts w:ascii="Times New Roman" w:hAnsi="Times New Roman" w:eastAsia="黑体"/>
      <w:bCs/>
      <w:kern w:val="44"/>
      <w:sz w:val="32"/>
      <w:szCs w:val="44"/>
    </w:rPr>
  </w:style>
  <w:style w:type="character" w:customStyle="1" w:styleId="32">
    <w:name w:val="标题 2 字符"/>
    <w:basedOn w:val="26"/>
    <w:link w:val="3"/>
    <w:qFormat/>
    <w:uiPriority w:val="0"/>
    <w:rPr>
      <w:rFonts w:ascii="Times New Roman" w:hAnsi="Times New Roman" w:eastAsia="楷体_GB2312" w:cs="Times New Roman"/>
      <w:b/>
      <w:bCs/>
      <w:sz w:val="28"/>
      <w:szCs w:val="32"/>
    </w:rPr>
  </w:style>
  <w:style w:type="character" w:customStyle="1" w:styleId="33">
    <w:name w:val="标题 3 字符"/>
    <w:basedOn w:val="26"/>
    <w:link w:val="4"/>
    <w:qFormat/>
    <w:uiPriority w:val="0"/>
    <w:rPr>
      <w:rFonts w:ascii="Times New Roman" w:hAnsi="Times New Roman" w:eastAsia="仿宋_GB2312" w:cs="Times New Roman"/>
      <w:b/>
      <w:bCs/>
      <w:sz w:val="28"/>
      <w:szCs w:val="32"/>
    </w:rPr>
  </w:style>
  <w:style w:type="character" w:customStyle="1" w:styleId="34">
    <w:name w:val="标题 4 字符"/>
    <w:basedOn w:val="26"/>
    <w:link w:val="5"/>
    <w:qFormat/>
    <w:uiPriority w:val="9"/>
    <w:rPr>
      <w:rFonts w:ascii="Times New Roman" w:hAnsi="Times New Roman" w:eastAsia="仿宋_GB2312" w:cstheme="majorBidi"/>
      <w:bCs/>
      <w:sz w:val="28"/>
      <w:szCs w:val="28"/>
    </w:rPr>
  </w:style>
  <w:style w:type="character" w:customStyle="1" w:styleId="35">
    <w:name w:val="批注文字 字符"/>
    <w:basedOn w:val="26"/>
    <w:link w:val="7"/>
    <w:qFormat/>
    <w:uiPriority w:val="99"/>
  </w:style>
  <w:style w:type="character" w:customStyle="1" w:styleId="36">
    <w:name w:val="正文文本缩进 字符"/>
    <w:basedOn w:val="26"/>
    <w:link w:val="8"/>
    <w:qFormat/>
    <w:uiPriority w:val="0"/>
    <w:rPr>
      <w:rFonts w:ascii="Times New Roman" w:hAnsi="Times New Roman" w:eastAsia="宋体" w:cs="Times New Roman"/>
      <w:szCs w:val="24"/>
    </w:rPr>
  </w:style>
  <w:style w:type="character" w:customStyle="1" w:styleId="37">
    <w:name w:val="批注框文本 字符"/>
    <w:basedOn w:val="26"/>
    <w:link w:val="12"/>
    <w:semiHidden/>
    <w:qFormat/>
    <w:uiPriority w:val="99"/>
    <w:rPr>
      <w:sz w:val="18"/>
      <w:szCs w:val="18"/>
    </w:rPr>
  </w:style>
  <w:style w:type="character" w:customStyle="1" w:styleId="38">
    <w:name w:val="页脚 字符"/>
    <w:basedOn w:val="26"/>
    <w:link w:val="13"/>
    <w:qFormat/>
    <w:uiPriority w:val="99"/>
    <w:rPr>
      <w:sz w:val="18"/>
      <w:szCs w:val="18"/>
    </w:rPr>
  </w:style>
  <w:style w:type="character" w:customStyle="1" w:styleId="39">
    <w:name w:val="页眉 字符"/>
    <w:basedOn w:val="26"/>
    <w:link w:val="14"/>
    <w:qFormat/>
    <w:uiPriority w:val="99"/>
    <w:rPr>
      <w:sz w:val="18"/>
      <w:szCs w:val="18"/>
    </w:rPr>
  </w:style>
  <w:style w:type="character" w:customStyle="1" w:styleId="40">
    <w:name w:val="脚注文本 字符"/>
    <w:basedOn w:val="26"/>
    <w:link w:val="17"/>
    <w:semiHidden/>
    <w:qFormat/>
    <w:uiPriority w:val="99"/>
    <w:rPr>
      <w:sz w:val="18"/>
      <w:szCs w:val="18"/>
    </w:rPr>
  </w:style>
  <w:style w:type="character" w:customStyle="1" w:styleId="41">
    <w:name w:val="正文文本缩进 3 字符"/>
    <w:basedOn w:val="26"/>
    <w:link w:val="19"/>
    <w:qFormat/>
    <w:uiPriority w:val="99"/>
    <w:rPr>
      <w:rFonts w:ascii="Times New Roman" w:hAnsi="Times New Roman" w:eastAsia="宋体" w:cs="Times New Roman"/>
      <w:color w:val="FF0000"/>
      <w:sz w:val="28"/>
      <w:szCs w:val="28"/>
    </w:rPr>
  </w:style>
  <w:style w:type="character" w:customStyle="1" w:styleId="42">
    <w:name w:val="批注主题 字符"/>
    <w:basedOn w:val="35"/>
    <w:link w:val="23"/>
    <w:semiHidden/>
    <w:qFormat/>
    <w:uiPriority w:val="99"/>
    <w:rPr>
      <w:b/>
      <w:bCs/>
    </w:rPr>
  </w:style>
  <w:style w:type="paragraph" w:styleId="43">
    <w:name w:val="List Paragraph"/>
    <w:basedOn w:val="1"/>
    <w:qFormat/>
    <w:uiPriority w:val="34"/>
    <w:pPr>
      <w:ind w:firstLine="420" w:firstLineChars="200"/>
    </w:pPr>
  </w:style>
  <w:style w:type="paragraph" w:customStyle="1" w:styleId="44">
    <w:name w:val="Char Char Char1"/>
    <w:basedOn w:val="1"/>
    <w:qFormat/>
    <w:uiPriority w:val="0"/>
    <w:pPr>
      <w:spacing w:beforeLines="100"/>
    </w:pPr>
    <w:rPr>
      <w:rFonts w:ascii="Times New Roman" w:hAnsi="Times New Roman" w:eastAsia="宋体" w:cs="Times New Roman"/>
      <w:szCs w:val="24"/>
    </w:rPr>
  </w:style>
  <w:style w:type="paragraph" w:customStyle="1" w:styleId="45">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 w:val="24"/>
      <w:szCs w:val="24"/>
    </w:rPr>
  </w:style>
  <w:style w:type="paragraph" w:customStyle="1" w:styleId="46">
    <w:name w:val="样式 首行缩进:  2 字符"/>
    <w:basedOn w:val="1"/>
    <w:qFormat/>
    <w:uiPriority w:val="0"/>
    <w:pPr>
      <w:spacing w:line="360" w:lineRule="auto"/>
      <w:ind w:firstLine="560" w:firstLineChars="200"/>
    </w:pPr>
    <w:rPr>
      <w:rFonts w:ascii="Times New Roman" w:hAnsi="Times New Roman" w:eastAsia="仿宋_GB2312" w:cs="Times New Roman"/>
      <w:sz w:val="28"/>
      <w:szCs w:val="28"/>
    </w:rPr>
  </w:style>
  <w:style w:type="paragraph" w:customStyle="1" w:styleId="47">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8">
    <w:name w:val="正文表格"/>
    <w:basedOn w:val="1"/>
    <w:link w:val="49"/>
    <w:qFormat/>
    <w:uiPriority w:val="0"/>
    <w:rPr>
      <w:rFonts w:ascii="Times New Roman" w:hAnsi="Times New Roman" w:eastAsia="仿宋_GB2312" w:cs="Times New Roman"/>
      <w:sz w:val="22"/>
      <w:szCs w:val="24"/>
    </w:rPr>
  </w:style>
  <w:style w:type="character" w:customStyle="1" w:styleId="49">
    <w:name w:val="正文表格 字符"/>
    <w:link w:val="48"/>
    <w:qFormat/>
    <w:uiPriority w:val="0"/>
    <w:rPr>
      <w:rFonts w:ascii="Times New Roman" w:hAnsi="Times New Roman" w:eastAsia="仿宋_GB2312" w:cs="Times New Roman"/>
      <w:sz w:val="22"/>
      <w:szCs w:val="24"/>
    </w:rPr>
  </w:style>
  <w:style w:type="paragraph" w:customStyle="1" w:styleId="50">
    <w:name w:val="xl31"/>
    <w:basedOn w:val="1"/>
    <w:qFormat/>
    <w:uiPriority w:val="0"/>
    <w:pPr>
      <w:widowControl/>
      <w:pBdr>
        <w:right w:val="single" w:color="auto" w:sz="4" w:space="0"/>
      </w:pBdr>
      <w:spacing w:before="100" w:beforeAutospacing="1" w:after="100" w:afterAutospacing="1"/>
      <w:textAlignment w:val="top"/>
    </w:pPr>
    <w:rPr>
      <w:rFonts w:ascii="宋体" w:hAnsi="宋体" w:eastAsia="宋体" w:cs="Times New Roman"/>
      <w:kern w:val="0"/>
      <w:szCs w:val="21"/>
    </w:rPr>
  </w:style>
  <w:style w:type="paragraph" w:customStyle="1" w:styleId="51">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bCs w:val="0"/>
      <w:color w:val="2E75B6" w:themeColor="accent1" w:themeShade="BF"/>
      <w:kern w:val="0"/>
      <w:szCs w:val="32"/>
    </w:rPr>
  </w:style>
  <w:style w:type="character" w:customStyle="1" w:styleId="52">
    <w:name w:val="!正文 Char"/>
    <w:link w:val="53"/>
    <w:qFormat/>
    <w:uiPriority w:val="0"/>
    <w:rPr>
      <w:rFonts w:ascii="宋体" w:hAnsi="宋体"/>
      <w:sz w:val="28"/>
    </w:rPr>
  </w:style>
  <w:style w:type="paragraph" w:customStyle="1" w:styleId="53">
    <w:name w:val="!正文"/>
    <w:basedOn w:val="1"/>
    <w:link w:val="52"/>
    <w:qFormat/>
    <w:uiPriority w:val="0"/>
    <w:pPr>
      <w:adjustRightInd w:val="0"/>
      <w:snapToGrid w:val="0"/>
      <w:spacing w:line="500" w:lineRule="atLeast"/>
      <w:ind w:firstLine="200" w:firstLineChars="200"/>
    </w:pPr>
    <w:rPr>
      <w:rFonts w:ascii="宋体" w:hAnsi="宋体"/>
      <w:sz w:val="28"/>
    </w:rPr>
  </w:style>
  <w:style w:type="paragraph" w:customStyle="1" w:styleId="54">
    <w:name w:val="新表格标题"/>
    <w:basedOn w:val="1"/>
    <w:link w:val="55"/>
    <w:qFormat/>
    <w:uiPriority w:val="0"/>
    <w:pPr>
      <w:widowControl/>
      <w:tabs>
        <w:tab w:val="center" w:pos="4200"/>
        <w:tab w:val="right" w:pos="8400"/>
      </w:tabs>
      <w:spacing w:line="480" w:lineRule="atLeast"/>
    </w:pPr>
    <w:rPr>
      <w:rFonts w:ascii="宋体" w:hAnsi="Times New Roman" w:eastAsia="宋体" w:cs="Times New Roman"/>
      <w:kern w:val="0"/>
      <w:sz w:val="24"/>
      <w:szCs w:val="28"/>
    </w:rPr>
  </w:style>
  <w:style w:type="character" w:customStyle="1" w:styleId="55">
    <w:name w:val="新表格标题 Char"/>
    <w:link w:val="54"/>
    <w:qFormat/>
    <w:uiPriority w:val="0"/>
    <w:rPr>
      <w:rFonts w:ascii="宋体" w:hAnsi="Times New Roman" w:eastAsia="宋体" w:cs="Times New Roman"/>
      <w:kern w:val="0"/>
      <w:sz w:val="24"/>
      <w:szCs w:val="28"/>
    </w:rPr>
  </w:style>
  <w:style w:type="paragraph" w:customStyle="1" w:styleId="56">
    <w:name w:val="表格字体"/>
    <w:basedOn w:val="1"/>
    <w:link w:val="57"/>
    <w:qFormat/>
    <w:uiPriority w:val="0"/>
    <w:pPr>
      <w:jc w:val="center"/>
    </w:pPr>
    <w:rPr>
      <w:rFonts w:ascii="宋体" w:hAnsi="宋体" w:eastAsia="宋体" w:cs="Times New Roman"/>
      <w:kern w:val="0"/>
      <w:szCs w:val="21"/>
    </w:rPr>
  </w:style>
  <w:style w:type="character" w:customStyle="1" w:styleId="57">
    <w:name w:val="表格字体 Char"/>
    <w:basedOn w:val="26"/>
    <w:link w:val="56"/>
    <w:qFormat/>
    <w:uiPriority w:val="0"/>
    <w:rPr>
      <w:rFonts w:ascii="宋体" w:hAnsi="宋体" w:eastAsia="宋体" w:cs="Times New Roman"/>
      <w:kern w:val="0"/>
      <w:szCs w:val="21"/>
    </w:rPr>
  </w:style>
  <w:style w:type="paragraph" w:customStyle="1" w:styleId="58">
    <w:name w:val="工信院正文"/>
    <w:basedOn w:val="1"/>
    <w:link w:val="59"/>
    <w:qFormat/>
    <w:uiPriority w:val="0"/>
    <w:pPr>
      <w:spacing w:line="600" w:lineRule="exact"/>
      <w:ind w:firstLine="643" w:firstLineChars="200"/>
    </w:pPr>
    <w:rPr>
      <w:rFonts w:ascii="Times New Roman" w:hAnsi="Times New Roman" w:eastAsia="仿宋_GB2312" w:cs="Times New Roman"/>
      <w:sz w:val="32"/>
      <w:szCs w:val="32"/>
    </w:rPr>
  </w:style>
  <w:style w:type="character" w:customStyle="1" w:styleId="59">
    <w:name w:val="工信院正文 字符"/>
    <w:link w:val="58"/>
    <w:qFormat/>
    <w:uiPriority w:val="0"/>
    <w:rPr>
      <w:rFonts w:ascii="Times New Roman" w:hAnsi="Times New Roman" w:eastAsia="仿宋_GB2312" w:cs="Times New Roman"/>
      <w:sz w:val="32"/>
      <w:szCs w:val="32"/>
    </w:rPr>
  </w:style>
  <w:style w:type="paragraph" w:customStyle="1" w:styleId="60">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61">
    <w:name w:val="正文-文本"/>
    <w:link w:val="62"/>
    <w:qFormat/>
    <w:uiPriority w:val="0"/>
    <w:pPr>
      <w:spacing w:line="580" w:lineRule="exact"/>
      <w:ind w:firstLine="200" w:firstLineChars="200"/>
      <w:jc w:val="both"/>
    </w:pPr>
    <w:rPr>
      <w:rFonts w:ascii="Times New Roman" w:hAnsi="Times New Roman" w:eastAsia="仿宋_GB2312" w:cs="Times New Roman"/>
      <w:bCs/>
      <w:kern w:val="2"/>
      <w:sz w:val="32"/>
      <w:szCs w:val="32"/>
      <w:lang w:val="en-US" w:eastAsia="zh-CN" w:bidi="ar-SA"/>
    </w:rPr>
  </w:style>
  <w:style w:type="character" w:customStyle="1" w:styleId="62">
    <w:name w:val="正文-文本 字符"/>
    <w:basedOn w:val="26"/>
    <w:link w:val="61"/>
    <w:qFormat/>
    <w:uiPriority w:val="0"/>
    <w:rPr>
      <w:rFonts w:ascii="Times New Roman" w:hAnsi="Times New Roman" w:eastAsia="仿宋_GB2312" w:cs="Times New Roman"/>
      <w:bCs/>
      <w:kern w:val="2"/>
      <w:sz w:val="32"/>
      <w:szCs w:val="32"/>
    </w:rPr>
  </w:style>
  <w:style w:type="paragraph" w:customStyle="1" w:styleId="63">
    <w:name w:val="A正文"/>
    <w:link w:val="64"/>
    <w:qFormat/>
    <w:uiPriority w:val="0"/>
    <w:pPr>
      <w:adjustRightInd w:val="0"/>
      <w:snapToGrid w:val="0"/>
      <w:spacing w:line="560" w:lineRule="exact"/>
      <w:ind w:firstLine="200" w:firstLineChars="200"/>
      <w:jc w:val="both"/>
    </w:pPr>
    <w:rPr>
      <w:rFonts w:ascii="Times New Roman" w:hAnsi="Times New Roman" w:eastAsia="仿宋_GB2312" w:cs="Times New Roman"/>
      <w:kern w:val="2"/>
      <w:sz w:val="32"/>
      <w:szCs w:val="28"/>
      <w:lang w:val="en-US" w:eastAsia="zh-CN" w:bidi="ar-SA"/>
    </w:rPr>
  </w:style>
  <w:style w:type="character" w:customStyle="1" w:styleId="64">
    <w:name w:val="A正文 Char"/>
    <w:basedOn w:val="26"/>
    <w:link w:val="63"/>
    <w:qFormat/>
    <w:uiPriority w:val="0"/>
    <w:rPr>
      <w:rFonts w:ascii="Times New Roman" w:hAnsi="Times New Roman" w:eastAsia="仿宋_GB2312" w:cs="Times New Roman"/>
      <w:kern w:val="2"/>
      <w:sz w:val="32"/>
      <w:szCs w:val="28"/>
    </w:rPr>
  </w:style>
  <w:style w:type="character" w:customStyle="1" w:styleId="65">
    <w:name w:val="未处理的提及1"/>
    <w:basedOn w:val="26"/>
    <w:semiHidden/>
    <w:unhideWhenUsed/>
    <w:qFormat/>
    <w:uiPriority w:val="99"/>
    <w:rPr>
      <w:color w:val="605E5C"/>
      <w:shd w:val="clear" w:color="auto" w:fill="E1DFDD"/>
    </w:rPr>
  </w:style>
  <w:style w:type="character" w:customStyle="1" w:styleId="66">
    <w:name w:val="未处理的提及2"/>
    <w:basedOn w:val="26"/>
    <w:semiHidden/>
    <w:unhideWhenUsed/>
    <w:qFormat/>
    <w:uiPriority w:val="99"/>
    <w:rPr>
      <w:color w:val="605E5C"/>
      <w:shd w:val="clear" w:color="auto" w:fill="E1DFDD"/>
    </w:rPr>
  </w:style>
  <w:style w:type="paragraph" w:customStyle="1" w:styleId="67">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68">
    <w:name w:val="修订3"/>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9" Type="http://schemas.openxmlformats.org/officeDocument/2006/relationships/fontTable" Target="fontTable.xml"/><Relationship Id="rId78" Type="http://schemas.openxmlformats.org/officeDocument/2006/relationships/customXml" Target="../customXml/item2.xml"/><Relationship Id="rId77" Type="http://schemas.openxmlformats.org/officeDocument/2006/relationships/customXml" Target="../customXml/item1.xml"/><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footer" Target="footer4.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footer" Target="footer3.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jpeg"/><Relationship Id="rId5" Type="http://schemas.openxmlformats.org/officeDocument/2006/relationships/footer" Target="footer2.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jpe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FD5D09-B9F8-4801-A3F6-D055F6877FC1}">
  <ds:schemaRefs/>
</ds:datastoreItem>
</file>

<file path=docProps/app.xml><?xml version="1.0" encoding="utf-8"?>
<Properties xmlns="http://schemas.openxmlformats.org/officeDocument/2006/extended-properties" xmlns:vt="http://schemas.openxmlformats.org/officeDocument/2006/docPropsVTypes">
  <Template>Normal</Template>
  <Pages>192</Pages>
  <Words>9300</Words>
  <Characters>10279</Characters>
  <Lines>624</Lines>
  <Paragraphs>175</Paragraphs>
  <TotalTime>3</TotalTime>
  <ScaleCrop>false</ScaleCrop>
  <LinksUpToDate>false</LinksUpToDate>
  <CharactersWithSpaces>10507</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2025-02-19T11:13:00Z</dcterms:created>
  <dc:creator>lenovo</dc:creator>
  <cp:lastModifiedBy>来莹芳（信息服务专班）</cp:lastModifiedBy>
  <cp:lastPrinted>2025-01-14T04:20:00Z</cp:lastPrinted>
  <dcterms:modified xsi:type="dcterms:W3CDTF">2025-05-13T08:53:23Z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58B69CCCD17548F1AC4664DD775258E9_12</vt:lpwstr>
  </property>
  <property fmtid="{D5CDD505-2E9C-101B-9397-08002B2CF9AE}" pid="4" name="KSOTemplateDocerSaveRecord">
    <vt:lpwstr>eyJoZGlkIjoiMzYxOGY4Mjk1ZGYxZTI1OGY1YjI1YWI1NWFhZGMzN2EiLCJ1c2VySWQiOiI2MDg3OTczOTcifQ==</vt:lpwstr>
  </property>
</Properties>
</file>