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both"/>
        <w:textAlignment w:val="auto"/>
        <w:rPr>
          <w:rFonts w:hint="eastAsia" w:ascii="方正小标宋简体" w:hAnsi="方正小标宋简体" w:eastAsia="方正小标宋简体" w:cs="方正小标宋简体"/>
          <w:color w:val="000000" w:themeColor="text1"/>
          <w:w w:val="9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w w:val="90"/>
          <w:sz w:val="44"/>
          <w:szCs w:val="44"/>
          <w:lang w:eastAsia="zh-CN"/>
          <w14:textFill>
            <w14:solidFill>
              <w14:schemeClr w14:val="tx1"/>
            </w14:solidFill>
          </w14:textFill>
        </w:rPr>
        <w:t>临海市低效工业用地改造提升实施意见（试行）</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楷体_GB2312" w:hAnsi="楷体_GB2312" w:eastAsia="楷体_GB2312" w:cs="楷体_GB2312"/>
          <w:color w:val="000000" w:themeColor="text1"/>
          <w:sz w:val="32"/>
          <w:szCs w:val="32"/>
          <w:lang w:val="en-US" w:eastAsia="zh-CN"/>
          <w14:textFill>
            <w14:solidFill>
              <w14:schemeClr w14:val="tx1"/>
            </w14:solidFill>
          </w14:textFill>
        </w:rPr>
      </w:pP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（征求意见稿）</w:t>
      </w:r>
    </w:p>
    <w:p>
      <w:pPr>
        <w:pStyle w:val="2"/>
        <w:keepNext w:val="0"/>
        <w:keepLines w:val="0"/>
        <w:pageBreakBefore w:val="0"/>
        <w:widowControl w:val="0"/>
        <w:kinsoku/>
        <w:wordWrap/>
        <w:overflowPunct/>
        <w:topLinePunct w:val="0"/>
        <w:autoSpaceDE/>
        <w:autoSpaceDN/>
        <w:bidi w:val="0"/>
        <w:adjustRightInd/>
        <w:snapToGrid/>
        <w:spacing w:after="0" w:line="50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为加快推进我市低效工业用地改造提升工作，进一步有效提升土地利用率，缓解我市企业生产空间压力，根据《浙江省新一轮制造业“腾笼换鸟、凤凰涅槃”攻坚行动方案（2021-2023年）》（浙政发〔2021〕31号）、《台州市人民政府办公室关于优化工业用地项目规划和用地管理再创民营经济新辉煌的若干意见》（台政办发〔2018〕88号</w:t>
      </w:r>
      <w:bookmarkStart w:id="0" w:name="_GoBack"/>
      <w:bookmarkEnd w:id="0"/>
      <w:r>
        <w:rPr>
          <w:rFonts w:hint="default" w:ascii="Times New Roman" w:hAnsi="Times New Roman" w:eastAsia="仿宋_GB2312" w:cs="Times New Roman"/>
          <w:color w:val="auto"/>
          <w:kern w:val="2"/>
          <w:sz w:val="32"/>
          <w:szCs w:val="32"/>
          <w:lang w:val="en-US" w:eastAsia="zh-CN" w:bidi="ar-SA"/>
        </w:rPr>
        <w:t>）、《临海市人民政府关于实施新一轮制造业“腾笼换鸟、凤凰涅槃”攻坚行动的若干意见》（临政发〔2022〕22号）、《临海市城市规划区工业企业改造提升办法（试行）》（临政办发〔2021〕13号）等文件精神，结合我市实际，特制定本政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一、改造提升范围及开发模式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val="0"/>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（一）准入范围。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鼓励全市国土空间规划确定的工业片区、工业点，需要成片联合改造的工业企业可申请纳入我市低效用地再开发项目数据库，项目数据库原则上每年更新一次；现状为工业厂区，后因规划修编，用途调整为非工业用地或划入到城乡规划范围外并不影响近期规划实施的保留工业片区（以下简称保留工业片区）,可结合城市空间形态、业态的兼容，在片区城市更新相关规划的指导下根据具体容积率、密度、高度等规划条件，也可以申请纳入我市低效用地再开发项目数据库，因地制宜地成片联合改造，做到产城融合、可持续更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val="0"/>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（二）改造模式。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1.政府主导成片开发。</w:t>
      </w:r>
      <w:r>
        <w:rPr>
          <w:rFonts w:hint="default" w:ascii="Times New Roman" w:hAnsi="Times New Roman" w:eastAsia="仿宋_GB2312" w:cs="Times New Roman"/>
          <w:color w:val="auto"/>
          <w:kern w:val="2"/>
          <w:sz w:val="32"/>
          <w:szCs w:val="32"/>
          <w:lang w:val="en-US" w:eastAsia="zh-CN" w:bidi="ar-SA"/>
        </w:rPr>
        <w:t>低效工业用地改造开发原则上以政府主导，实行统一规划，统一建设，改造开发范围内的土地由政府统一征收或收回后，实行“带方案”公开出让，按照工业地产模式进行开发建设，厂房建成后置换建筑产权用于企业或村级集体安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①</w:t>
      </w:r>
      <w:r>
        <w:rPr>
          <w:rFonts w:hint="default" w:ascii="Times New Roman" w:hAnsi="Times New Roman" w:eastAsia="仿宋_GB2312" w:cs="Times New Roman"/>
          <w:b w:val="0"/>
          <w:bCs w:val="0"/>
          <w:color w:val="auto"/>
          <w:kern w:val="2"/>
          <w:sz w:val="32"/>
          <w:szCs w:val="32"/>
          <w:lang w:val="en-US" w:eastAsia="zh-CN" w:bidi="ar-SA"/>
        </w:rPr>
        <w:t>国有土地收回后置换建筑产权</w:t>
      </w:r>
      <w:r>
        <w:rPr>
          <w:rFonts w:hint="eastAsia"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片区改造单元内被改造的工业企业应依法申请注销原有产权证书，土地由政府统一收回，改造完成后由被改造企业回购用于安置。被改造企业安置置换建筑产权面积按取得合法权源的土地面积（不包括代征面积）“1.5-2.0倍”计算，或按照持有房屋产权证其记载的合法建筑面积（或按照经批准的建筑面积）“1:1.5”安置。两种安置置换面积由原用地企业自主选择，同时允许企业在安置回购中原底层建筑面积在底层优先安置置换。合法土地面积或合法建筑面积均可等价置换等面积建筑产权，超出部分建筑面积按安置回购价可由企业购回（最高回购建筑面积不得原有超过土地面积@倍）；安置回购价根据建筑成本价、土地收回价等综合考虑确定。政府收回土地后，改造完成后土地年限为50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被改造企业原用地性质为国有划拨的，可先补缴土地出让金后收回。被改造企业回购获得工业厂房系工业地产模式开发，允许分割转让。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②</w:t>
      </w:r>
      <w:r>
        <w:rPr>
          <w:rFonts w:hint="default" w:ascii="Times New Roman" w:hAnsi="Times New Roman" w:eastAsia="仿宋_GB2312" w:cs="Times New Roman"/>
          <w:b w:val="0"/>
          <w:bCs w:val="0"/>
          <w:color w:val="auto"/>
          <w:kern w:val="2"/>
          <w:sz w:val="32"/>
          <w:szCs w:val="32"/>
          <w:lang w:val="en-US" w:eastAsia="zh-CN" w:bidi="ar-SA"/>
        </w:rPr>
        <w:t>集体土地征收后置换建筑产权</w:t>
      </w:r>
      <w:r>
        <w:rPr>
          <w:rFonts w:hint="eastAsia"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为壮大村级集体经济，提高村集体经济组织参与改造的积极性，给予村集体经济组织一定面积的建筑产权补偿奖励。需要改造开发的村集体经济组织按规定核定村留地指标后，依法对改造范围内集体所有土地办理土地征收，并按照被改造区块的容积率*被征收土地面积测算安置回购建筑产权的建筑面积。安置回购价根据建筑成本价、土地征收价格等综合考虑确定。村级集体组织补偿奖励获得的工业厂房系工业地产模式开发，允许分割出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③</w:t>
      </w:r>
      <w:r>
        <w:rPr>
          <w:rFonts w:hint="default" w:ascii="Times New Roman" w:hAnsi="Times New Roman" w:eastAsia="仿宋_GB2312" w:cs="Times New Roman"/>
          <w:b w:val="0"/>
          <w:bCs w:val="0"/>
          <w:color w:val="auto"/>
          <w:kern w:val="2"/>
          <w:sz w:val="32"/>
          <w:szCs w:val="32"/>
          <w:lang w:val="en-US" w:eastAsia="zh-CN" w:bidi="ar-SA"/>
        </w:rPr>
        <w:t>货币化补偿安置</w:t>
      </w:r>
      <w:r>
        <w:rPr>
          <w:rFonts w:hint="eastAsia"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片区改造单元内工业企业无再开发意愿并自愿选择货币安置的，其土地使用权可由政府依法收回或收储，按照《临海市国有建设用地使用权收购补偿实施细则（试行）的通知》（临政办发〔2022〕64号）的相关规定，给予土地使用权人合理货币补偿；涉及国有土地上房屋征收的，按照《国有土地上房屋征收与补偿条例》及《临海市国有土地上工业用房征收与补偿实施办法的通知》有关规定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④</w:t>
      </w:r>
      <w:r>
        <w:rPr>
          <w:rFonts w:hint="default" w:ascii="Times New Roman" w:hAnsi="Times New Roman" w:eastAsia="仿宋_GB2312" w:cs="Times New Roman"/>
          <w:b w:val="0"/>
          <w:bCs w:val="0"/>
          <w:color w:val="auto"/>
          <w:kern w:val="2"/>
          <w:sz w:val="32"/>
          <w:szCs w:val="32"/>
          <w:lang w:val="en-US" w:eastAsia="zh-CN" w:bidi="ar-SA"/>
        </w:rPr>
        <w:t>国有建设用地异地置换</w:t>
      </w:r>
      <w:r>
        <w:rPr>
          <w:rFonts w:hint="eastAsia"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成片改造范围内，对投资项目符合当地产业发展导向，固定资产投资强度、亩均税收、亩均增加值等3项指标按行业分类均到《规范指南（2019）》规定标准1.3倍以上（含1.3倍）的工业企业，可由企业提出申请，经市政府集体研究同意后实行异地置换。置换的土地面积控制在原用地面积的1.5倍以内，置换的新增土地最大面积不得超过30亩。置换的土地使用权以协议方式出让或实行“先租赁后出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2.自主联合开发。</w:t>
      </w:r>
      <w:r>
        <w:rPr>
          <w:rFonts w:hint="default" w:ascii="Times New Roman" w:hAnsi="Times New Roman" w:eastAsia="仿宋_GB2312" w:cs="Times New Roman"/>
          <w:color w:val="auto"/>
          <w:kern w:val="2"/>
          <w:sz w:val="32"/>
          <w:szCs w:val="32"/>
          <w:lang w:val="en-US" w:eastAsia="zh-CN" w:bidi="ar-SA"/>
        </w:rPr>
        <w:t>对于厂房破旧、环境质量差、土地利用率低、存在安全隐患的片区应该拆除后成片联合开发。企业自主联合开发区块面积原则在50亩以上，具体根据片区内路网、较大河流、山体等自然地形分隔的实际情况具体确定，较少片区做到片区内低效工业用地应改尽改即可，较大片区可预留分期改造的条件。成片联合开发的低效工业用地应按照打破边界、统一规划的原则，在权属清晰、双方自愿、价值相当的前提下，拆除原有老旧厂房、重新办理供地手续。涉及出让终止期年限不一致的，按出让终止期最长一宗土地重新确定出让年限,补交差额年限土地出让金。建设项目竣工验收后，根据批准的联合改造方案及产权人的约定，按照原有用地规模不变、产权红线按改造规划重新确定的“定量不定位”办法办理不动产登记，对于少数有利用价值的厂房，在不影响整体开发的情况下，经低效工业用地改造提升工作领导小组（以下简称“市领导小组”）同意后允许保留，并根据片区整体设计方案进行改造。</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b/>
          <w:bCs/>
          <w:color w:val="auto"/>
          <w:kern w:val="2"/>
          <w:sz w:val="32"/>
          <w:szCs w:val="32"/>
          <w:lang w:val="en-US" w:eastAsia="zh-CN" w:bidi="ar-SA"/>
        </w:rPr>
        <w:t>3.单独“零地”技改。</w:t>
      </w:r>
      <w:r>
        <w:rPr>
          <w:rFonts w:hint="default" w:ascii="Times New Roman" w:hAnsi="Times New Roman" w:eastAsia="仿宋_GB2312" w:cs="Times New Roman"/>
          <w:color w:val="auto"/>
          <w:kern w:val="2"/>
          <w:sz w:val="32"/>
          <w:szCs w:val="32"/>
          <w:lang w:val="en-US" w:eastAsia="zh-CN" w:bidi="ar-SA"/>
        </w:rPr>
        <w:t>鼓励多家工业用地连片开发，单独“零地”技改的低效工业用地面积须在20亩以上，单独“零地”技改施改造提高土地投资强度、利用效率和容积率用于企业自身工业生产的，不增收土地价款，并按规定减免城市基础设施配套费。存量工业用地实施改造后用于交易转让（非股权转让）的应调整土地出让合同,并补缴土地出让金和城市基础设施配套费。其中，原取得土地时享受过土地出让金优惠政策的，其优惠部分应予追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单独“零地”技改，只可宗地分割，不可按物业分割登记或转户。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（三）改造提升形式</w:t>
      </w:r>
      <w:r>
        <w:rPr>
          <w:rFonts w:hint="eastAsia" w:ascii="Times New Roman" w:hAnsi="Times New Roman" w:eastAsia="楷体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成片开发的工业企业保留宗地登记，不单独设置围墙，采用绿化景观、地形高差、建筑物、构筑物等自然分隔，鼓励采用园区集中管理。采用园区集中管理的，配套用房可集中设置、占比整体核算。在确保安全、满足职工居住需求、符合产业发展政策的前提下，经市领导小组同意后，可以建设保障性租赁住房、物业用房，配套建设行政办公和生活服务设施用地面积占项目总用地面积的比例上限由7%提高至15%，建筑面积占比上限相应提高至30%，提高部分主要用于建设宿舍型保障性租赁住房。园区面积达50亩以上的，可以配套其他商业服务业用地，配套用地可按工业新业态用地（M0）办理协议出让手续，配套商业服务业用房产权只租不售。为提高园区运营管理能力，鼓励引入市属国有企业也可以招引国内头部产业园区运营商作为第三方运营机构，委托招租运行。配套用房集中设置的企业，不得再扩建非生产性用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成片联合开发并采用集中管理的，内部工业企业也可以选择以小微园的方式参与混合开发。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（四）规划指标</w:t>
      </w:r>
      <w:r>
        <w:rPr>
          <w:rFonts w:hint="eastAsia" w:ascii="Times New Roman" w:hAnsi="Times New Roman" w:eastAsia="楷体_GB2312" w:cs="Times New Roman"/>
          <w:b w:val="0"/>
          <w:bCs w:val="0"/>
          <w:color w:val="auto"/>
          <w:kern w:val="2"/>
          <w:sz w:val="32"/>
          <w:szCs w:val="32"/>
          <w:lang w:val="en-US" w:eastAsia="zh-CN" w:bidi="ar-SA"/>
        </w:rPr>
        <w:t>要求。</w:t>
      </w:r>
      <w:r>
        <w:rPr>
          <w:rFonts w:hint="default" w:ascii="Times New Roman" w:hAnsi="Times New Roman" w:eastAsia="仿宋_GB2312" w:cs="Times New Roman"/>
          <w:color w:val="auto"/>
          <w:kern w:val="2"/>
          <w:sz w:val="32"/>
          <w:szCs w:val="32"/>
          <w:lang w:val="en-US" w:eastAsia="zh-CN" w:bidi="ar-SA"/>
        </w:rPr>
        <w:t>成片改造的低效工业用地在符合规划条件和安全生产的情况下，放宽相关建设指标限制：容积率≦5.0，建筑密度≦60%，绿地率不作要求。鼓励工业上楼，采用在高层建筑中集中生产、办公、研发、设计的都市型工业楼宇，建设社区型工业综合体，在方案满足城市空间要求下，容积率、高度不作限制。工业综合体可以配套其他商业服务业，配套用地可按工业新业态用地（M0）办理协议出让手续，配套商业服务业用房产权只租不售。对改造新增面积部分，不再增收土地价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二、用地保障政策</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（五）</w:t>
      </w:r>
      <w:r>
        <w:rPr>
          <w:rFonts w:hint="eastAsia" w:ascii="Times New Roman" w:hAnsi="Times New Roman" w:eastAsia="楷体_GB2312" w:cs="Times New Roman"/>
          <w:b w:val="0"/>
          <w:bCs w:val="0"/>
          <w:color w:val="auto"/>
          <w:kern w:val="2"/>
          <w:sz w:val="32"/>
          <w:szCs w:val="32"/>
          <w:lang w:val="en-US" w:eastAsia="zh-CN" w:bidi="ar-SA"/>
        </w:rPr>
        <w:t>供地方式。</w:t>
      </w:r>
      <w:r>
        <w:rPr>
          <w:rFonts w:hint="default" w:ascii="Times New Roman" w:hAnsi="Times New Roman" w:eastAsia="仿宋_GB2312" w:cs="Times New Roman"/>
          <w:color w:val="auto"/>
          <w:kern w:val="2"/>
          <w:sz w:val="32"/>
          <w:szCs w:val="32"/>
          <w:lang w:val="en-US" w:eastAsia="zh-CN" w:bidi="ar-SA"/>
        </w:rPr>
        <w:t>对于符合当地产业发展导向的工业企业因优化升级、技术改造、区域整治等需要进行成片联合开发的，在原厂房全部拆除的情况下，经市自然资源规划局审核，报市政府批准后，允许将原工业用地土地使用权按现时点市场价评估并补偿后予以收回，在统一规划后，按照企业原用地面积重新办理协议出让供地手续，用途为工业用地，年限为50年，土地出让金按照现时点市场价格评估确定。</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（六）</w:t>
      </w:r>
      <w:r>
        <w:rPr>
          <w:rFonts w:hint="eastAsia" w:ascii="Times New Roman" w:hAnsi="Times New Roman" w:eastAsia="楷体_GB2312" w:cs="Times New Roman"/>
          <w:b w:val="0"/>
          <w:bCs w:val="0"/>
          <w:color w:val="auto"/>
          <w:kern w:val="2"/>
          <w:sz w:val="32"/>
          <w:szCs w:val="32"/>
          <w:lang w:val="en-US" w:eastAsia="zh-CN" w:bidi="ar-SA"/>
        </w:rPr>
        <w:t>边角地政策。</w:t>
      </w:r>
      <w:r>
        <w:rPr>
          <w:rFonts w:hint="default" w:ascii="Times New Roman" w:hAnsi="Times New Roman" w:eastAsia="仿宋_GB2312" w:cs="Times New Roman"/>
          <w:color w:val="auto"/>
          <w:kern w:val="2"/>
          <w:sz w:val="32"/>
          <w:szCs w:val="32"/>
          <w:lang w:val="en-US" w:eastAsia="zh-CN" w:bidi="ar-SA"/>
        </w:rPr>
        <w:t>允许一并开发周边零星边角地、夹心地。零星边角地、夹心地累计面积不超过原用地面积20%且不超过10亩并同时满足改造后容积率提高20%以上的，或改建筑面积占改造后总建筑面积20%以上的，经市领导小组批准，可办理协议出让手续，土地出让价格以评估价格为准，与邻宗土地合宗后，一并集中再开发。采用小微园方式开发的低效工业用地累计面积不超过总面积的10%，或单幅地块不超过3亩的边角地、夹心地可纳入周边土地一并开发。边角地、夹心地原则上不允许分割转让。</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（七）</w:t>
      </w:r>
      <w:r>
        <w:rPr>
          <w:rFonts w:hint="eastAsia" w:ascii="Times New Roman" w:hAnsi="Times New Roman" w:eastAsia="楷体_GB2312" w:cs="Times New Roman"/>
          <w:b w:val="0"/>
          <w:bCs w:val="0"/>
          <w:color w:val="auto"/>
          <w:kern w:val="2"/>
          <w:sz w:val="32"/>
          <w:szCs w:val="32"/>
          <w:lang w:val="en-US" w:eastAsia="zh-CN" w:bidi="ar-SA"/>
        </w:rPr>
        <w:t>置换地块要求。</w:t>
      </w:r>
      <w:r>
        <w:rPr>
          <w:rFonts w:hint="default" w:ascii="Times New Roman" w:hAnsi="Times New Roman" w:eastAsia="仿宋_GB2312" w:cs="Times New Roman"/>
          <w:color w:val="auto"/>
          <w:kern w:val="2"/>
          <w:sz w:val="32"/>
          <w:szCs w:val="32"/>
          <w:lang w:val="en-US" w:eastAsia="zh-CN" w:bidi="ar-SA"/>
        </w:rPr>
        <w:t>需异地搬迁的低效工业用地改造提升项目，以协议出让方式为原土地使用权人重新安排面积或价值相当的工业用地用于工业项目建设，原用地由市政府收回，置换地块（原地块？）按“标准地”指标要求进行考核。对于用地面积在2亩以下的企业，原则上安排进小微园区，鼓励通过政府回购的模式，按规定返还建筑面积，不再另行返还土地。</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（八）</w:t>
      </w:r>
      <w:r>
        <w:rPr>
          <w:rFonts w:hint="eastAsia" w:ascii="Times New Roman" w:hAnsi="Times New Roman" w:eastAsia="楷体_GB2312" w:cs="Times New Roman"/>
          <w:b w:val="0"/>
          <w:bCs w:val="0"/>
          <w:color w:val="auto"/>
          <w:kern w:val="2"/>
          <w:sz w:val="32"/>
          <w:szCs w:val="32"/>
          <w:lang w:val="en-US" w:eastAsia="zh-CN" w:bidi="ar-SA"/>
        </w:rPr>
        <w:t>妥善处理历史遗留问题。</w:t>
      </w:r>
      <w:r>
        <w:rPr>
          <w:rFonts w:hint="default" w:ascii="Times New Roman" w:hAnsi="Times New Roman" w:eastAsia="仿宋_GB2312" w:cs="Times New Roman"/>
          <w:color w:val="auto"/>
          <w:kern w:val="2"/>
          <w:sz w:val="32"/>
          <w:szCs w:val="32"/>
          <w:lang w:val="en-US" w:eastAsia="zh-CN" w:bidi="ar-SA"/>
        </w:rPr>
        <w:t>2009年12月31日（二调）前已建成使用，无合法用地手续工业厂房，如当前规划用途为工业用地，需实施改造提升的，可按相关政策完善用地手续后，申请纳入我市低效工业用地改造提升项目库。</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2006年8月31日前已建成使用的低效工业用地，企业与村集体已签订土地补偿协议，但没有办理用地手续的，如采用成片联合开发的，需将土地征用并转为国有性质。以协议出让方式给原企业的，还需补办协议出让、先租后让手续,办理的具体条件、认定标准、补办程序按《临海市低效工业用地改造提升用地补办协议出让规范》有关规范执行，详见附件。</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采用成片联合改造的，经村集体依法表决同意，土地保留集体所有性质的，以村集体名义申请改造建设，改造完成后，可采用使用权和经营权分离的方式出租给企业。</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（九）</w:t>
      </w:r>
      <w:r>
        <w:rPr>
          <w:rFonts w:hint="eastAsia" w:ascii="Times New Roman" w:hAnsi="Times New Roman" w:eastAsia="楷体_GB2312" w:cs="Times New Roman"/>
          <w:b w:val="0"/>
          <w:bCs w:val="0"/>
          <w:color w:val="auto"/>
          <w:kern w:val="2"/>
          <w:sz w:val="32"/>
          <w:szCs w:val="32"/>
          <w:lang w:val="en-US" w:eastAsia="zh-CN" w:bidi="ar-SA"/>
        </w:rPr>
        <w:t>明确集体土地处置路径。</w:t>
      </w:r>
      <w:r>
        <w:rPr>
          <w:rFonts w:hint="default" w:ascii="Times New Roman" w:hAnsi="Times New Roman" w:eastAsia="仿宋_GB2312" w:cs="Times New Roman"/>
          <w:color w:val="auto"/>
          <w:kern w:val="2"/>
          <w:sz w:val="32"/>
          <w:szCs w:val="32"/>
          <w:lang w:val="en-US" w:eastAsia="zh-CN" w:bidi="ar-SA"/>
        </w:rPr>
        <w:t>位置相邻的集体建设用地与国有建设用地，可按政策一并纳入改造范围，成片联合开发时可以打包进入土地市场，集体建设用地需要将土地征用并转为国有性质，通过公开交易或协议方式确定使用权人，进行统一规划、统一开发。</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原已取得集体使用性质的企业申请补办协议出让的，按《临海市人民政府办公室关于做好集体使用性质的企业用地补办土地出让手续的通知》（临政办发〔2020〕10号）的相关规定执行，对补办条件“申请补办出让手续的企业，需上一年度工业企业综合评价为A、B类或亩均税收达到行业同等标准”予以放宽，改为“申请补办出让手续的企业应同属地镇（街）先签订《工业用地“标准地”项目投资合同》，对建设期限、投资强度、亩均税收、亩均增加值、容积率等各项指标及相关违约责任进行约定，作为补办土地出让合同的附件进行约束。 </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w:t>
      </w:r>
      <w:r>
        <w:rPr>
          <w:rFonts w:hint="eastAsia" w:ascii="Times New Roman" w:hAnsi="Times New Roman" w:eastAsia="楷体_GB2312" w:cs="Times New Roman"/>
          <w:b w:val="0"/>
          <w:bCs w:val="0"/>
          <w:color w:val="auto"/>
          <w:kern w:val="2"/>
          <w:sz w:val="32"/>
          <w:szCs w:val="32"/>
          <w:lang w:val="en-US" w:eastAsia="zh-CN" w:bidi="ar-SA"/>
        </w:rPr>
        <w:t>严格用途变更。</w:t>
      </w:r>
      <w:r>
        <w:rPr>
          <w:rFonts w:hint="default" w:ascii="Times New Roman" w:hAnsi="Times New Roman" w:eastAsia="仿宋_GB2312" w:cs="Times New Roman"/>
          <w:color w:val="auto"/>
          <w:kern w:val="2"/>
          <w:sz w:val="32"/>
          <w:szCs w:val="32"/>
          <w:lang w:val="en-US" w:eastAsia="zh-CN" w:bidi="ar-SA"/>
        </w:rPr>
        <w:t>国土空间规划确定为工业用途的低效工业用地在改造提升重新签订土地使用合同时要明确规定：擅自将工业用地改变为其他经营性用途的，将由市自然资源规划局无偿收回国有建设用地使用权。</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（十一）加大落实建设用地指标激励政策。</w:t>
      </w:r>
      <w:r>
        <w:rPr>
          <w:rFonts w:hint="default" w:ascii="Times New Roman" w:hAnsi="Times New Roman" w:eastAsia="仿宋_GB2312" w:cs="Times New Roman"/>
          <w:color w:val="auto"/>
          <w:kern w:val="2"/>
          <w:sz w:val="32"/>
          <w:szCs w:val="32"/>
          <w:lang w:val="en-US" w:eastAsia="zh-CN" w:bidi="ar-SA"/>
        </w:rPr>
        <w:t>完善低效工业用地整治指标奖励，对符合条件的整治项目纳入“增存挂钩”机制，将省里奖励的存量与增量按3：1比例确定的新增建设用地指标优先返还，建设用地指标保障所在镇（街）发展产业用地。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三、产权激励政策</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（十二）</w:t>
      </w:r>
      <w:r>
        <w:rPr>
          <w:rFonts w:hint="eastAsia" w:ascii="Times New Roman" w:hAnsi="Times New Roman" w:eastAsia="楷体_GB2312" w:cs="Times New Roman"/>
          <w:b w:val="0"/>
          <w:bCs w:val="0"/>
          <w:color w:val="auto"/>
          <w:kern w:val="2"/>
          <w:sz w:val="32"/>
          <w:szCs w:val="32"/>
          <w:lang w:val="en-US" w:eastAsia="zh-CN" w:bidi="ar-SA"/>
        </w:rPr>
        <w:t>允许分割、转让。</w:t>
      </w:r>
      <w:r>
        <w:rPr>
          <w:rFonts w:hint="default" w:ascii="Times New Roman" w:hAnsi="Times New Roman" w:eastAsia="仿宋_GB2312" w:cs="Times New Roman"/>
          <w:color w:val="auto"/>
          <w:kern w:val="2"/>
          <w:sz w:val="32"/>
          <w:szCs w:val="32"/>
          <w:lang w:val="en-US" w:eastAsia="zh-CN" w:bidi="ar-SA"/>
        </w:rPr>
        <w:t>成片开发后容积率2.5以上的项目，允许新增建筑面积转让，可由市属国有企业回收或转让给优质企业（优质企业参照工业用地“标准地”指标进行核定），转让部份可以按宗地分割。分割登记可按层或幢为单位（原则上最小分割单元不小于2000平方米），并分割为可以独立使用且权属界线封闭的空间后再办理不动产分割登记。</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办公、生活服务等非生产性用房及土地不得单独分割转让、分割抵押。宗地转让时，买受人应与属地镇（街）重新签订《工业用地项目投资合同》，参照“标准地”要求，对建设期限、投资强度、容积率等各项指标及相关违约责任进行约定，作为土地出让合同变更协议的附件。因企业原因造成土地闲置的，应在分割前按规定完成闲置土地的处置。</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分割转让或出租的，受让人或承租方必须符合产业要求，且建筑使用功能与原功能一致，同时企业生产的火灾危险性类别符合原建筑审批要求。</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（十三）</w:t>
      </w:r>
      <w:r>
        <w:rPr>
          <w:rFonts w:hint="eastAsia" w:ascii="Times New Roman" w:hAnsi="Times New Roman" w:eastAsia="楷体_GB2312" w:cs="Times New Roman"/>
          <w:b w:val="0"/>
          <w:bCs w:val="0"/>
          <w:color w:val="auto"/>
          <w:kern w:val="2"/>
          <w:sz w:val="32"/>
          <w:szCs w:val="32"/>
          <w:lang w:val="en-US" w:eastAsia="zh-CN" w:bidi="ar-SA"/>
        </w:rPr>
        <w:t>提升改造品质。</w:t>
      </w:r>
      <w:r>
        <w:rPr>
          <w:rFonts w:hint="default" w:ascii="Times New Roman" w:hAnsi="Times New Roman" w:eastAsia="仿宋_GB2312" w:cs="Times New Roman"/>
          <w:color w:val="auto"/>
          <w:kern w:val="2"/>
          <w:sz w:val="32"/>
          <w:szCs w:val="32"/>
          <w:lang w:val="en-US" w:eastAsia="zh-CN" w:bidi="ar-SA"/>
        </w:rPr>
        <w:t>支持多种资本参与改造，鼓励市属国有平台通过货币安置、实物置换、参股或回租等形式参与开发。积极招引国内头部产业园区运营商通过产权收购、自持运营、回租等形式联合周边企业参与开发运营，按照产业导向，实现产业更新升级，形成优势产业和产业集群，引领高品质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四、财政支持政策</w:t>
      </w:r>
    </w:p>
    <w:p>
      <w:pPr>
        <w:keepNext w:val="0"/>
        <w:keepLines w:val="0"/>
        <w:pageBreakBefore w:val="0"/>
        <w:widowControl w:val="0"/>
        <w:kinsoku/>
        <w:wordWrap/>
        <w:overflowPunct/>
        <w:topLinePunct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（十四）</w:t>
      </w:r>
      <w:r>
        <w:rPr>
          <w:rFonts w:hint="eastAsia" w:ascii="Times New Roman" w:hAnsi="Times New Roman" w:eastAsia="楷体_GB2312" w:cs="Times New Roman"/>
          <w:b w:val="0"/>
          <w:bCs w:val="0"/>
          <w:color w:val="auto"/>
          <w:kern w:val="2"/>
          <w:sz w:val="32"/>
          <w:szCs w:val="32"/>
          <w:lang w:val="en-US" w:eastAsia="zh-CN" w:bidi="ar-SA"/>
        </w:rPr>
        <w:t>落实专项资金。</w:t>
      </w:r>
      <w:r>
        <w:rPr>
          <w:rFonts w:hint="default" w:ascii="Times New Roman" w:hAnsi="Times New Roman" w:eastAsia="仿宋_GB2312" w:cs="Times New Roman"/>
          <w:color w:val="auto"/>
          <w:kern w:val="2"/>
          <w:sz w:val="32"/>
          <w:szCs w:val="32"/>
          <w:lang w:val="en-US" w:eastAsia="zh-CN" w:bidi="ar-SA"/>
        </w:rPr>
        <w:t>在符合国家有关规定的前提下，提取当年度土地出让结算收入的0.5%以上作为“腾笼换鸟”专项经费，用于支持推进低效工业用地改造提升工作。</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（十五）</w:t>
      </w:r>
      <w:r>
        <w:rPr>
          <w:rFonts w:hint="eastAsia" w:ascii="Times New Roman" w:hAnsi="Times New Roman" w:eastAsia="楷体_GB2312" w:cs="Times New Roman"/>
          <w:b w:val="0"/>
          <w:bCs w:val="0"/>
          <w:color w:val="auto"/>
          <w:kern w:val="2"/>
          <w:sz w:val="32"/>
          <w:szCs w:val="32"/>
          <w:lang w:val="en-US" w:eastAsia="zh-CN" w:bidi="ar-SA"/>
        </w:rPr>
        <w:t>落实收益返还。</w:t>
      </w:r>
      <w:r>
        <w:rPr>
          <w:rFonts w:hint="default" w:ascii="Times New Roman" w:hAnsi="Times New Roman" w:eastAsia="仿宋_GB2312" w:cs="Times New Roman"/>
          <w:color w:val="auto"/>
          <w:kern w:val="2"/>
          <w:sz w:val="32"/>
          <w:szCs w:val="32"/>
          <w:lang w:val="en-US" w:eastAsia="zh-CN" w:bidi="ar-SA"/>
        </w:rPr>
        <w:t>对老旧工业区改造提升过程中，协议收回后仍按工业用地重新出让土地的出让收入，除上级规定需计提外，土地净收益及改造提升过程中企业涉及的契税、土地增值税、房产税、城镇土地使用税等地方所得部分，用于支持老旧工业区改造</w:t>
      </w:r>
      <w:r>
        <w:rPr>
          <w:rFonts w:hint="eastAsia"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其中50%奖补给成片拆改50亩以上镇街。</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（十六）</w:t>
      </w:r>
      <w:r>
        <w:rPr>
          <w:rFonts w:hint="eastAsia" w:ascii="Times New Roman" w:hAnsi="Times New Roman" w:eastAsia="楷体_GB2312" w:cs="Times New Roman"/>
          <w:b w:val="0"/>
          <w:bCs w:val="0"/>
          <w:color w:val="auto"/>
          <w:kern w:val="2"/>
          <w:sz w:val="32"/>
          <w:szCs w:val="32"/>
          <w:lang w:val="en-US" w:eastAsia="zh-CN" w:bidi="ar-SA"/>
        </w:rPr>
        <w:t>落实财政补助。</w:t>
      </w:r>
      <w:r>
        <w:rPr>
          <w:rFonts w:hint="default" w:ascii="Times New Roman" w:hAnsi="Times New Roman" w:eastAsia="仿宋_GB2312" w:cs="Times New Roman"/>
          <w:color w:val="auto"/>
          <w:kern w:val="2"/>
          <w:sz w:val="32"/>
          <w:szCs w:val="32"/>
          <w:lang w:val="en-US" w:eastAsia="zh-CN" w:bidi="ar-SA"/>
        </w:rPr>
        <w:t>经批准实施拆建、改扩建、加层改造、利用地下空间等途径提高使用率，改造后容积率达到2.5以上，新建地上建筑面积按100元/平方米给予财政补助，新建地下建筑面积按400元/平方米给予财政补助，单个改造主体最高补助总额不超过100万元。</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（十七）</w:t>
      </w:r>
      <w:r>
        <w:rPr>
          <w:rFonts w:hint="eastAsia" w:ascii="Times New Roman" w:hAnsi="Times New Roman" w:eastAsia="楷体_GB2312" w:cs="Times New Roman"/>
          <w:b w:val="0"/>
          <w:bCs w:val="0"/>
          <w:color w:val="auto"/>
          <w:kern w:val="2"/>
          <w:sz w:val="32"/>
          <w:szCs w:val="32"/>
          <w:lang w:val="en-US" w:eastAsia="zh-CN" w:bidi="ar-SA"/>
        </w:rPr>
        <w:t>落实贡献奖励。</w:t>
      </w:r>
      <w:r>
        <w:rPr>
          <w:rFonts w:hint="default" w:ascii="Times New Roman" w:hAnsi="Times New Roman" w:eastAsia="仿宋_GB2312" w:cs="Times New Roman"/>
          <w:color w:val="auto"/>
          <w:kern w:val="2"/>
          <w:sz w:val="32"/>
          <w:szCs w:val="32"/>
          <w:lang w:val="en-US" w:eastAsia="zh-CN" w:bidi="ar-SA"/>
        </w:rPr>
        <w:t>成片拆改面积100亩以上的项目，在首期工程竣工验收后3年内，入驻企业为规上企业、亩均税收达到属地平均水平以上的，对改造主体给予一定奖励，以土地收回上一年度为基准给予最高不超过其新增地方综合贡献度的50%。</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（十八）</w:t>
      </w:r>
      <w:r>
        <w:rPr>
          <w:rFonts w:hint="eastAsia" w:ascii="Times New Roman" w:hAnsi="Times New Roman" w:eastAsia="楷体_GB2312" w:cs="Times New Roman"/>
          <w:b w:val="0"/>
          <w:bCs w:val="0"/>
          <w:color w:val="auto"/>
          <w:kern w:val="2"/>
          <w:sz w:val="32"/>
          <w:szCs w:val="32"/>
          <w:lang w:val="en-US" w:eastAsia="zh-CN" w:bidi="ar-SA"/>
        </w:rPr>
        <w:t>落实工作需求。</w:t>
      </w:r>
      <w:r>
        <w:rPr>
          <w:rFonts w:hint="default" w:ascii="Times New Roman" w:hAnsi="Times New Roman" w:eastAsia="仿宋_GB2312" w:cs="Times New Roman"/>
          <w:color w:val="auto"/>
          <w:kern w:val="2"/>
          <w:sz w:val="32"/>
          <w:szCs w:val="32"/>
          <w:lang w:val="en-US" w:eastAsia="zh-CN" w:bidi="ar-SA"/>
        </w:rPr>
        <w:t>低效工业用地改造提升工作成效突出的镇街，由市财政专项资金给予适当奖励。鼓励国有资本通过发行专项债，保障改造提升</w:t>
      </w:r>
      <w:r>
        <w:rPr>
          <w:rFonts w:hint="eastAsia" w:ascii="Times New Roman" w:hAnsi="Times New Roman" w:eastAsia="仿宋_GB2312" w:cs="Times New Roman"/>
          <w:color w:val="auto"/>
          <w:kern w:val="2"/>
          <w:sz w:val="32"/>
          <w:szCs w:val="32"/>
          <w:lang w:val="en-US" w:eastAsia="zh-CN" w:bidi="ar-SA"/>
        </w:rPr>
        <w:t>项目资金</w:t>
      </w:r>
      <w:r>
        <w:rPr>
          <w:rFonts w:hint="default" w:ascii="Times New Roman" w:hAnsi="Times New Roman" w:eastAsia="仿宋_GB2312" w:cs="Times New Roman"/>
          <w:color w:val="auto"/>
          <w:kern w:val="2"/>
          <w:sz w:val="32"/>
          <w:szCs w:val="32"/>
          <w:lang w:val="en-US" w:eastAsia="zh-CN" w:bidi="ar-SA"/>
        </w:rPr>
        <w:t>需求。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五、创新服务机制</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（十九）支持分期、分幢登记。</w:t>
      </w:r>
      <w:r>
        <w:rPr>
          <w:rFonts w:hint="default" w:ascii="Times New Roman" w:hAnsi="Times New Roman" w:eastAsia="仿宋_GB2312" w:cs="Times New Roman"/>
          <w:color w:val="auto"/>
          <w:kern w:val="2"/>
          <w:sz w:val="32"/>
          <w:szCs w:val="32"/>
          <w:lang w:val="en-US" w:eastAsia="zh-CN" w:bidi="ar-SA"/>
        </w:rPr>
        <w:t>对单体或成片改造项目用地面积20亩以上的，在确保安全且独立使用的前提下，允许分期建设，分幢验收。</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项目按照建设工程规划许可进行分期或分幢建成的厂房，并已通过消防验收、规划核实、竣工验收备案的，允许项目按分期或分幢办理不动产权登记，但不得转让。待宗地范围内的工业物业按建设工程规划许可内容全部建成，并取得竣工验收备案手续后，给予办理宗地内所有物业不动产权登记。同一建设周期的建设内容应当包括相应的配套设施。</w:t>
      </w:r>
    </w:p>
    <w:p>
      <w:pPr>
        <w:keepNext w:val="0"/>
        <w:keepLines w:val="0"/>
        <w:pageBreakBefore w:val="0"/>
        <w:widowControl w:val="0"/>
        <w:kinsoku/>
        <w:wordWrap/>
        <w:overflowPunct/>
        <w:topLinePunct w:val="0"/>
        <w:bidi w:val="0"/>
        <w:adjustRightInd w:val="0"/>
        <w:snapToGrid w:val="0"/>
        <w:spacing w:line="560" w:lineRule="exact"/>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    </w:t>
      </w:r>
      <w:r>
        <w:rPr>
          <w:rFonts w:hint="default" w:ascii="Times New Roman" w:hAnsi="Times New Roman" w:eastAsia="楷体_GB2312" w:cs="Times New Roman"/>
          <w:b w:val="0"/>
          <w:bCs w:val="0"/>
          <w:color w:val="auto"/>
          <w:kern w:val="2"/>
          <w:sz w:val="32"/>
          <w:szCs w:val="32"/>
          <w:lang w:val="en-US" w:eastAsia="zh-CN" w:bidi="ar-SA"/>
        </w:rPr>
        <w:t>（二十）</w:t>
      </w:r>
      <w:r>
        <w:rPr>
          <w:rFonts w:hint="eastAsia" w:ascii="Times New Roman" w:hAnsi="Times New Roman" w:eastAsia="楷体_GB2312" w:cs="Times New Roman"/>
          <w:b w:val="0"/>
          <w:bCs w:val="0"/>
          <w:color w:val="auto"/>
          <w:kern w:val="2"/>
          <w:sz w:val="32"/>
          <w:szCs w:val="32"/>
          <w:lang w:val="en-US" w:eastAsia="zh-CN" w:bidi="ar-SA"/>
        </w:rPr>
        <w:t>妥善处置违章建筑。</w:t>
      </w:r>
      <w:r>
        <w:rPr>
          <w:rFonts w:hint="default" w:ascii="Times New Roman" w:hAnsi="Times New Roman" w:eastAsia="仿宋_GB2312" w:cs="Times New Roman"/>
          <w:color w:val="auto"/>
          <w:kern w:val="2"/>
          <w:sz w:val="32"/>
          <w:szCs w:val="32"/>
          <w:lang w:val="en-US" w:eastAsia="zh-CN" w:bidi="ar-SA"/>
        </w:rPr>
        <w:t>符合老旧厂房改造提升企业厂区内涉及违法建筑的，在符合结构安全和消防安全的情况下，经属地镇（街道）、开发区核实同意后，可作为企业临时过渡房予以暂时保留。市自然资源规划局凭属地镇（街）、开发区意见办理工程许可。改造完成后，企业需在工程竣工验收前将违法建筑（包括用地红线外的项目部、临时工棚）自行拆除到位。如未拆除到位的，将不予竣工验收，不予办理不动产权登记手续。</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涉及合法用地上的违建厂房，按照《临海市人民政府关于实施新一轮制造业“腾笼换鸟、凤凰涅槃”攻坚行动的若干意见》（临政发〔2022〕22号）的规定补办不动产权证，属地镇（街）按违法建筑面积部分的工程造价5%予以行政处罚。市建设局按违法建设面积部分的工程造价1%，且不低于8元/平方米予以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黑体" w:cs="Times New Roman"/>
          <w:sz w:val="32"/>
          <w:szCs w:val="32"/>
          <w:lang w:val="en-US" w:eastAsia="zh-CN"/>
        </w:rPr>
        <w:t>六、保障措施</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（二十一）</w:t>
      </w:r>
      <w:r>
        <w:rPr>
          <w:rFonts w:hint="eastAsia" w:ascii="Times New Roman" w:hAnsi="Times New Roman" w:eastAsia="楷体_GB2312" w:cs="Times New Roman"/>
          <w:b w:val="0"/>
          <w:bCs w:val="0"/>
          <w:color w:val="auto"/>
          <w:kern w:val="2"/>
          <w:sz w:val="32"/>
          <w:szCs w:val="32"/>
          <w:lang w:val="en-US" w:eastAsia="zh-CN" w:bidi="ar-SA"/>
        </w:rPr>
        <w:t>多途径推进政策处理。</w:t>
      </w:r>
      <w:r>
        <w:rPr>
          <w:rFonts w:hint="default" w:ascii="Times New Roman" w:hAnsi="Times New Roman" w:eastAsia="仿宋_GB2312" w:cs="Times New Roman"/>
          <w:color w:val="auto"/>
          <w:kern w:val="2"/>
          <w:sz w:val="32"/>
          <w:szCs w:val="32"/>
          <w:lang w:val="en-US" w:eastAsia="zh-CN" w:bidi="ar-SA"/>
        </w:rPr>
        <w:t>对拆除重建的项目，多数原权利主体同意改造，少数原权利主体不同意改造的，可积极探索政府裁决和司法裁判等方式。</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（二十二）加强工业用地的管理</w:t>
      </w:r>
      <w:r>
        <w:rPr>
          <w:rFonts w:hint="eastAsia" w:ascii="Times New Roman" w:hAnsi="Times New Roman" w:eastAsia="楷体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建立日常监管巡查机制，大力惩处非法改变用途行为。坚持文明执法与严格执法相结合，形成整治“两违”、淘汰落后产能的高压态势。</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（二十三）加强环境整治</w:t>
      </w:r>
      <w:r>
        <w:rPr>
          <w:rFonts w:hint="eastAsia" w:ascii="Times New Roman" w:hAnsi="Times New Roman" w:eastAsia="楷体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严格落实生态环境相关法律法规要求，健全“散乱污”场所清理整治长效机制，严格整治要求，关停取缔非法用地的场所，责令污染防治设施配套不到位及不符合安全生产条件、存在重大安全和环境污染隐患的企业限期整改，未达到整改要求的将依法关停退出。</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（二十四）加强历史文化保护。</w:t>
      </w:r>
      <w:r>
        <w:rPr>
          <w:rFonts w:hint="default" w:ascii="Times New Roman" w:hAnsi="Times New Roman" w:eastAsia="仿宋_GB2312" w:cs="Times New Roman"/>
          <w:color w:val="auto"/>
          <w:kern w:val="2"/>
          <w:sz w:val="32"/>
          <w:szCs w:val="32"/>
          <w:lang w:val="en-US" w:eastAsia="zh-CN" w:bidi="ar-SA"/>
        </w:rPr>
        <w:t>具有历史文化保护价值的工业遗址、厂房等，不能随意迁移拆除；禁止迁移、砍伐古树名木，严格审批树木砍伐、迁移事项。涉及不可移动文物、历史建筑、历史文化街区等历史文化遗产资源保护的，要依法履行相应审批和备案程序。</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baseline"/>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（二十五）加强项目监管。</w:t>
      </w:r>
      <w:r>
        <w:rPr>
          <w:rFonts w:hint="default" w:ascii="Times New Roman" w:hAnsi="Times New Roman" w:eastAsia="仿宋_GB2312" w:cs="Times New Roman"/>
          <w:color w:val="auto"/>
          <w:kern w:val="2"/>
          <w:sz w:val="32"/>
          <w:szCs w:val="32"/>
          <w:lang w:val="en-US" w:eastAsia="zh-CN" w:bidi="ar-SA"/>
        </w:rPr>
        <w:t>项目批准后，改造主体必须按规定与属地镇（街）签订《工业用地项目投资合同》，参照“标准地”明确开工期限、投产时间、投资强度、产值税收、节能环保、项目退出机制、违约处置措施等具体要求。对核定期内无法履行合同要求的土地使用权人，由相关部门依规依约进行处置。</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b w:val="0"/>
          <w:bCs w:val="0"/>
          <w:color w:val="auto"/>
          <w:kern w:val="2"/>
          <w:sz w:val="32"/>
          <w:szCs w:val="32"/>
          <w:lang w:val="en-US" w:eastAsia="zh-CN" w:bidi="ar-SA"/>
        </w:rPr>
        <w:t>（二十六）加强督查考核。</w:t>
      </w:r>
      <w:r>
        <w:rPr>
          <w:rFonts w:hint="default" w:ascii="Times New Roman" w:hAnsi="Times New Roman" w:eastAsia="仿宋_GB2312" w:cs="Times New Roman"/>
          <w:color w:val="auto"/>
          <w:kern w:val="2"/>
          <w:sz w:val="32"/>
          <w:szCs w:val="32"/>
          <w:lang w:val="en-US" w:eastAsia="zh-CN" w:bidi="ar-SA"/>
        </w:rPr>
        <w:t>由工作专班负责统筹督查各乡镇（街道）、功能区具体工作落实情况，建立专项督查、随机抽查工作机制，全面掌握老旧工业区块改造提升推进情况和实际成效，及时发现解决存在的问题。将老旧工业区块（厂房）改造提升作为重点工作纳入年度考绩考核加分项。</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在实施过程中如遇法律法规和重大政策变化，本政策也作相应调整。本政策由</w:t>
      </w:r>
      <w:r>
        <w:rPr>
          <w:rFonts w:hint="eastAsia" w:ascii="Times New Roman" w:hAnsi="Times New Roman" w:eastAsia="仿宋_GB2312" w:cs="Times New Roman"/>
          <w:color w:val="auto"/>
          <w:kern w:val="2"/>
          <w:sz w:val="32"/>
          <w:szCs w:val="32"/>
          <w:lang w:val="en-US" w:eastAsia="zh-CN" w:bidi="ar-SA"/>
        </w:rPr>
        <w:t>相关</w:t>
      </w:r>
      <w:r>
        <w:rPr>
          <w:rFonts w:hint="default" w:ascii="Times New Roman" w:hAnsi="Times New Roman" w:eastAsia="仿宋_GB2312" w:cs="Times New Roman"/>
          <w:color w:val="auto"/>
          <w:kern w:val="2"/>
          <w:sz w:val="32"/>
          <w:szCs w:val="32"/>
          <w:lang w:val="en-US" w:eastAsia="zh-CN" w:bidi="ar-SA"/>
        </w:rPr>
        <w:t>部门</w:t>
      </w:r>
      <w:r>
        <w:rPr>
          <w:rFonts w:hint="eastAsia" w:ascii="Times New Roman" w:hAnsi="Times New Roman" w:eastAsia="仿宋_GB2312" w:cs="Times New Roman"/>
          <w:color w:val="auto"/>
          <w:kern w:val="2"/>
          <w:sz w:val="32"/>
          <w:szCs w:val="32"/>
          <w:lang w:val="en-US" w:eastAsia="zh-CN" w:bidi="ar-SA"/>
        </w:rPr>
        <w:t>依据职责</w:t>
      </w:r>
      <w:r>
        <w:rPr>
          <w:rFonts w:hint="default" w:ascii="Times New Roman" w:hAnsi="Times New Roman" w:eastAsia="仿宋_GB2312" w:cs="Times New Roman"/>
          <w:color w:val="auto"/>
          <w:kern w:val="2"/>
          <w:sz w:val="32"/>
          <w:szCs w:val="32"/>
          <w:lang w:val="en-US" w:eastAsia="zh-CN" w:bidi="ar-SA"/>
        </w:rPr>
        <w:t>解释。</w:t>
      </w: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本政策自2023年 月 日起施行，有效期   年。</w:t>
      </w:r>
    </w:p>
    <w:p>
      <w:pPr>
        <w:pStyle w:val="2"/>
        <w:rPr>
          <w:rFonts w:hint="default"/>
          <w:lang w:val="en-US" w:eastAsia="zh-CN"/>
        </w:rPr>
      </w:pPr>
    </w:p>
    <w:p>
      <w:pPr>
        <w:keepNext w:val="0"/>
        <w:keepLines w:val="0"/>
        <w:pageBreakBefore w:val="0"/>
        <w:widowControl w:val="0"/>
        <w:kinsoku/>
        <w:wordWrap/>
        <w:overflowPunct/>
        <w:topLinePunct w:val="0"/>
        <w:autoSpaceDE w:val="0"/>
        <w:autoSpaceDN w:val="0"/>
        <w:bidi w:val="0"/>
        <w:adjustRightInd w:val="0"/>
        <w:snapToGrid w:val="0"/>
        <w:spacing w:line="560" w:lineRule="exact"/>
        <w:ind w:firstLine="640" w:firstLineChars="200"/>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附件：临海市低效工业用地改造提升用地补办协议出让规范</w:t>
      </w:r>
    </w:p>
    <w:p>
      <w:pPr>
        <w:rPr>
          <w:rFonts w:hint="default" w:ascii="Times New Roman" w:hAnsi="Times New Roman" w:eastAsia="黑体" w:cs="Times New Roman"/>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color w:val="000000" w:themeColor="text1"/>
          <w:sz w:val="32"/>
          <w:szCs w:val="32"/>
          <w:lang w:val="en-US" w:eastAsia="zh-CN"/>
          <w14:textFill>
            <w14:solidFill>
              <w14:schemeClr w14:val="tx1"/>
            </w14:solidFill>
          </w14:textFill>
        </w:rPr>
        <w:br w:type="page"/>
      </w:r>
    </w:p>
    <w:p>
      <w:pPr>
        <w:spacing w:line="600" w:lineRule="exact"/>
        <w:rPr>
          <w:rFonts w:hint="default" w:ascii="Times New Roman" w:hAnsi="Times New Roman" w:eastAsia="黑体" w:cs="Times New Roman"/>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color w:val="000000" w:themeColor="text1"/>
          <w:sz w:val="32"/>
          <w:szCs w:val="32"/>
          <w:lang w:val="en-US" w:eastAsia="zh-CN"/>
          <w14:textFill>
            <w14:solidFill>
              <w14:schemeClr w14:val="tx1"/>
            </w14:solidFill>
          </w14:textFill>
        </w:rPr>
        <w:t>附件</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rPr>
        <w:t>临海市低效工业用地改造提升用地补办</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rPr>
        <w:t>协议出让规范</w:t>
      </w:r>
    </w:p>
    <w:p>
      <w:pPr>
        <w:keepNext w:val="0"/>
        <w:keepLines w:val="0"/>
        <w:pageBreakBefore w:val="0"/>
        <w:widowControl w:val="0"/>
        <w:kinsoku/>
        <w:wordWrap/>
        <w:overflowPunct/>
        <w:topLinePunct w:val="0"/>
        <w:bidi w:val="0"/>
        <w:spacing w:line="540" w:lineRule="exact"/>
        <w:ind w:firstLine="420" w:firstLineChars="200"/>
        <w:jc w:val="left"/>
        <w:textAlignment w:val="auto"/>
        <w:rPr>
          <w:rFonts w:hint="default" w:ascii="Times New Roman" w:hAnsi="Times New Roman" w:cs="Times New Roman"/>
          <w:szCs w:val="32"/>
        </w:rPr>
      </w:pP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为妥善处置历史遗留问题，对《临海市老旧工业区块成片改造提升若干政策（试行）》企业违法用地需申请补办协议出让的，按以下规范执行：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一、补办协议出让的项目</w:t>
      </w:r>
      <w:r>
        <w:rPr>
          <w:rFonts w:hint="eastAsia" w:ascii="Times New Roman" w:hAnsi="Times New Roman" w:eastAsia="黑体" w:cs="Times New Roman"/>
          <w:sz w:val="32"/>
          <w:szCs w:val="32"/>
          <w:lang w:val="en-US" w:eastAsia="zh-CN"/>
        </w:rPr>
        <w:t>申请条件</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1、违法用地行为发生在2006年8月31日前，并按有关规定处罚到位；</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2、符合国土空间规划；</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3、已支付征地补偿费且被征地村无不同意见的；</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4、政府同意安排的项目，项目业主已预缴土地价款的，并由相关证明材料；</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5、符合产业政策、环保要求，用地指标达到相应建设用地双控指标要求，企业生产经营和税收缴纳正常，以审计报告为准。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二、补办原则</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一是妥善做好征地补偿工作，按现行政策规定办理土地征收手续；</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二是土地出让金应委托3家具有法定资质的评估公司按现时点市场价格进行评估确定地价，经市自然资源规划局地价确认小组确认，并报临海市地价确认领导小组讨论确定后，报市政府常务会议备案；</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三是地上建筑物处置应委托第三方有资质的中介机构提供房屋质量检测报告和消防安全评估报告，检测合格的，经所在镇（街道）确认后，由用地单位按经评估的成本价值回购。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三、认定标准</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1、违法用地时点凭预交土地价款发票、用地协议（意向书）、违法用地处罚决定书、所在地乡镇（街道）违法时间认定证明及其他相关证明材料，进行综合认定。 </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2、预交土地价款是指企业在用地时向镇（街道）、园区缴纳的土地款项，须提供相关收款凭据。</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3、补办项目是否符合产业政策、环保要求以项目主管部门出具的意见为准。</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4、用地指标达到双控指标要求是指补办用地手续时工业用地达到双控指标要求及符合规划总平面要求。</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5、企业亩均税收以市经信局出具意见为准。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四、补办程序</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1、用地单位向各镇（街道）提出补办协议出让用地申请。</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2、各镇（街道）对补办项目初步后，项目未列入成片改造开发，符合有关补办条件的，提交市工业用地成片改造工作领导小组办公室。</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3、市工业用地成片改造工作领导小组办公室牵头各成员单位，出具部门审查意见后，报市政府集体研究。</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4、市政府集体研究同意的，向社会公示5个工作日。</w:t>
      </w:r>
    </w:p>
    <w:p>
      <w:pPr>
        <w:keepNext w:val="0"/>
        <w:keepLines w:val="0"/>
        <w:pageBreakBefore w:val="0"/>
        <w:widowControl w:val="0"/>
        <w:kinsoku/>
        <w:wordWrap/>
        <w:overflowPunct/>
        <w:topLinePunct w:val="0"/>
        <w:autoSpaceDE w:val="0"/>
        <w:autoSpaceDN w:val="0"/>
        <w:bidi w:val="0"/>
        <w:adjustRightInd w:val="0"/>
        <w:snapToGrid w:val="0"/>
        <w:spacing w:line="540" w:lineRule="exact"/>
        <w:ind w:firstLine="640" w:firstLineChars="200"/>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5、市自然资源规划局按照《协议出让国有土地使用权规范》办理协议出让手续。</w:t>
      </w:r>
    </w:p>
    <w:p>
      <w:pPr>
        <w:rPr>
          <w:rFonts w:hint="default" w:ascii="Times New Roman" w:hAnsi="Times New Roman" w:cs="Times New Roman"/>
          <w:lang w:val="en-US" w:eastAsia="zh-CN"/>
        </w:rPr>
      </w:pPr>
    </w:p>
    <w:sectPr>
      <w:footerReference r:id="rId3" w:type="default"/>
      <w:pgSz w:w="11906" w:h="16838"/>
      <w:pgMar w:top="1440" w:right="1797" w:bottom="1440" w:left="179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4MGNjZTM3M2ExNTVjNzJlNTJkNjY1MTExNjdmOTEifQ=="/>
  </w:docVars>
  <w:rsids>
    <w:rsidRoot w:val="00172A27"/>
    <w:rsid w:val="003020C3"/>
    <w:rsid w:val="008A1898"/>
    <w:rsid w:val="019E79C1"/>
    <w:rsid w:val="022A4C8C"/>
    <w:rsid w:val="0426591C"/>
    <w:rsid w:val="06D25E61"/>
    <w:rsid w:val="06FF0FE6"/>
    <w:rsid w:val="08E75A8C"/>
    <w:rsid w:val="0A1D4EC2"/>
    <w:rsid w:val="0A4756DD"/>
    <w:rsid w:val="0AB33026"/>
    <w:rsid w:val="0DBD5921"/>
    <w:rsid w:val="11320FF0"/>
    <w:rsid w:val="11BE112B"/>
    <w:rsid w:val="125863F9"/>
    <w:rsid w:val="126304A5"/>
    <w:rsid w:val="127C2006"/>
    <w:rsid w:val="12875FF6"/>
    <w:rsid w:val="12F712EF"/>
    <w:rsid w:val="13410816"/>
    <w:rsid w:val="13917E0C"/>
    <w:rsid w:val="139C07C7"/>
    <w:rsid w:val="14B506B4"/>
    <w:rsid w:val="15A12799"/>
    <w:rsid w:val="163113EA"/>
    <w:rsid w:val="16EC359C"/>
    <w:rsid w:val="172675B7"/>
    <w:rsid w:val="17405FF3"/>
    <w:rsid w:val="17CA63C6"/>
    <w:rsid w:val="17DC103F"/>
    <w:rsid w:val="181A3D7A"/>
    <w:rsid w:val="18700CA2"/>
    <w:rsid w:val="18BF49FE"/>
    <w:rsid w:val="1A3471D5"/>
    <w:rsid w:val="1AB531BE"/>
    <w:rsid w:val="1ABB5F2C"/>
    <w:rsid w:val="1B45004A"/>
    <w:rsid w:val="1B5C1059"/>
    <w:rsid w:val="1BC5336E"/>
    <w:rsid w:val="1C0C2B77"/>
    <w:rsid w:val="1C63590D"/>
    <w:rsid w:val="1C800B18"/>
    <w:rsid w:val="1C872D62"/>
    <w:rsid w:val="1FEB74F9"/>
    <w:rsid w:val="200238B3"/>
    <w:rsid w:val="20421130"/>
    <w:rsid w:val="204E6E8C"/>
    <w:rsid w:val="209A7A18"/>
    <w:rsid w:val="21B82E5D"/>
    <w:rsid w:val="21D61C64"/>
    <w:rsid w:val="22106B3A"/>
    <w:rsid w:val="23D44C87"/>
    <w:rsid w:val="24880E0A"/>
    <w:rsid w:val="26247B06"/>
    <w:rsid w:val="26B9623D"/>
    <w:rsid w:val="27C869EC"/>
    <w:rsid w:val="27E3639E"/>
    <w:rsid w:val="29233E6E"/>
    <w:rsid w:val="2A0433DA"/>
    <w:rsid w:val="2A077471"/>
    <w:rsid w:val="2A5A367F"/>
    <w:rsid w:val="2AEF0D75"/>
    <w:rsid w:val="2CC21C37"/>
    <w:rsid w:val="2CD5400B"/>
    <w:rsid w:val="2D233B39"/>
    <w:rsid w:val="2D4B2A3E"/>
    <w:rsid w:val="2D9D6EEC"/>
    <w:rsid w:val="2DE870A1"/>
    <w:rsid w:val="2E740924"/>
    <w:rsid w:val="2F73774D"/>
    <w:rsid w:val="3287403C"/>
    <w:rsid w:val="363A3E94"/>
    <w:rsid w:val="3790013D"/>
    <w:rsid w:val="37F65097"/>
    <w:rsid w:val="38F3222B"/>
    <w:rsid w:val="3905700A"/>
    <w:rsid w:val="39964047"/>
    <w:rsid w:val="3AC57488"/>
    <w:rsid w:val="3B217BF3"/>
    <w:rsid w:val="3D9D283C"/>
    <w:rsid w:val="3E791788"/>
    <w:rsid w:val="3EAA48DB"/>
    <w:rsid w:val="3EC31F55"/>
    <w:rsid w:val="3EEB1099"/>
    <w:rsid w:val="3EF86724"/>
    <w:rsid w:val="3F165EAC"/>
    <w:rsid w:val="40CB4A37"/>
    <w:rsid w:val="41032DD6"/>
    <w:rsid w:val="41EF2A42"/>
    <w:rsid w:val="426B7B2A"/>
    <w:rsid w:val="432745A2"/>
    <w:rsid w:val="443934E4"/>
    <w:rsid w:val="44BF2F9B"/>
    <w:rsid w:val="45B229BC"/>
    <w:rsid w:val="45E45185"/>
    <w:rsid w:val="46712740"/>
    <w:rsid w:val="46831749"/>
    <w:rsid w:val="468E063F"/>
    <w:rsid w:val="46D76441"/>
    <w:rsid w:val="47631ACB"/>
    <w:rsid w:val="47D91D8D"/>
    <w:rsid w:val="47EE27E1"/>
    <w:rsid w:val="485F25E4"/>
    <w:rsid w:val="4874699A"/>
    <w:rsid w:val="48FD385A"/>
    <w:rsid w:val="492C45DE"/>
    <w:rsid w:val="498E101D"/>
    <w:rsid w:val="49FB6617"/>
    <w:rsid w:val="4A2A2AC1"/>
    <w:rsid w:val="4A3C0931"/>
    <w:rsid w:val="4BF04695"/>
    <w:rsid w:val="4CAF46AF"/>
    <w:rsid w:val="4CCB1D0D"/>
    <w:rsid w:val="4D1E4AE2"/>
    <w:rsid w:val="4D320EBA"/>
    <w:rsid w:val="4D4D6DAD"/>
    <w:rsid w:val="4DEE007E"/>
    <w:rsid w:val="4E1472CB"/>
    <w:rsid w:val="4E6C65C7"/>
    <w:rsid w:val="50574197"/>
    <w:rsid w:val="51037B79"/>
    <w:rsid w:val="51C3432D"/>
    <w:rsid w:val="529C1F99"/>
    <w:rsid w:val="552873E2"/>
    <w:rsid w:val="552A2ED7"/>
    <w:rsid w:val="55E62556"/>
    <w:rsid w:val="561A0D0A"/>
    <w:rsid w:val="573147F6"/>
    <w:rsid w:val="57B37381"/>
    <w:rsid w:val="594A1D3F"/>
    <w:rsid w:val="59A057C4"/>
    <w:rsid w:val="5BEA7034"/>
    <w:rsid w:val="5C594DF3"/>
    <w:rsid w:val="5D8D4300"/>
    <w:rsid w:val="5E9D7F72"/>
    <w:rsid w:val="5F1B2369"/>
    <w:rsid w:val="5F5C487F"/>
    <w:rsid w:val="607639B0"/>
    <w:rsid w:val="620D2B6B"/>
    <w:rsid w:val="6238202D"/>
    <w:rsid w:val="63032F9F"/>
    <w:rsid w:val="63F94CE7"/>
    <w:rsid w:val="642B3976"/>
    <w:rsid w:val="649A6660"/>
    <w:rsid w:val="64D431E3"/>
    <w:rsid w:val="65593384"/>
    <w:rsid w:val="66F3626C"/>
    <w:rsid w:val="67783E76"/>
    <w:rsid w:val="6876394B"/>
    <w:rsid w:val="68B0721D"/>
    <w:rsid w:val="68C73218"/>
    <w:rsid w:val="69D4487F"/>
    <w:rsid w:val="69F53195"/>
    <w:rsid w:val="6A195757"/>
    <w:rsid w:val="6ABC5A27"/>
    <w:rsid w:val="6AE93251"/>
    <w:rsid w:val="6AF96745"/>
    <w:rsid w:val="6AFD40C4"/>
    <w:rsid w:val="6C055CEC"/>
    <w:rsid w:val="6C9A33A5"/>
    <w:rsid w:val="6D763B9C"/>
    <w:rsid w:val="6D977C87"/>
    <w:rsid w:val="6EF6669A"/>
    <w:rsid w:val="70422316"/>
    <w:rsid w:val="70624F6E"/>
    <w:rsid w:val="70D92838"/>
    <w:rsid w:val="73055CE6"/>
    <w:rsid w:val="77470212"/>
    <w:rsid w:val="797335D8"/>
    <w:rsid w:val="79F20A9E"/>
    <w:rsid w:val="7A2E76D1"/>
    <w:rsid w:val="7C8A526A"/>
    <w:rsid w:val="7CAA17B1"/>
    <w:rsid w:val="7D627792"/>
    <w:rsid w:val="7D74109F"/>
    <w:rsid w:val="7DB002D7"/>
    <w:rsid w:val="7E583553"/>
    <w:rsid w:val="7EE81BF3"/>
    <w:rsid w:val="7F8518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next w:val="1"/>
    <w:qFormat/>
    <w:uiPriority w:val="0"/>
    <w:pPr>
      <w:spacing w:after="0" w:line="500" w:lineRule="exact"/>
      <w:ind w:firstLine="420"/>
    </w:pPr>
    <w:rPr>
      <w:rFonts w:ascii="Times New Roman" w:hAnsi="Times New Roman" w:eastAsia="楷体_GB2312"/>
      <w:sz w:val="28"/>
      <w:szCs w:val="28"/>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able of figures"/>
    <w:basedOn w:val="1"/>
    <w:next w:val="1"/>
    <w:qFormat/>
    <w:uiPriority w:val="99"/>
    <w:pPr>
      <w:widowControl w:val="0"/>
      <w:suppressAutoHyphens/>
      <w:ind w:left="200" w:leftChars="200" w:hanging="200" w:hangingChars="200"/>
      <w:jc w:val="both"/>
    </w:pPr>
    <w:rPr>
      <w:rFonts w:ascii="Calibri" w:hAnsi="Calibri" w:eastAsia="宋体" w:cs="Times New Roman"/>
      <w:kern w:val="2"/>
      <w:sz w:val="20"/>
      <w:szCs w:val="32"/>
      <w:lang w:val="en-US" w:eastAsia="zh-CN" w:bidi="ar-SA"/>
    </w:rPr>
  </w:style>
  <w:style w:type="paragraph" w:customStyle="1" w:styleId="9">
    <w:name w:val="Char"/>
    <w:basedOn w:val="1"/>
    <w:qFormat/>
    <w:uiPriority w:val="99"/>
    <w:pPr>
      <w:widowControl/>
      <w:spacing w:after="160" w:line="240" w:lineRule="exact"/>
      <w:jc w:val="left"/>
    </w:pPr>
    <w:rPr>
      <w:rFonts w:ascii="Verdana" w:hAnsi="Verdana"/>
      <w:kern w:val="0"/>
      <w:sz w:val="24"/>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20</Pages>
  <Words>10313</Words>
  <Characters>10482</Characters>
  <Lines>0</Lines>
  <Paragraphs>0</Paragraphs>
  <TotalTime>18</TotalTime>
  <ScaleCrop>false</ScaleCrop>
  <LinksUpToDate>false</LinksUpToDate>
  <CharactersWithSpaces>10494</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2023-04-17T08:19:00Z</cp:lastPrinted>
  <dcterms:modified xsi:type="dcterms:W3CDTF">2023-04-24T03:10:29Z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7CAED469F7474193BB6472E2843D4CD0</vt:lpwstr>
  </property>
</Properties>
</file>