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ECEC5" w14:textId="77777777" w:rsidR="00AD6BAD" w:rsidRDefault="003E60F1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085813BA" w14:textId="77777777" w:rsidR="00AD6BAD" w:rsidRDefault="00AD6BAD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textAlignment w:val="baseline"/>
        <w:rPr>
          <w:rFonts w:ascii="黑体" w:eastAsia="黑体" w:hAnsi="黑体" w:cs="黑体"/>
          <w:sz w:val="32"/>
          <w:szCs w:val="32"/>
        </w:rPr>
      </w:pPr>
    </w:p>
    <w:p w14:paraId="091BB4EA" w14:textId="77777777" w:rsidR="00AD6BAD" w:rsidRDefault="003E60F1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宁波市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科技型企业孵化器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认定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管理办法</w:t>
      </w:r>
    </w:p>
    <w:p w14:paraId="482FE361" w14:textId="77777777" w:rsidR="00AD6BAD" w:rsidRDefault="003E60F1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/>
          <w:sz w:val="32"/>
          <w:szCs w:val="32"/>
        </w:rPr>
        <w:t>（</w:t>
      </w:r>
      <w:r>
        <w:rPr>
          <w:rFonts w:ascii="Times New Roman" w:eastAsia="楷体" w:hAnsi="Times New Roman" w:cs="楷体" w:hint="eastAsia"/>
          <w:sz w:val="32"/>
          <w:szCs w:val="32"/>
        </w:rPr>
        <w:t>征求意见稿</w:t>
      </w:r>
      <w:r>
        <w:rPr>
          <w:rFonts w:ascii="Times New Roman" w:eastAsia="楷体" w:hAnsi="Times New Roman" w:cs="楷体"/>
          <w:sz w:val="32"/>
          <w:szCs w:val="32"/>
        </w:rPr>
        <w:t>）</w:t>
      </w:r>
    </w:p>
    <w:p w14:paraId="620CC06A" w14:textId="77777777" w:rsidR="00AD6BAD" w:rsidRDefault="00AD6BAD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Times New Roman" w:eastAsia="楷体" w:hAnsi="Times New Roman" w:cs="楷体"/>
          <w:spacing w:val="8"/>
          <w:sz w:val="32"/>
          <w:szCs w:val="32"/>
        </w:rPr>
      </w:pPr>
    </w:p>
    <w:p w14:paraId="645815CE" w14:textId="77777777" w:rsidR="00AD6BAD" w:rsidRDefault="003E60F1">
      <w:pPr>
        <w:overflowPunct w:val="0"/>
        <w:autoSpaceDE w:val="0"/>
        <w:autoSpaceDN w:val="0"/>
        <w:spacing w:line="580" w:lineRule="exact"/>
        <w:ind w:firstLineChars="200" w:firstLine="640"/>
        <w:textAlignment w:val="baseline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一、总则</w:t>
      </w:r>
    </w:p>
    <w:p w14:paraId="4875CF3B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（一）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为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  <w:lang w:eastAsia="zh-CN"/>
        </w:rPr>
        <w:t>分级分类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推动科技型企业孵化器高质量发展，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提升孵化服务效能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持续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  <w:lang w:eastAsia="zh-CN"/>
        </w:rPr>
        <w:t>优化科创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  <w:lang w:eastAsia="zh-CN"/>
        </w:rPr>
        <w:t>生态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  <w:lang w:eastAsia="zh-CN"/>
        </w:rPr>
        <w:t>体系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支撑科技创新和产业创新融合发展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助力发展新质生产力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根据工业和信息化部《科技型企业孵化器管理办法》（工信部科〔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2025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〕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131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号），结合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我市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实际，制定本办法。</w:t>
      </w:r>
    </w:p>
    <w:p w14:paraId="515ED0C7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（二）科技型企业孵化器（含加速器，以下简称孵化器）是指集聚各类要素资源，为科技型初创企业和创业团队提供经营设施、创业辅导、技术支持、投资融资、市场拓展、管理咨询等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全周期、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专业化孵化服务的机构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降低创业风险，以创业带动就业，持续孵化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集聚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企业、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孕育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产业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，培育经济发展新动能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14:paraId="469DEB49" w14:textId="77777777" w:rsidR="00AD6BAD" w:rsidRDefault="003E60F1">
      <w:pPr>
        <w:pStyle w:val="a3"/>
        <w:numPr>
          <w:ilvl w:val="255"/>
          <w:numId w:val="0"/>
        </w:numPr>
        <w:overflowPunct w:val="0"/>
        <w:autoSpaceDE w:val="0"/>
        <w:autoSpaceDN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（三）宁波市科技局组织开展市级科技型企业孵化器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  <w:lang w:eastAsia="zh-CN" w:bidi="ar"/>
        </w:rPr>
        <w:t>培育认定，负责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全市科技型企业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孵化器的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  <w:lang w:eastAsia="zh-CN" w:bidi="ar"/>
        </w:rPr>
        <w:t>规划布局、政策实施、跟踪服务、考核评价等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工作。各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区（县、市）、开发园区科技管理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部门负责本地区孵化器的培育、认定和管理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服务等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工作。</w:t>
      </w:r>
    </w:p>
    <w:p w14:paraId="107985AE" w14:textId="77777777" w:rsidR="00AD6BAD" w:rsidRDefault="003E60F1">
      <w:pPr>
        <w:overflowPunct w:val="0"/>
        <w:autoSpaceDE w:val="0"/>
        <w:autoSpaceDN w:val="0"/>
        <w:spacing w:line="580" w:lineRule="exact"/>
        <w:ind w:firstLineChars="200" w:firstLine="640"/>
        <w:textAlignment w:val="baseline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>
        <w:rPr>
          <w:rFonts w:ascii="Times New Roman" w:eastAsia="黑体" w:hAnsi="Times New Roman" w:cs="Times New Roman"/>
          <w:sz w:val="32"/>
          <w:szCs w:val="32"/>
        </w:rPr>
        <w:t>认定要求</w:t>
      </w:r>
    </w:p>
    <w:p w14:paraId="2730E9C3" w14:textId="77777777" w:rsidR="00AD6BAD" w:rsidRDefault="003E60F1">
      <w:pPr>
        <w:pStyle w:val="a3"/>
        <w:numPr>
          <w:ilvl w:val="255"/>
          <w:numId w:val="0"/>
        </w:numPr>
        <w:overflowPunct w:val="0"/>
        <w:autoSpaceDE w:val="0"/>
        <w:autoSpaceDN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（四）本办法认定的市级孵化器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分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为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基础型、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标准型和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示范型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三类。原则上每年组织一次孵化器评审认定工作。</w:t>
      </w:r>
    </w:p>
    <w:p w14:paraId="10C7E3C6" w14:textId="77777777" w:rsidR="00AD6BAD" w:rsidRDefault="003E60F1">
      <w:pPr>
        <w:pStyle w:val="a3"/>
        <w:numPr>
          <w:ilvl w:val="255"/>
          <w:numId w:val="0"/>
        </w:numPr>
        <w:overflowPunct w:val="0"/>
        <w:autoSpaceDE w:val="0"/>
        <w:autoSpaceDN w:val="0"/>
        <w:spacing w:line="580" w:lineRule="exact"/>
        <w:ind w:firstLineChars="200" w:firstLine="640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申报主体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均需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依法注册，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具有独立法人资格，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在宁波市内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运营满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一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年，经营纳税及信用良好，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具有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完善的运营管理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和孵化服务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体系。</w:t>
      </w:r>
    </w:p>
    <w:p w14:paraId="64622133" w14:textId="77777777" w:rsidR="00AD6BAD" w:rsidRDefault="003E60F1">
      <w:pPr>
        <w:pStyle w:val="a3"/>
        <w:numPr>
          <w:ilvl w:val="255"/>
          <w:numId w:val="0"/>
        </w:numPr>
        <w:overflowPunct w:val="0"/>
        <w:autoSpaceDE w:val="0"/>
        <w:autoSpaceDN w:val="0"/>
        <w:spacing w:line="580" w:lineRule="exact"/>
        <w:ind w:firstLineChars="200" w:firstLine="640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孵化器应当遵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守国家法律法规，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年内未发生重大环保、质量和安全事故，未被列为严重失信主体，没有重大违法行为或涉嫌重大违法正在接受有关部门审查的情况。</w:t>
      </w:r>
    </w:p>
    <w:p w14:paraId="77C9846D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（五）市级基础型孵化器应具备以下条件：</w:t>
      </w:r>
    </w:p>
    <w:p w14:paraId="261EE22F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0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具有稳定清晰的孵化场地，可自主支配（自有、租赁或协议使用）的孵化场地面积不低于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1500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平方米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，其中在孵企业使用面积（含公共服务面积）占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75%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以上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14:paraId="6902847C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0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具备职业化运营团队，团队负责人具有相关从业背景，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在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创业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辅导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、投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资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融资、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市场拓展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等方面经验丰富，配备较强的专业孵化服务人员和创业导师，专职孵化服务人员占机构总人数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80%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以上，每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家在孵企业至少配备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名创业导师。</w:t>
      </w:r>
    </w:p>
    <w:p w14:paraId="3E716B18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0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3.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入驻创业团队和在孵企业数量不少于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个，其中上年度新增注册企业数占比不低于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或新增不少于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家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，且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75%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在孵企业与孵化器专业领域一致。</w:t>
      </w:r>
    </w:p>
    <w:p w14:paraId="3D8845EB" w14:textId="77777777" w:rsidR="00AD6BAD" w:rsidRDefault="003E60F1">
      <w:pPr>
        <w:pStyle w:val="a3"/>
        <w:overflowPunct w:val="0"/>
        <w:spacing w:line="580" w:lineRule="exact"/>
        <w:ind w:firstLine="609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4.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  <w:lang w:eastAsia="zh-CN" w:bidi="ar"/>
        </w:rPr>
        <w:t>具备较为完善的孵化服务能力，能够向在孵企业提供场地、共享设施、技术服务、咨询服务、投资融资、创业辅导、资源对接、市场拓展等孵化服务。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每年开展创业沙龙、项目路演、创业大赛、创业培训等活动不少于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场次。</w:t>
      </w:r>
    </w:p>
    <w:p w14:paraId="359B95F3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0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5.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  <w:lang w:eastAsia="zh-CN" w:bidi="ar"/>
        </w:rPr>
        <w:t>孵化器配备自有种子资金或合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  <w:lang w:eastAsia="zh-CN" w:bidi="ar"/>
        </w:rPr>
        <w:t>作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联动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设立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孵化基金，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资金规模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100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万元，每年有不少于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个资金使用案例。</w:t>
      </w:r>
    </w:p>
    <w:p w14:paraId="0B96353A" w14:textId="092CE51A" w:rsidR="00AD6BAD" w:rsidRDefault="003E60F1">
      <w:pPr>
        <w:pStyle w:val="a3"/>
        <w:overflowPunct w:val="0"/>
        <w:autoSpaceDE w:val="0"/>
        <w:autoSpaceDN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六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）市级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标准型孵化器应具备以下条件</w:t>
      </w:r>
      <w:r w:rsidR="00DB2569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：</w:t>
      </w:r>
      <w:bookmarkStart w:id="0" w:name="_GoBack"/>
      <w:bookmarkEnd w:id="0"/>
    </w:p>
    <w:p w14:paraId="742E81D8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0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具有稳定清晰的孵化场地，可自主支配（自有、租赁或协议使用）的孵化场地面积不低于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3000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平方米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，其中在孵企业使用面积（含公共服务面积）占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75%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以上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孵化器需单独核算孵化服务收入。</w:t>
      </w:r>
    </w:p>
    <w:p w14:paraId="5D2D7A75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0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具备职业化运营团队，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  <w:lang w:eastAsia="zh-CN" w:bidi="ar"/>
        </w:rPr>
        <w:t>拥有完善的孵化服务能力。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团队负责人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在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创业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辅导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、投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资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融资、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市场拓展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等方面经验丰富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，配备较强的专业孵化服务人员和创业导师，专职孵化服务人员占机构总人数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80%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以上，每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家在孵企业至少配备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名创业导师。</w:t>
      </w:r>
    </w:p>
    <w:p w14:paraId="223E1412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0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3.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在孵企业数量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不少于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家，其中上年度新增注册企业数占比不低于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且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75%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在孵企业与孵化器专业领域一致，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上年度至少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10%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的在孵企业成为毕业企业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在孵企业中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科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技型中小企业、创新型中小企业数量占比不低于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14:paraId="50F8D348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0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4.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在孵企业中已申请专利的企业占在孵企业总数比例不低于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30%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或拥有有效知识产权企业占比不低于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14:paraId="2D3694F3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0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5.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上年度通过单独或出资合作设立的孵化资金、股权投资基金等完成股权投资且确权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实缴的在孵企业占比不低于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5%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，或上年度获得投融资的在孵企业占比不低于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15%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14:paraId="7651EE97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（七）市级示范型孵化器应具备以下条件：</w:t>
      </w:r>
    </w:p>
    <w:p w14:paraId="3A2CA0CE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0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聚焦我市重点产业领域，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孵化器发展模式和战略清晰合理，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拥有一支高水平专业孵化服务队伍，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人才培养、团队激励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、创业辅导服务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等方面模式先进、机制灵活，专业服务收入稳定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孵化器需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单独核算孵化服务收入，上年度除房租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及物业之外的收入占总收入的比例不低于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25%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14:paraId="0E7A607E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0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具有稳定清晰的孵化场地，可自主支配（自有、租赁或协议使用）的孵化场地面积不低于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5000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平方米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，其中在孵企业使用面积（含公共服务面积）占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75%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以上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14:paraId="7774C5AA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0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3.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在孵企业数量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不少于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30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家，其中上年度新增注册企业数占比不低于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且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75%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在孵企业与孵化器专业领域一致。科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技型中小企业、创新型中小企业数量占比不低于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14:paraId="5598530B" w14:textId="77777777" w:rsidR="00AD6BAD" w:rsidRDefault="003E60F1">
      <w:pPr>
        <w:pStyle w:val="a3"/>
        <w:overflowPunct w:val="0"/>
        <w:spacing w:line="580" w:lineRule="exact"/>
        <w:ind w:firstLine="609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4.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上年度通过单独或出资合作设立的孵化资金、股权投资基金等完成股权投资且确权实缴的在孵企业占比不低于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，或上年度获得投融资的在孵企业占比不低于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14:paraId="7FB5388E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0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highlight w:val="yellow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5.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带动一批前沿技术成果转化，培育一批成长性好、发展潜力大的科技型企业，企业研发经费投入、营业收入等快速增长。上年度不少于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10%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的在孵企业营业收入或研发经费投入同比增长超过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，至少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10%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的在孵企业成为毕业企业。</w:t>
      </w:r>
    </w:p>
    <w:p w14:paraId="2B77A6DB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0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（八）本办法所称的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在孵企业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是指注册且实际运营在孵化器内，从事新技术新产品研发、生产和服务的被孵化企业，且符合《中小企业划型标准规定》中的小型、微型企业标准。</w:t>
      </w:r>
    </w:p>
    <w:p w14:paraId="018C47DF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0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（九）本办法所称的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毕业企业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是指至少符合以下条件之一的在孵企业，由孵化器自主确定：</w:t>
      </w:r>
    </w:p>
    <w:p w14:paraId="11C0D548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Chars="200" w:firstLine="640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新认定为专精特新中小企业或高新技术企业。</w:t>
      </w:r>
    </w:p>
    <w:p w14:paraId="3F44C290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Chars="200" w:firstLine="640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获得单笔天使投资或风险投资超过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500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万元。</w:t>
      </w:r>
    </w:p>
    <w:p w14:paraId="28E6A394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Chars="200" w:firstLine="640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3.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连续两年营业收入累计超过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1000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万元。</w:t>
      </w:r>
    </w:p>
    <w:p w14:paraId="3EA91D8D" w14:textId="77777777" w:rsidR="00AD6BAD" w:rsidRDefault="003E60F1">
      <w:pPr>
        <w:pStyle w:val="a3"/>
        <w:numPr>
          <w:ilvl w:val="255"/>
          <w:numId w:val="0"/>
        </w:numPr>
        <w:overflowPunct w:val="0"/>
        <w:autoSpaceDE w:val="0"/>
        <w:autoSpaceDN w:val="0"/>
        <w:spacing w:line="580" w:lineRule="exact"/>
        <w:ind w:firstLineChars="200" w:firstLine="640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4.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被兼并、收购或在国内外资本市场挂牌、上市。</w:t>
      </w:r>
    </w:p>
    <w:p w14:paraId="632194FF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22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）原则上同一主体当年度仅可申请认定一种孵化器类型。孵化器需变更认定类型的，相关要求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应当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与新申报一致，在通过新类型认定后，原类型资质自动撤销。</w:t>
      </w:r>
    </w:p>
    <w:p w14:paraId="5F7471B3" w14:textId="77777777" w:rsidR="00AD6BAD" w:rsidRDefault="003E60F1">
      <w:pPr>
        <w:overflowPunct w:val="0"/>
        <w:autoSpaceDE w:val="0"/>
        <w:autoSpaceDN w:val="0"/>
        <w:spacing w:line="580" w:lineRule="exact"/>
        <w:ind w:firstLineChars="200" w:firstLine="640"/>
        <w:textAlignment w:val="baseline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三、认定程序</w:t>
      </w:r>
    </w:p>
    <w:p w14:paraId="3C40CDCD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24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十一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）孵化器运营主体对照分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类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标准，本着自愿的原则，可全年通过提交申请及相关证明材料，申请纳入本市载体培育体系。</w:t>
      </w:r>
    </w:p>
    <w:p w14:paraId="4FA3D1D3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24"/>
        <w:textAlignment w:val="baseline"/>
        <w:outlineLvl w:val="1"/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  <w:t>十二</w:t>
      </w:r>
      <w:r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  <w:t>区（县、市）科技局、开发园区科技管理部门</w:t>
      </w:r>
      <w:r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  <w:t>负责对孵化器申请材料进行</w:t>
      </w:r>
      <w:r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  <w:t>初步</w:t>
      </w:r>
      <w:r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  <w:t>审核和实地核查，并提交书面推荐名单。</w:t>
      </w:r>
    </w:p>
    <w:p w14:paraId="48CA7D85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24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十三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宁波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市科技局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每年适时组织专家对申报材料进行评审和实地抽查，根据专家评审意见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形成拟纳入载体名单。经公示无异议后，发文公布名单。</w:t>
      </w:r>
    </w:p>
    <w:p w14:paraId="27B46231" w14:textId="77777777" w:rsidR="00AD6BAD" w:rsidRDefault="003E60F1">
      <w:pPr>
        <w:overflowPunct w:val="0"/>
        <w:autoSpaceDE w:val="0"/>
        <w:autoSpaceDN w:val="0"/>
        <w:spacing w:line="580" w:lineRule="exact"/>
        <w:ind w:firstLineChars="200" w:firstLine="640"/>
        <w:textAlignment w:val="baseline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</w:t>
      </w:r>
      <w:r>
        <w:rPr>
          <w:rFonts w:ascii="Times New Roman" w:eastAsia="黑体" w:hAnsi="Times New Roman" w:cs="Times New Roman"/>
          <w:sz w:val="32"/>
          <w:szCs w:val="32"/>
        </w:rPr>
        <w:t>日常管理</w:t>
      </w:r>
    </w:p>
    <w:p w14:paraId="6B4D9B7A" w14:textId="77777777" w:rsidR="00AD6BAD" w:rsidRDefault="003E60F1">
      <w:pPr>
        <w:pStyle w:val="a3"/>
        <w:numPr>
          <w:ilvl w:val="255"/>
          <w:numId w:val="0"/>
        </w:numPr>
        <w:overflowPunct w:val="0"/>
        <w:autoSpaceDE w:val="0"/>
        <w:autoSpaceDN w:val="0"/>
        <w:spacing w:line="580" w:lineRule="exact"/>
        <w:ind w:firstLine="632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十四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）分类绩效评价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。宁波市科技局每年组织开展绩效评价，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评价结果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用于指导孵化器提升服务能力和发展水平。评价结果分为优秀（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A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）、良好（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B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）、合格（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C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）、不合格（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D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）四个等级。连续两年绩效评价等级为不合格（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D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的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予以撤销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被撤销认定的孵化器运营主体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两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年内不得再次申报。</w:t>
      </w:r>
    </w:p>
    <w:p w14:paraId="04E00F39" w14:textId="77777777" w:rsidR="00AD6BAD" w:rsidRDefault="003E60F1">
      <w:pPr>
        <w:pStyle w:val="a3"/>
        <w:numPr>
          <w:ilvl w:val="255"/>
          <w:numId w:val="0"/>
        </w:numPr>
        <w:overflowPunct w:val="0"/>
        <w:spacing w:line="580" w:lineRule="exact"/>
        <w:ind w:firstLineChars="200" w:firstLine="640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（十五）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常态化监督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任何组织和个人发现经本办法认定的孵化器相关信息合规性、真实性、准确性等方面存在问题，可实名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向宁波市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科技局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反映，并提供佐证材料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经核实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后依规处置。</w:t>
      </w:r>
    </w:p>
    <w:p w14:paraId="4F900B26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29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六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加强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运营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管理。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经本办法认定的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市级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孵化器，运营主体发生变更、重组、依法终止等情况，以及运营条件发生重大变化的，应在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个月内向所在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区（县、市）科技局、开发园区科技管理部门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报告，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经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核实后报送至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宁波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市科技局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宁波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市科技局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组织进行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备案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，对符合条件的予以变更。</w:t>
      </w:r>
    </w:p>
    <w:p w14:paraId="3AF4B752" w14:textId="77777777" w:rsidR="00AD6BAD" w:rsidRDefault="003E60F1">
      <w:pPr>
        <w:pStyle w:val="a3"/>
        <w:overflowPunct w:val="0"/>
        <w:autoSpaceDE w:val="0"/>
        <w:autoSpaceDN w:val="0"/>
        <w:spacing w:line="580" w:lineRule="exact"/>
        <w:ind w:firstLine="617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十七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对孵化器运营主体在申请认定和接受管理过程中存在弄虚作假、严重失信、偷税漏税等违法违规行为的，以及发生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重大环保、质量和安全事故的，核实后予以撤销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被撤销的孵化器运营主体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年内不得再次申报。</w:t>
      </w:r>
    </w:p>
    <w:p w14:paraId="6096D149" w14:textId="77777777" w:rsidR="00AD6BAD" w:rsidRDefault="003E60F1">
      <w:pPr>
        <w:pStyle w:val="a3"/>
        <w:numPr>
          <w:ilvl w:val="255"/>
          <w:numId w:val="0"/>
        </w:numPr>
        <w:overflowPunct w:val="0"/>
        <w:spacing w:line="580" w:lineRule="exact"/>
        <w:ind w:firstLineChars="200" w:firstLine="640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十八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）落实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国家创新创业类服务机构统计调查制度，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市级及以上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孵化器应按要求及时提供真实完整的统计数据。</w:t>
      </w:r>
    </w:p>
    <w:p w14:paraId="085EE136" w14:textId="77777777" w:rsidR="00AD6BAD" w:rsidRDefault="003E60F1">
      <w:pPr>
        <w:overflowPunct w:val="0"/>
        <w:autoSpaceDE w:val="0"/>
        <w:autoSpaceDN w:val="0"/>
        <w:spacing w:line="580" w:lineRule="exact"/>
        <w:ind w:firstLineChars="200" w:firstLine="640"/>
        <w:textAlignment w:val="baseline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、促进与发展</w:t>
      </w:r>
    </w:p>
    <w:p w14:paraId="5C0B3ABC" w14:textId="77777777" w:rsidR="00AD6BAD" w:rsidRDefault="003E60F1">
      <w:pPr>
        <w:pStyle w:val="a3"/>
        <w:numPr>
          <w:ilvl w:val="255"/>
          <w:numId w:val="0"/>
        </w:numPr>
        <w:overflowPunct w:val="0"/>
        <w:spacing w:line="580" w:lineRule="exact"/>
        <w:ind w:firstLineChars="200" w:firstLine="640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十九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）引导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孵化器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专业化发展，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鼓励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搭建概念验证中心、小试中试平台、开放式服务支撑平台等，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  <w:lang w:eastAsia="zh-CN" w:bidi="ar"/>
        </w:rPr>
        <w:t>提升硬科技创新策源、颠覆性科技成果转化、高成长科技企业孵化和全要素资源整合能力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。对新认定的部级孵化器，卓越级、标准级分别给予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500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万元和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万元奖励；对新认定的省级孵化器，顶尖型、示范型、基础型分别给予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150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万元、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100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万元和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万元奖励；对转型或升级的孵化器，进行差额奖补。</w:t>
      </w:r>
    </w:p>
    <w:p w14:paraId="222B1FC2" w14:textId="77777777" w:rsidR="00AD6BAD" w:rsidRDefault="003E60F1">
      <w:pPr>
        <w:pStyle w:val="a3"/>
        <w:numPr>
          <w:ilvl w:val="255"/>
          <w:numId w:val="0"/>
        </w:numPr>
        <w:overflowPunct w:val="0"/>
        <w:spacing w:line="580" w:lineRule="exact"/>
        <w:ind w:firstLineChars="200" w:firstLine="640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支持有条件的龙头企业、高校、科研院所、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新型研发机构、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投资机构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、平台企业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牵头或参与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建设孵化器，构建功能互补、特色鲜明、开放协同的孵化体系。</w:t>
      </w:r>
    </w:p>
    <w:p w14:paraId="1CC1C443" w14:textId="77777777" w:rsidR="00AD6BAD" w:rsidRDefault="003E60F1">
      <w:pPr>
        <w:pStyle w:val="a3"/>
        <w:numPr>
          <w:ilvl w:val="255"/>
          <w:numId w:val="0"/>
        </w:numPr>
        <w:overflowPunct w:val="0"/>
        <w:autoSpaceDE w:val="0"/>
        <w:autoSpaceDN w:val="0"/>
        <w:spacing w:line="580" w:lineRule="exact"/>
        <w:ind w:firstLineChars="200" w:firstLine="640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（二十）鼓励孵化器加强与高校院所、新型研发机构、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大学科技园、高新园区等接力合作，建立技术转移转化对接机制和项目入孵快速通道。支持孵化器通过联盟、协会等社会组织，联动知识产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权、律师事务所等专业服务平台，为在孵企业提供精准服务。</w:t>
      </w:r>
    </w:p>
    <w:p w14:paraId="170A2EA2" w14:textId="77777777" w:rsidR="00AD6BAD" w:rsidRDefault="003E60F1">
      <w:pPr>
        <w:pStyle w:val="a3"/>
        <w:numPr>
          <w:ilvl w:val="255"/>
          <w:numId w:val="0"/>
        </w:numPr>
        <w:overflowPunct w:val="0"/>
        <w:autoSpaceDE w:val="0"/>
        <w:autoSpaceDN w:val="0"/>
        <w:spacing w:line="580" w:lineRule="exact"/>
        <w:ind w:firstLineChars="200" w:firstLine="640"/>
        <w:textAlignment w:val="baseline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（二十一）鼓励有条件的载体开展投融资服务，加强与天使投资基金、创业投资引导基金、产业投资基金等深度对接。推动与银行、保险、担保等金融机构合作，围绕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投资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+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孵化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模式，开展科技信贷企业创新能力评价，开发创新金融产品和服务。</w:t>
      </w:r>
    </w:p>
    <w:p w14:paraId="61EF9CF9" w14:textId="77777777" w:rsidR="00AD6BAD" w:rsidRDefault="003E60F1">
      <w:pPr>
        <w:overflowPunct w:val="0"/>
        <w:spacing w:line="580" w:lineRule="exact"/>
        <w:ind w:firstLineChars="200" w:firstLine="640"/>
        <w:textAlignment w:val="baseline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十二）依托宁波市大型科研仪器开放共享平台等资源，设立孵化器服务模块，建立在孵企业使用科研仪器资源绿色通道，提升在孵企业检验检测效率。支持科技创新券（科技消费券）用于在孵企业，在孵企业可享受购买专业服务便捷审核通道。</w:t>
      </w:r>
    </w:p>
    <w:p w14:paraId="18516175" w14:textId="77777777" w:rsidR="00AD6BAD" w:rsidRDefault="003E60F1">
      <w:pPr>
        <w:overflowPunct w:val="0"/>
        <w:spacing w:line="580" w:lineRule="exact"/>
        <w:ind w:firstLineChars="200" w:firstLine="640"/>
        <w:textAlignment w:val="baseline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（二十三）区（</w:t>
      </w:r>
      <w:r>
        <w:rPr>
          <w:rFonts w:ascii="Times New Roman" w:eastAsia="仿宋_GB2312" w:hAnsi="Times New Roman" w:cs="Times New Roman"/>
          <w:sz w:val="32"/>
          <w:szCs w:val="32"/>
        </w:rPr>
        <w:t>县、市）科技局，开发园区科技管理部门可</w:t>
      </w:r>
      <w:r>
        <w:rPr>
          <w:rFonts w:ascii="Times New Roman" w:eastAsia="仿宋_GB2312" w:hAnsi="Times New Roman" w:cs="Times New Roman"/>
          <w:sz w:val="32"/>
          <w:szCs w:val="32"/>
        </w:rPr>
        <w:t>结合本地区实际，参照本办法制定</w:t>
      </w:r>
      <w:r>
        <w:rPr>
          <w:rFonts w:ascii="Times New Roman" w:eastAsia="仿宋_GB2312" w:hAnsi="Times New Roman" w:cs="Times New Roman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sz w:val="32"/>
          <w:szCs w:val="32"/>
        </w:rPr>
        <w:t>级孵化器管理办法（众创类孵化载体纳入孵化器管理）。</w:t>
      </w:r>
    </w:p>
    <w:p w14:paraId="1961AAF7" w14:textId="77777777" w:rsidR="00AD6BAD" w:rsidRDefault="003E60F1">
      <w:pPr>
        <w:overflowPunct w:val="0"/>
        <w:autoSpaceDE w:val="0"/>
        <w:autoSpaceDN w:val="0"/>
        <w:spacing w:line="580" w:lineRule="exact"/>
        <w:ind w:firstLineChars="200" w:firstLine="640"/>
        <w:textAlignment w:val="baseline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>、附则</w:t>
      </w:r>
    </w:p>
    <w:p w14:paraId="3190214C" w14:textId="77777777" w:rsidR="00AD6BAD" w:rsidRDefault="003E60F1">
      <w:pPr>
        <w:pStyle w:val="a3"/>
        <w:overflowPunct w:val="0"/>
        <w:spacing w:line="580" w:lineRule="exact"/>
        <w:ind w:firstLineChars="200" w:firstLine="640"/>
        <w:outlineLvl w:val="1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（二十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四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）本办法由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宁波市科学技术局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负责解释，自发布之日起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30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日后施行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，有效期五年。</w:t>
      </w:r>
    </w:p>
    <w:p w14:paraId="5EA2FC9D" w14:textId="77777777" w:rsidR="00AD6BAD" w:rsidRDefault="00AD6BAD"/>
    <w:sectPr w:rsidR="00AD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467E5" w14:textId="77777777" w:rsidR="003E60F1" w:rsidRDefault="003E60F1" w:rsidP="00DB2569">
      <w:r>
        <w:separator/>
      </w:r>
    </w:p>
  </w:endnote>
  <w:endnote w:type="continuationSeparator" w:id="0">
    <w:p w14:paraId="52DBFF14" w14:textId="77777777" w:rsidR="003E60F1" w:rsidRDefault="003E60F1" w:rsidP="00DB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D6DC2" w14:textId="77777777" w:rsidR="003E60F1" w:rsidRDefault="003E60F1" w:rsidP="00DB2569">
      <w:r>
        <w:separator/>
      </w:r>
    </w:p>
  </w:footnote>
  <w:footnote w:type="continuationSeparator" w:id="0">
    <w:p w14:paraId="00E62A1C" w14:textId="77777777" w:rsidR="003E60F1" w:rsidRDefault="003E60F1" w:rsidP="00DB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AD"/>
    <w:rsid w:val="003E60F1"/>
    <w:rsid w:val="00AD6BAD"/>
    <w:rsid w:val="00DB2569"/>
    <w:rsid w:val="42D0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F3E18"/>
  <w15:docId w15:val="{4B203647-2C2F-4A47-BBBF-7B10456F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header"/>
    <w:basedOn w:val="a"/>
    <w:link w:val="a5"/>
    <w:rsid w:val="00DB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B2569"/>
    <w:rPr>
      <w:kern w:val="2"/>
      <w:sz w:val="18"/>
      <w:szCs w:val="18"/>
    </w:rPr>
  </w:style>
  <w:style w:type="paragraph" w:styleId="a6">
    <w:name w:val="footer"/>
    <w:basedOn w:val="a"/>
    <w:link w:val="a7"/>
    <w:rsid w:val="00DB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B25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Surface</cp:lastModifiedBy>
  <cp:revision>2</cp:revision>
  <dcterms:created xsi:type="dcterms:W3CDTF">2025-08-22T09:41:00Z</dcterms:created>
  <dcterms:modified xsi:type="dcterms:W3CDTF">2025-08-22T10:36:00Z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eyJoZGlkIjoiNDAwMmU3M2IwYTE5NDhhMDY3Y2JlZGJkZDg3M2FkYzAiLCJ1c2VySWQiOiI3NTA1MzUzMzgifQ==</vt:lpwstr>
  </property>
  <property fmtid="{D5CDD505-2E9C-101B-9397-08002B2CF9AE}" pid="4" name="ICV">
    <vt:lpwstr>510D404A0CC44579B06CC572F5BF4C78_12</vt:lpwstr>
  </property>
</Properties>
</file>