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69" w:rsidRDefault="00A12D99" w:rsidP="00F20BC4">
      <w:pPr>
        <w:spacing w:line="600" w:lineRule="exact"/>
        <w:rPr>
          <w:rFonts w:ascii="方正小标宋简体" w:eastAsia="方正小标宋简体" w:hAnsi="宋体"/>
          <w:sz w:val="44"/>
          <w:szCs w:val="44"/>
        </w:rPr>
      </w:pPr>
      <w:r>
        <w:rPr>
          <w:rFonts w:ascii="方正小标宋简体" w:eastAsia="方正小标宋简体" w:hAnsi="宋体" w:hint="eastAsia"/>
          <w:sz w:val="44"/>
          <w:szCs w:val="44"/>
        </w:rPr>
        <w:t>《</w:t>
      </w:r>
      <w:r w:rsidR="00F20BC4">
        <w:rPr>
          <w:rFonts w:ascii="方正小标宋简体" w:eastAsia="方正小标宋简体" w:hAnsi="宋体" w:hint="eastAsia"/>
          <w:sz w:val="44"/>
          <w:szCs w:val="44"/>
        </w:rPr>
        <w:t>常山县</w:t>
      </w:r>
      <w:r w:rsidR="00F20BC4">
        <w:rPr>
          <w:rFonts w:ascii="方正小标宋简体" w:eastAsia="方正小标宋简体" w:hAnsi="宋体"/>
          <w:sz w:val="44"/>
          <w:szCs w:val="44"/>
        </w:rPr>
        <w:t>人民政府</w:t>
      </w:r>
      <w:r>
        <w:rPr>
          <w:rFonts w:ascii="方正小标宋简体" w:eastAsia="方正小标宋简体" w:hAnsi="宋体" w:hint="eastAsia"/>
          <w:sz w:val="44"/>
          <w:szCs w:val="44"/>
        </w:rPr>
        <w:t>关于调整</w:t>
      </w:r>
      <w:r>
        <w:rPr>
          <w:rFonts w:ascii="方正小标宋简体" w:eastAsia="方正小标宋简体" w:hAnsi="宋体" w:hint="eastAsia"/>
          <w:sz w:val="44"/>
          <w:szCs w:val="44"/>
        </w:rPr>
        <w:t>完善常山县</w:t>
      </w:r>
      <w:r>
        <w:rPr>
          <w:rFonts w:ascii="方正小标宋简体" w:eastAsia="方正小标宋简体" w:hAnsi="宋体" w:hint="eastAsia"/>
          <w:sz w:val="44"/>
          <w:szCs w:val="44"/>
        </w:rPr>
        <w:t>征地补偿安置政策的</w:t>
      </w:r>
      <w:r>
        <w:rPr>
          <w:rFonts w:ascii="方正小标宋简体" w:eastAsia="方正小标宋简体" w:hAnsi="宋体" w:hint="eastAsia"/>
          <w:sz w:val="44"/>
          <w:szCs w:val="44"/>
        </w:rPr>
        <w:t>通知</w:t>
      </w:r>
      <w:r>
        <w:rPr>
          <w:rFonts w:ascii="方正小标宋简体" w:eastAsia="方正小标宋简体" w:hAnsi="宋体" w:hint="eastAsia"/>
          <w:sz w:val="44"/>
          <w:szCs w:val="44"/>
        </w:rPr>
        <w:t>（</w:t>
      </w:r>
      <w:r>
        <w:rPr>
          <w:rFonts w:ascii="方正小标宋简体" w:eastAsia="方正小标宋简体" w:hAnsi="宋体" w:hint="eastAsia"/>
          <w:sz w:val="44"/>
          <w:szCs w:val="44"/>
        </w:rPr>
        <w:t>征求意见稿）</w:t>
      </w:r>
      <w:r>
        <w:rPr>
          <w:rFonts w:ascii="方正小标宋简体" w:eastAsia="方正小标宋简体" w:hAnsi="宋体" w:hint="eastAsia"/>
          <w:sz w:val="44"/>
          <w:szCs w:val="44"/>
        </w:rPr>
        <w:t>》的起草说明</w:t>
      </w:r>
    </w:p>
    <w:p w:rsidR="009B4B69" w:rsidRDefault="009B4B69">
      <w:pPr>
        <w:ind w:firstLineChars="200" w:firstLine="640"/>
        <w:rPr>
          <w:rFonts w:ascii="黑体" w:eastAsia="黑体" w:hAnsi="黑体"/>
          <w:sz w:val="32"/>
          <w:szCs w:val="32"/>
        </w:rPr>
      </w:pPr>
    </w:p>
    <w:p w:rsidR="009B4B69" w:rsidRDefault="00A12D99">
      <w:pPr>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基本情况</w:t>
      </w:r>
    </w:p>
    <w:p w:rsidR="009B4B69" w:rsidRDefault="00A12D99">
      <w:pPr>
        <w:autoSpaceDE w:val="0"/>
        <w:autoSpaceDN w:val="0"/>
        <w:adjustRightInd w:val="0"/>
        <w:spacing w:line="700" w:lineRule="exact"/>
        <w:ind w:firstLineChars="200" w:firstLine="640"/>
        <w:rPr>
          <w:rFonts w:ascii="仿宋" w:eastAsia="仿宋" w:hAnsi="仿宋" w:cs="仿宋"/>
          <w:sz w:val="32"/>
          <w:szCs w:val="32"/>
        </w:rPr>
      </w:pPr>
      <w:r>
        <w:rPr>
          <w:rFonts w:ascii="仿宋" w:eastAsia="仿宋" w:hAnsi="仿宋" w:cs="仿宋" w:hint="eastAsia"/>
          <w:sz w:val="32"/>
          <w:szCs w:val="32"/>
        </w:rPr>
        <w:t>为进一步加强征地服务和管理，切实维护被征地农民的合法权益，维护社会稳定，促进经济社会高质量发展，</w:t>
      </w:r>
      <w:r>
        <w:rPr>
          <w:rFonts w:ascii="仿宋" w:eastAsia="仿宋" w:hAnsi="仿宋" w:cs="仿宋" w:hint="eastAsia"/>
          <w:sz w:val="32"/>
          <w:szCs w:val="32"/>
        </w:rPr>
        <w:t>根据</w:t>
      </w:r>
      <w:r>
        <w:rPr>
          <w:rFonts w:ascii="仿宋" w:eastAsia="仿宋" w:hAnsi="仿宋" w:cs="仿宋" w:hint="eastAsia"/>
          <w:sz w:val="32"/>
          <w:szCs w:val="32"/>
        </w:rPr>
        <w:t>《</w:t>
      </w:r>
      <w:r>
        <w:rPr>
          <w:rFonts w:ascii="仿宋" w:eastAsia="仿宋" w:hAnsi="仿宋" w:cs="仿宋" w:hint="eastAsia"/>
          <w:sz w:val="32"/>
          <w:szCs w:val="32"/>
        </w:rPr>
        <w:t>浙江省自然资源厅关于重新公布全省征地区片综合地价最低保护标准的通知</w:t>
      </w:r>
      <w:r>
        <w:rPr>
          <w:rFonts w:ascii="仿宋" w:eastAsia="仿宋" w:hAnsi="仿宋" w:cs="仿宋" w:hint="eastAsia"/>
          <w:sz w:val="32"/>
          <w:szCs w:val="32"/>
        </w:rPr>
        <w:t>》（</w:t>
      </w:r>
      <w:r>
        <w:rPr>
          <w:rFonts w:ascii="Times New Roman" w:eastAsia="仿宋_GB2312" w:hAnsi="Times New Roman"/>
          <w:snapToGrid w:val="0"/>
          <w:color w:val="000000"/>
          <w:kern w:val="0"/>
          <w:sz w:val="32"/>
          <w:szCs w:val="32"/>
        </w:rPr>
        <w:t>浙自然资规〔</w:t>
      </w:r>
      <w:r>
        <w:rPr>
          <w:rFonts w:ascii="Times New Roman" w:eastAsia="仿宋_GB2312" w:hAnsi="Times New Roman"/>
          <w:snapToGrid w:val="0"/>
          <w:color w:val="000000"/>
          <w:kern w:val="0"/>
          <w:sz w:val="32"/>
          <w:szCs w:val="32"/>
        </w:rPr>
        <w:t>20</w:t>
      </w:r>
      <w:r>
        <w:rPr>
          <w:rFonts w:ascii="Times New Roman" w:eastAsia="仿宋_GB2312" w:hAnsi="Times New Roman"/>
          <w:snapToGrid w:val="0"/>
          <w:color w:val="000000"/>
          <w:kern w:val="0"/>
          <w:sz w:val="32"/>
          <w:szCs w:val="32"/>
        </w:rPr>
        <w:t>2</w:t>
      </w:r>
      <w:r>
        <w:rPr>
          <w:rFonts w:ascii="Times New Roman" w:eastAsia="仿宋_GB2312" w:hAnsi="Times New Roman" w:hint="eastAsia"/>
          <w:snapToGrid w:val="0"/>
          <w:color w:val="000000"/>
          <w:kern w:val="0"/>
          <w:sz w:val="32"/>
          <w:szCs w:val="32"/>
        </w:rPr>
        <w:t>3</w:t>
      </w:r>
      <w:r>
        <w:rPr>
          <w:rFonts w:ascii="Times New Roman" w:eastAsia="仿宋_GB2312" w:hAnsi="Times New Roman"/>
          <w:snapToGrid w:val="0"/>
          <w:color w:val="000000"/>
          <w:kern w:val="0"/>
          <w:sz w:val="32"/>
          <w:szCs w:val="32"/>
        </w:rPr>
        <w:t>〕</w:t>
      </w:r>
      <w:r>
        <w:rPr>
          <w:rFonts w:ascii="Times New Roman" w:eastAsia="仿宋_GB2312" w:hAnsi="Times New Roman" w:hint="eastAsia"/>
          <w:snapToGrid w:val="0"/>
          <w:color w:val="000000"/>
          <w:kern w:val="0"/>
          <w:sz w:val="32"/>
          <w:szCs w:val="32"/>
        </w:rPr>
        <w:t>12</w:t>
      </w:r>
      <w:r>
        <w:rPr>
          <w:rFonts w:ascii="Times New Roman" w:eastAsia="仿宋_GB2312" w:hAnsi="Times New Roman"/>
          <w:snapToGrid w:val="0"/>
          <w:color w:val="000000"/>
          <w:kern w:val="0"/>
          <w:sz w:val="32"/>
          <w:szCs w:val="32"/>
        </w:rPr>
        <w:t>号</w:t>
      </w:r>
      <w:r>
        <w:rPr>
          <w:rFonts w:ascii="Times New Roman" w:eastAsia="仿宋_GB2312" w:hAnsi="Times New Roman" w:hint="eastAsia"/>
          <w:snapToGrid w:val="0"/>
          <w:color w:val="000000"/>
          <w:kern w:val="0"/>
          <w:sz w:val="32"/>
          <w:szCs w:val="32"/>
        </w:rPr>
        <w:t>）</w:t>
      </w:r>
      <w:r>
        <w:rPr>
          <w:rFonts w:ascii="仿宋" w:eastAsia="仿宋" w:hAnsi="仿宋" w:cs="仿宋" w:hint="eastAsia"/>
          <w:sz w:val="32"/>
          <w:szCs w:val="32"/>
        </w:rPr>
        <w:t>的规定</w:t>
      </w:r>
      <w:r>
        <w:rPr>
          <w:rFonts w:ascii="仿宋" w:eastAsia="仿宋" w:hAnsi="仿宋" w:cs="仿宋" w:hint="eastAsia"/>
          <w:sz w:val="32"/>
          <w:szCs w:val="32"/>
        </w:rPr>
        <w:t>，结合我县征地实际，</w:t>
      </w:r>
      <w:r>
        <w:rPr>
          <w:rFonts w:ascii="仿宋" w:eastAsia="仿宋" w:hAnsi="仿宋" w:cs="仿宋" w:hint="eastAsia"/>
          <w:sz w:val="32"/>
          <w:szCs w:val="32"/>
        </w:rPr>
        <w:t>常山县自然资源和规划局草拟形成</w:t>
      </w:r>
      <w:r>
        <w:rPr>
          <w:rFonts w:ascii="仿宋" w:eastAsia="仿宋" w:hAnsi="仿宋" w:cs="仿宋" w:hint="eastAsia"/>
          <w:sz w:val="32"/>
          <w:szCs w:val="32"/>
        </w:rPr>
        <w:t>《</w:t>
      </w:r>
      <w:r w:rsidR="00F20BC4">
        <w:rPr>
          <w:rFonts w:ascii="仿宋" w:eastAsia="仿宋" w:hAnsi="仿宋" w:cs="仿宋" w:hint="eastAsia"/>
          <w:sz w:val="32"/>
          <w:szCs w:val="32"/>
        </w:rPr>
        <w:t>常山县</w:t>
      </w:r>
      <w:r w:rsidR="00F20BC4">
        <w:rPr>
          <w:rFonts w:ascii="仿宋" w:eastAsia="仿宋" w:hAnsi="仿宋" w:cs="仿宋"/>
          <w:sz w:val="32"/>
          <w:szCs w:val="32"/>
        </w:rPr>
        <w:t>人民政府</w:t>
      </w:r>
      <w:r>
        <w:rPr>
          <w:rFonts w:ascii="仿宋" w:eastAsia="仿宋" w:hAnsi="仿宋" w:cs="仿宋" w:hint="eastAsia"/>
          <w:sz w:val="32"/>
          <w:szCs w:val="32"/>
        </w:rPr>
        <w:t>关于调整</w:t>
      </w:r>
      <w:r>
        <w:rPr>
          <w:rFonts w:ascii="仿宋" w:eastAsia="仿宋" w:hAnsi="仿宋" w:cs="仿宋" w:hint="eastAsia"/>
          <w:sz w:val="32"/>
          <w:szCs w:val="32"/>
        </w:rPr>
        <w:t>完善常山县</w:t>
      </w:r>
      <w:r>
        <w:rPr>
          <w:rFonts w:ascii="仿宋" w:eastAsia="仿宋" w:hAnsi="仿宋" w:cs="仿宋" w:hint="eastAsia"/>
          <w:sz w:val="32"/>
          <w:szCs w:val="32"/>
        </w:rPr>
        <w:t>征地补偿安置政策的通知</w:t>
      </w:r>
      <w:r>
        <w:rPr>
          <w:rFonts w:ascii="仿宋" w:eastAsia="仿宋" w:hAnsi="仿宋" w:cs="仿宋" w:hint="eastAsia"/>
          <w:sz w:val="32"/>
          <w:szCs w:val="32"/>
        </w:rPr>
        <w:t>（</w:t>
      </w:r>
      <w:r>
        <w:rPr>
          <w:rFonts w:ascii="仿宋" w:eastAsia="仿宋" w:hAnsi="仿宋" w:cs="仿宋" w:hint="eastAsia"/>
          <w:sz w:val="32"/>
          <w:szCs w:val="32"/>
        </w:rPr>
        <w:t>征求意见稿）</w:t>
      </w:r>
      <w:r>
        <w:rPr>
          <w:rFonts w:ascii="仿宋" w:eastAsia="仿宋" w:hAnsi="仿宋" w:cs="仿宋" w:hint="eastAsia"/>
          <w:sz w:val="32"/>
          <w:szCs w:val="32"/>
        </w:rPr>
        <w:t>》（以下简称《通知》）。</w:t>
      </w:r>
    </w:p>
    <w:p w:rsidR="009B4B69" w:rsidRDefault="00A12D99">
      <w:pPr>
        <w:ind w:firstLineChars="200" w:firstLine="640"/>
        <w:rPr>
          <w:rFonts w:ascii="黑体" w:eastAsia="黑体" w:hAnsi="黑体"/>
          <w:sz w:val="32"/>
          <w:szCs w:val="32"/>
        </w:rPr>
      </w:pPr>
      <w:r>
        <w:rPr>
          <w:rFonts w:ascii="黑体" w:eastAsia="黑体" w:hAnsi="黑体" w:hint="eastAsia"/>
          <w:sz w:val="32"/>
          <w:szCs w:val="32"/>
        </w:rPr>
        <w:t>二、制定文件的必要性和可行性</w:t>
      </w:r>
    </w:p>
    <w:p w:rsidR="009B4B69" w:rsidRDefault="00A12D99">
      <w:pPr>
        <w:pStyle w:val="a8"/>
        <w:shd w:val="clear" w:color="auto" w:fill="FFFFFF"/>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w:t>
      </w:r>
      <w:r>
        <w:rPr>
          <w:rFonts w:ascii="仿宋" w:eastAsia="仿宋" w:hAnsi="仿宋" w:cs="仿宋" w:hint="eastAsia"/>
          <w:sz w:val="32"/>
          <w:szCs w:val="32"/>
        </w:rPr>
        <w:t>《</w:t>
      </w:r>
      <w:r>
        <w:rPr>
          <w:rFonts w:ascii="仿宋" w:eastAsia="仿宋" w:hAnsi="仿宋" w:cs="仿宋" w:hint="eastAsia"/>
          <w:sz w:val="32"/>
          <w:szCs w:val="32"/>
        </w:rPr>
        <w:t>浙江省土地管理条例》</w:t>
      </w:r>
      <w:r>
        <w:rPr>
          <w:rFonts w:ascii="仿宋" w:eastAsia="仿宋" w:hAnsi="仿宋" w:cs="仿宋" w:hint="eastAsia"/>
          <w:sz w:val="32"/>
          <w:szCs w:val="32"/>
        </w:rPr>
        <w:t>有关规定和《自然资源部办公厅关于加快制定征收农用地区片综合地价工作的通知》（自然资办发</w:t>
      </w:r>
      <w:r>
        <w:rPr>
          <w:rFonts w:ascii="仿宋" w:eastAsia="仿宋" w:hAnsi="仿宋" w:cs="仿宋" w:hint="eastAsia"/>
          <w:sz w:val="32"/>
          <w:szCs w:val="32"/>
        </w:rPr>
        <w:t>[2019]53</w:t>
      </w:r>
      <w:r>
        <w:rPr>
          <w:rFonts w:ascii="仿宋" w:eastAsia="仿宋" w:hAnsi="仿宋" w:cs="仿宋" w:hint="eastAsia"/>
          <w:sz w:val="32"/>
          <w:szCs w:val="32"/>
        </w:rPr>
        <w:t>号）以及《</w:t>
      </w:r>
      <w:r>
        <w:rPr>
          <w:rFonts w:ascii="仿宋" w:eastAsia="仿宋" w:hAnsi="仿宋" w:cs="仿宋" w:hint="eastAsia"/>
          <w:sz w:val="32"/>
          <w:szCs w:val="32"/>
        </w:rPr>
        <w:t>浙江省自然资源厅关于重新公布全省征地区片综合地价最低保护标准的通知</w:t>
      </w:r>
      <w:r>
        <w:rPr>
          <w:rFonts w:ascii="仿宋" w:eastAsia="仿宋" w:hAnsi="仿宋" w:cs="仿宋" w:hint="eastAsia"/>
          <w:sz w:val="32"/>
          <w:szCs w:val="32"/>
        </w:rPr>
        <w:t>》（</w:t>
      </w:r>
      <w:r>
        <w:rPr>
          <w:rFonts w:ascii="Times New Roman" w:eastAsia="仿宋_GB2312" w:hAnsi="Times New Roman"/>
          <w:snapToGrid w:val="0"/>
          <w:color w:val="000000"/>
          <w:kern w:val="0"/>
          <w:sz w:val="32"/>
          <w:szCs w:val="32"/>
        </w:rPr>
        <w:t>浙自然资规〔</w:t>
      </w:r>
      <w:r>
        <w:rPr>
          <w:rFonts w:ascii="Times New Roman" w:eastAsia="仿宋_GB2312" w:hAnsi="Times New Roman"/>
          <w:snapToGrid w:val="0"/>
          <w:color w:val="000000"/>
          <w:kern w:val="0"/>
          <w:sz w:val="32"/>
          <w:szCs w:val="32"/>
        </w:rPr>
        <w:t>20</w:t>
      </w:r>
      <w:r>
        <w:rPr>
          <w:rFonts w:ascii="Times New Roman" w:eastAsia="仿宋_GB2312" w:hAnsi="Times New Roman"/>
          <w:snapToGrid w:val="0"/>
          <w:color w:val="000000"/>
          <w:kern w:val="0"/>
          <w:sz w:val="32"/>
          <w:szCs w:val="32"/>
        </w:rPr>
        <w:t>2</w:t>
      </w:r>
      <w:r>
        <w:rPr>
          <w:rFonts w:ascii="Times New Roman" w:eastAsia="仿宋_GB2312" w:hAnsi="Times New Roman" w:hint="eastAsia"/>
          <w:snapToGrid w:val="0"/>
          <w:color w:val="000000"/>
          <w:kern w:val="0"/>
          <w:sz w:val="32"/>
          <w:szCs w:val="32"/>
        </w:rPr>
        <w:t>3</w:t>
      </w:r>
      <w:r>
        <w:rPr>
          <w:rFonts w:ascii="Times New Roman" w:eastAsia="仿宋_GB2312" w:hAnsi="Times New Roman"/>
          <w:snapToGrid w:val="0"/>
          <w:color w:val="000000"/>
          <w:kern w:val="0"/>
          <w:sz w:val="32"/>
          <w:szCs w:val="32"/>
        </w:rPr>
        <w:t>〕</w:t>
      </w:r>
      <w:r>
        <w:rPr>
          <w:rFonts w:ascii="Times New Roman" w:eastAsia="仿宋_GB2312" w:hAnsi="Times New Roman" w:hint="eastAsia"/>
          <w:snapToGrid w:val="0"/>
          <w:color w:val="000000"/>
          <w:kern w:val="0"/>
          <w:sz w:val="32"/>
          <w:szCs w:val="32"/>
        </w:rPr>
        <w:t>12</w:t>
      </w:r>
      <w:r>
        <w:rPr>
          <w:rFonts w:ascii="Times New Roman" w:eastAsia="仿宋_GB2312" w:hAnsi="Times New Roman"/>
          <w:snapToGrid w:val="0"/>
          <w:color w:val="000000"/>
          <w:kern w:val="0"/>
          <w:sz w:val="32"/>
          <w:szCs w:val="32"/>
        </w:rPr>
        <w:t>号</w:t>
      </w:r>
      <w:r>
        <w:rPr>
          <w:rFonts w:ascii="Times New Roman" w:eastAsia="仿宋_GB2312" w:hAnsi="Times New Roman" w:hint="eastAsia"/>
          <w:snapToGrid w:val="0"/>
          <w:color w:val="000000"/>
          <w:kern w:val="0"/>
          <w:sz w:val="32"/>
          <w:szCs w:val="32"/>
        </w:rPr>
        <w:t>）</w:t>
      </w:r>
      <w:r>
        <w:rPr>
          <w:rFonts w:ascii="仿宋" w:eastAsia="仿宋" w:hAnsi="仿宋" w:cs="仿宋" w:hint="eastAsia"/>
          <w:sz w:val="32"/>
          <w:szCs w:val="32"/>
        </w:rPr>
        <w:t>的要求，</w:t>
      </w:r>
      <w:r>
        <w:rPr>
          <w:rFonts w:ascii="仿宋" w:eastAsia="仿宋" w:hAnsi="仿宋" w:cs="仿宋" w:hint="eastAsia"/>
          <w:sz w:val="32"/>
          <w:szCs w:val="32"/>
        </w:rPr>
        <w:t>区片综合地价至少每三年调整或者重新公布一次。</w:t>
      </w:r>
      <w:r>
        <w:rPr>
          <w:rFonts w:ascii="Times New Roman" w:eastAsia="仿宋_GB2312" w:hAnsi="Times New Roman"/>
          <w:color w:val="000000"/>
          <w:sz w:val="32"/>
          <w:szCs w:val="32"/>
          <w:u w:color="000000"/>
        </w:rPr>
        <w:t>各地要将重新公布或调整的征地补偿标准于</w:t>
      </w:r>
      <w:r>
        <w:rPr>
          <w:rFonts w:ascii="Times New Roman" w:eastAsia="仿宋_GB2312" w:hAnsi="Times New Roman"/>
          <w:color w:val="000000"/>
          <w:sz w:val="32"/>
          <w:szCs w:val="32"/>
          <w:u w:color="000000"/>
        </w:rPr>
        <w:t>2023</w:t>
      </w:r>
      <w:r>
        <w:rPr>
          <w:rFonts w:ascii="Times New Roman" w:eastAsia="仿宋_GB2312" w:hAnsi="Times New Roman"/>
          <w:color w:val="000000"/>
          <w:sz w:val="32"/>
          <w:szCs w:val="32"/>
          <w:u w:color="000000"/>
        </w:rPr>
        <w:t>年</w:t>
      </w:r>
      <w:r>
        <w:rPr>
          <w:rFonts w:ascii="Times New Roman" w:eastAsia="仿宋_GB2312" w:hAnsi="Times New Roman"/>
          <w:color w:val="000000"/>
          <w:sz w:val="32"/>
          <w:szCs w:val="32"/>
          <w:u w:color="000000"/>
        </w:rPr>
        <w:t>11</w:t>
      </w:r>
      <w:r>
        <w:rPr>
          <w:rFonts w:ascii="Times New Roman" w:eastAsia="仿宋_GB2312" w:hAnsi="Times New Roman"/>
          <w:color w:val="000000"/>
          <w:sz w:val="32"/>
          <w:szCs w:val="32"/>
          <w:u w:color="000000"/>
        </w:rPr>
        <w:t>月底</w:t>
      </w:r>
      <w:r>
        <w:rPr>
          <w:rFonts w:ascii="Times New Roman" w:eastAsia="仿宋_GB2312" w:hAnsi="Times New Roman"/>
          <w:color w:val="000000"/>
          <w:sz w:val="32"/>
          <w:szCs w:val="32"/>
          <w:u w:color="000000"/>
        </w:rPr>
        <w:t>前报省自然资源厅备案</w:t>
      </w:r>
      <w:r>
        <w:rPr>
          <w:rFonts w:ascii="仿宋" w:eastAsia="仿宋" w:hAnsi="仿宋" w:cs="仿宋" w:hint="eastAsia"/>
          <w:sz w:val="32"/>
          <w:szCs w:val="32"/>
        </w:rPr>
        <w:t>。</w:t>
      </w:r>
      <w:r>
        <w:rPr>
          <w:rFonts w:ascii="仿宋" w:eastAsia="仿宋" w:hAnsi="仿宋" w:cs="仿宋" w:hint="eastAsia"/>
          <w:sz w:val="32"/>
          <w:szCs w:val="32"/>
        </w:rPr>
        <w:t>常山县现行征地区片综合地价标准由县政府于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日发布《常山县人民政府关于调整完善常山县征地</w:t>
      </w:r>
      <w:bookmarkStart w:id="0" w:name="_GoBack"/>
      <w:bookmarkEnd w:id="0"/>
      <w:r>
        <w:rPr>
          <w:rFonts w:ascii="仿宋" w:eastAsia="仿宋" w:hAnsi="仿宋" w:cs="仿宋" w:hint="eastAsia"/>
          <w:sz w:val="32"/>
          <w:szCs w:val="32"/>
        </w:rPr>
        <w:t>补偿安置政策的通知》（常政</w:t>
      </w:r>
      <w:r>
        <w:rPr>
          <w:rFonts w:ascii="仿宋" w:eastAsia="仿宋" w:hAnsi="仿宋" w:cs="仿宋" w:hint="eastAsia"/>
          <w:sz w:val="32"/>
          <w:szCs w:val="32"/>
        </w:rPr>
        <w:lastRenderedPageBreak/>
        <w:t>发</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号），至今已经三年，必须调整或重新公布。本次政策起草，借鉴周边县市结合我县实际情况，予以调整完善。</w:t>
      </w:r>
    </w:p>
    <w:p w:rsidR="009B4B69" w:rsidRDefault="00A12D99">
      <w:pPr>
        <w:spacing w:line="560" w:lineRule="exact"/>
        <w:ind w:firstLineChars="200" w:firstLine="640"/>
        <w:rPr>
          <w:rFonts w:ascii="黑体" w:eastAsia="黑体" w:hAnsi="黑体"/>
          <w:sz w:val="32"/>
          <w:szCs w:val="32"/>
        </w:rPr>
      </w:pPr>
      <w:r>
        <w:rPr>
          <w:rFonts w:ascii="黑体" w:eastAsia="黑体" w:hAnsi="黑体" w:hint="eastAsia"/>
          <w:sz w:val="32"/>
          <w:szCs w:val="32"/>
        </w:rPr>
        <w:t>三、需要解决的问题</w:t>
      </w:r>
    </w:p>
    <w:p w:rsidR="009B4B69" w:rsidRDefault="00A12D99">
      <w:pPr>
        <w:pStyle w:val="a8"/>
        <w:shd w:val="clear" w:color="auto" w:fill="FFFFFF"/>
        <w:ind w:firstLineChars="200" w:firstLine="640"/>
        <w:rPr>
          <w:rFonts w:ascii="仿宋" w:eastAsia="仿宋" w:hAnsi="仿宋" w:cs="仿宋"/>
          <w:sz w:val="32"/>
          <w:szCs w:val="32"/>
        </w:rPr>
      </w:pPr>
      <w:r>
        <w:rPr>
          <w:rFonts w:ascii="仿宋" w:eastAsia="仿宋" w:hAnsi="仿宋" w:cs="仿宋" w:hint="eastAsia"/>
          <w:sz w:val="32"/>
          <w:szCs w:val="32"/>
        </w:rPr>
        <w:t>根据法律法规的规定，调整完善常山县征地区片综合地价，切实履行依法实施土地征收。</w:t>
      </w:r>
    </w:p>
    <w:p w:rsidR="009B4B69" w:rsidRDefault="00A12D99">
      <w:pPr>
        <w:pStyle w:val="a8"/>
        <w:shd w:val="clear" w:color="auto" w:fill="FFFFFF"/>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拟规定的主要制度和拟采取的主要措施</w:t>
      </w:r>
    </w:p>
    <w:p w:rsidR="009B4B69" w:rsidRDefault="00A12D9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知》主要部分构成：一是明确了各区片的划分及各区片的补偿安置标准；二是落实了土地征收后对村集体的帮扶和对被征地农民后续保障；三是明确了各部门和乡镇（街道）的工作职责；四是明确了实施时间。</w:t>
      </w:r>
      <w:r>
        <w:rPr>
          <w:rFonts w:ascii="仿宋" w:eastAsia="仿宋" w:hAnsi="仿宋" w:cs="仿宋" w:hint="eastAsia"/>
          <w:sz w:val="32"/>
          <w:szCs w:val="32"/>
        </w:rPr>
        <w:t>具体内容简要汇报如下：</w:t>
      </w:r>
    </w:p>
    <w:p w:rsidR="009B4B69" w:rsidRDefault="00A12D9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一</w:t>
      </w:r>
      <w:r>
        <w:rPr>
          <w:rFonts w:ascii="仿宋" w:eastAsia="仿宋" w:hAnsi="仿宋" w:cs="仿宋" w:hint="eastAsia"/>
          <w:sz w:val="32"/>
          <w:szCs w:val="32"/>
        </w:rPr>
        <w:t>部分</w:t>
      </w:r>
      <w:r>
        <w:rPr>
          <w:rFonts w:ascii="仿宋" w:eastAsia="仿宋" w:hAnsi="仿宋" w:cs="仿宋" w:hint="eastAsia"/>
          <w:sz w:val="32"/>
          <w:szCs w:val="32"/>
        </w:rPr>
        <w:t>：明确</w:t>
      </w:r>
      <w:r>
        <w:rPr>
          <w:rFonts w:ascii="仿宋" w:eastAsia="仿宋" w:hAnsi="仿宋" w:cs="仿宋" w:hint="eastAsia"/>
          <w:sz w:val="32"/>
          <w:szCs w:val="32"/>
        </w:rPr>
        <w:t>了各区片的划分及各区片的补偿安置标准</w:t>
      </w:r>
      <w:r>
        <w:rPr>
          <w:rFonts w:ascii="仿宋" w:eastAsia="仿宋" w:hAnsi="仿宋" w:cs="仿宋" w:hint="eastAsia"/>
          <w:sz w:val="32"/>
          <w:szCs w:val="32"/>
        </w:rPr>
        <w:t>。此部分</w:t>
      </w:r>
      <w:r>
        <w:rPr>
          <w:rFonts w:ascii="仿宋" w:eastAsia="仿宋" w:hAnsi="仿宋" w:cs="仿宋" w:hint="eastAsia"/>
          <w:sz w:val="32"/>
          <w:szCs w:val="32"/>
        </w:rPr>
        <w:t>是</w:t>
      </w:r>
      <w:r>
        <w:rPr>
          <w:rFonts w:ascii="仿宋" w:eastAsia="仿宋" w:hAnsi="仿宋" w:cs="仿宋" w:hint="eastAsia"/>
          <w:sz w:val="32"/>
          <w:szCs w:val="32"/>
        </w:rPr>
        <w:t>本通知的</w:t>
      </w:r>
      <w:r>
        <w:rPr>
          <w:rFonts w:ascii="仿宋" w:eastAsia="仿宋" w:hAnsi="仿宋" w:cs="仿宋" w:hint="eastAsia"/>
          <w:sz w:val="32"/>
          <w:szCs w:val="32"/>
        </w:rPr>
        <w:t>重点也是核心内容。</w:t>
      </w:r>
    </w:p>
    <w:p w:rsidR="009B4B69" w:rsidRDefault="00A12D99">
      <w:pPr>
        <w:widowControl/>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一、全县范围内征收集体土地统一实行区片综合价。</w:t>
      </w:r>
    </w:p>
    <w:p w:rsidR="009B4B69" w:rsidRDefault="00A12D99">
      <w:pPr>
        <w:widowControl/>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lang w:bidi="ar"/>
        </w:rPr>
        <w:t>二、征地区片划分。全县征地区片划分为</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个区片，各区片划分及具体范围见附件</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w:t>
      </w:r>
    </w:p>
    <w:p w:rsidR="009B4B69" w:rsidRDefault="00A12D99">
      <w:pPr>
        <w:widowControl/>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三、征地区片综合补偿标准。征地区片综合价包括土地补偿费、安置补助费，具体补偿标准见附件</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。土地补偿费和安置补助费的构成见附件</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w:t>
      </w:r>
    </w:p>
    <w:p w:rsidR="009B4B69" w:rsidRDefault="00A12D9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四、青苗和地上附着物补偿标准。青苗和地上附着物补偿安置我县青苗、地上附着物相关政策执行。</w:t>
      </w:r>
    </w:p>
    <w:p w:rsidR="009B4B69" w:rsidRDefault="00A12D99">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_GB2312" w:eastAsia="仿宋_GB2312" w:hAnsi="仿宋" w:hint="eastAsia"/>
          <w:sz w:val="32"/>
          <w:szCs w:val="32"/>
        </w:rPr>
        <w:t>第二部分：</w:t>
      </w:r>
      <w:r>
        <w:rPr>
          <w:rFonts w:ascii="仿宋" w:eastAsia="仿宋" w:hAnsi="仿宋" w:cs="仿宋" w:hint="eastAsia"/>
          <w:sz w:val="32"/>
          <w:szCs w:val="32"/>
        </w:rPr>
        <w:t>落实了土地征收后对村集体的帮扶和对被征地农民后续保障。</w:t>
      </w:r>
    </w:p>
    <w:p w:rsidR="009B4B69" w:rsidRDefault="00A12D99">
      <w:pPr>
        <w:widowControl/>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lastRenderedPageBreak/>
        <w:t>（一）推进农村集体经济发展。</w:t>
      </w:r>
      <w:r>
        <w:rPr>
          <w:rFonts w:ascii="仿宋" w:eastAsia="仿宋" w:hAnsi="仿宋" w:cs="仿宋" w:hint="eastAsia"/>
          <w:kern w:val="0"/>
          <w:sz w:val="32"/>
          <w:szCs w:val="32"/>
          <w:lang w:bidi="ar"/>
        </w:rPr>
        <w:t>征收农村集体农用地的，为被</w:t>
      </w:r>
      <w:r>
        <w:rPr>
          <w:rFonts w:ascii="仿宋" w:eastAsia="仿宋" w:hAnsi="仿宋" w:cs="仿宋" w:hint="eastAsia"/>
          <w:kern w:val="0"/>
          <w:sz w:val="32"/>
          <w:szCs w:val="32"/>
          <w:lang w:bidi="ar"/>
        </w:rPr>
        <w:t>征地村集体经济组织安排发展资金。农村集体经济组织应该优先用于购买二三产物业，发展物业经济，确实有需要的，可以用于新农村建设或被征地农民基本生活保障资金。</w:t>
      </w:r>
    </w:p>
    <w:p w:rsidR="009B4B69" w:rsidRDefault="00A12D99">
      <w:pPr>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支付农村集体经济发展资金的具体标准，按实具体征地区片情况核定：（</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）征收承包耕地的</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区片一</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万元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亩，区片二</w:t>
      </w:r>
      <w:r>
        <w:rPr>
          <w:rFonts w:ascii="仿宋" w:eastAsia="仿宋" w:hAnsi="仿宋" w:cs="仿宋" w:hint="eastAsia"/>
          <w:kern w:val="0"/>
          <w:sz w:val="32"/>
          <w:szCs w:val="32"/>
          <w:lang w:bidi="ar"/>
        </w:rPr>
        <w:t>1.8</w:t>
      </w:r>
      <w:r>
        <w:rPr>
          <w:rFonts w:ascii="仿宋" w:eastAsia="仿宋" w:hAnsi="仿宋" w:cs="仿宋" w:hint="eastAsia"/>
          <w:kern w:val="0"/>
          <w:sz w:val="32"/>
          <w:szCs w:val="32"/>
          <w:lang w:bidi="ar"/>
        </w:rPr>
        <w:t>万元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亩，区片三</w:t>
      </w:r>
      <w:r>
        <w:rPr>
          <w:rFonts w:ascii="仿宋" w:eastAsia="仿宋" w:hAnsi="仿宋" w:cs="仿宋" w:hint="eastAsia"/>
          <w:kern w:val="0"/>
          <w:sz w:val="32"/>
          <w:szCs w:val="32"/>
          <w:lang w:bidi="ar"/>
        </w:rPr>
        <w:t>1.6</w:t>
      </w:r>
      <w:r>
        <w:rPr>
          <w:rFonts w:ascii="仿宋" w:eastAsia="仿宋" w:hAnsi="仿宋" w:cs="仿宋" w:hint="eastAsia"/>
          <w:kern w:val="0"/>
          <w:sz w:val="32"/>
          <w:szCs w:val="32"/>
          <w:lang w:bidi="ar"/>
        </w:rPr>
        <w:t>万元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亩</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征收其它农用地的：区片一</w:t>
      </w:r>
      <w:r>
        <w:rPr>
          <w:rFonts w:ascii="仿宋" w:eastAsia="仿宋" w:hAnsi="仿宋" w:cs="仿宋" w:hint="eastAsia"/>
          <w:kern w:val="0"/>
          <w:sz w:val="32"/>
          <w:szCs w:val="32"/>
          <w:lang w:bidi="ar"/>
        </w:rPr>
        <w:t>0.7</w:t>
      </w:r>
      <w:r>
        <w:rPr>
          <w:rFonts w:ascii="仿宋" w:eastAsia="仿宋" w:hAnsi="仿宋" w:cs="仿宋" w:hint="eastAsia"/>
          <w:kern w:val="0"/>
          <w:sz w:val="32"/>
          <w:szCs w:val="32"/>
          <w:lang w:bidi="ar"/>
        </w:rPr>
        <w:t>万元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亩，区片二</w:t>
      </w:r>
      <w:r>
        <w:rPr>
          <w:rFonts w:ascii="仿宋" w:eastAsia="仿宋" w:hAnsi="仿宋" w:cs="仿宋" w:hint="eastAsia"/>
          <w:kern w:val="0"/>
          <w:sz w:val="32"/>
          <w:szCs w:val="32"/>
          <w:lang w:bidi="ar"/>
        </w:rPr>
        <w:t>0.6</w:t>
      </w:r>
      <w:r>
        <w:rPr>
          <w:rFonts w:ascii="仿宋" w:eastAsia="仿宋" w:hAnsi="仿宋" w:cs="仿宋" w:hint="eastAsia"/>
          <w:kern w:val="0"/>
          <w:sz w:val="32"/>
          <w:szCs w:val="32"/>
          <w:lang w:bidi="ar"/>
        </w:rPr>
        <w:t>万元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亩，区片三</w:t>
      </w:r>
      <w:r>
        <w:rPr>
          <w:rFonts w:ascii="仿宋" w:eastAsia="仿宋" w:hAnsi="仿宋" w:cs="仿宋" w:hint="eastAsia"/>
          <w:kern w:val="0"/>
          <w:sz w:val="32"/>
          <w:szCs w:val="32"/>
          <w:lang w:bidi="ar"/>
        </w:rPr>
        <w:t>0.5</w:t>
      </w:r>
      <w:r>
        <w:rPr>
          <w:rFonts w:ascii="仿宋" w:eastAsia="仿宋" w:hAnsi="仿宋" w:cs="仿宋" w:hint="eastAsia"/>
          <w:kern w:val="0"/>
          <w:sz w:val="32"/>
          <w:szCs w:val="32"/>
          <w:lang w:bidi="ar"/>
        </w:rPr>
        <w:t>万元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亩。</w:t>
      </w:r>
    </w:p>
    <w:p w:rsidR="009B4B69" w:rsidRDefault="00A12D99">
      <w:pPr>
        <w:widowControl/>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（二）</w:t>
      </w:r>
      <w:r>
        <w:rPr>
          <w:rFonts w:ascii="仿宋" w:eastAsia="仿宋" w:hAnsi="仿宋" w:cs="仿宋" w:hint="eastAsia"/>
          <w:kern w:val="0"/>
          <w:sz w:val="32"/>
          <w:szCs w:val="32"/>
          <w:lang w:bidi="ar"/>
        </w:rPr>
        <w:t>促进被征地农民就业。积极为被征地农民就业、创业创造条件、提供支持，加强对被征地农民的就业培训和指导，免费为被征地农民提供职业培训、职业介绍，促进被征地农民就业。</w:t>
      </w:r>
      <w:r>
        <w:rPr>
          <w:rFonts w:ascii="仿宋" w:eastAsia="仿宋" w:hAnsi="仿宋" w:cs="仿宋" w:hint="eastAsia"/>
          <w:kern w:val="0"/>
          <w:sz w:val="32"/>
          <w:szCs w:val="32"/>
          <w:lang w:bidi="ar"/>
        </w:rPr>
        <w:br/>
        <w:t xml:space="preserve">    </w:t>
      </w:r>
      <w:r>
        <w:rPr>
          <w:rFonts w:ascii="仿宋" w:eastAsia="仿宋" w:hAnsi="仿宋" w:cs="仿宋" w:hint="eastAsia"/>
          <w:kern w:val="0"/>
          <w:sz w:val="32"/>
          <w:szCs w:val="32"/>
          <w:lang w:bidi="ar"/>
        </w:rPr>
        <w:t>（三）完善被征地农民社会保障制度。切实做好被征地安置人员的社会保障工作。以省级以上人民政府</w:t>
      </w:r>
      <w:r>
        <w:rPr>
          <w:rFonts w:ascii="仿宋" w:eastAsia="仿宋" w:hAnsi="仿宋" w:cs="仿宋" w:hint="eastAsia"/>
          <w:kern w:val="0"/>
          <w:sz w:val="32"/>
          <w:szCs w:val="32"/>
          <w:lang w:bidi="ar"/>
        </w:rPr>
        <w:t>批准征收的农村集体土地中耕地或农用地的数量为基数，合理确定参保人数。按照“人地对应”的要求，公开民主、公平公正确定参保对象，维护好被征地农民的知情、参与等民主权利。</w:t>
      </w:r>
    </w:p>
    <w:p w:rsidR="009B4B69" w:rsidRDefault="00A12D99">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lang w:bidi="ar"/>
        </w:rPr>
        <w:t>第三部分：</w:t>
      </w:r>
      <w:r>
        <w:rPr>
          <w:rFonts w:ascii="仿宋" w:eastAsia="仿宋" w:hAnsi="仿宋" w:cs="仿宋" w:hint="eastAsia"/>
          <w:sz w:val="32"/>
          <w:szCs w:val="32"/>
        </w:rPr>
        <w:t>明确了各部门和乡镇（街道）的工作职责。</w:t>
      </w:r>
    </w:p>
    <w:p w:rsidR="009B4B69" w:rsidRDefault="00A12D99">
      <w:pPr>
        <w:widowControl/>
        <w:spacing w:line="560" w:lineRule="exact"/>
        <w:ind w:firstLineChars="200" w:firstLine="640"/>
        <w:rPr>
          <w:rFonts w:ascii="仿宋_GB2312" w:eastAsia="仿宋_GB2312" w:hAnsi="仿宋_GB2312" w:cs="仿宋_GB2312"/>
          <w:kern w:val="0"/>
          <w:sz w:val="32"/>
          <w:szCs w:val="32"/>
          <w:lang w:bidi="ar"/>
        </w:rPr>
      </w:pPr>
      <w:r>
        <w:rPr>
          <w:rFonts w:ascii="仿宋" w:eastAsia="仿宋" w:hAnsi="仿宋" w:cs="仿宋" w:hint="eastAsia"/>
          <w:kern w:val="0"/>
          <w:sz w:val="32"/>
          <w:szCs w:val="32"/>
          <w:lang w:bidi="ar"/>
        </w:rPr>
        <w:t>（一）强化组织保障，明确职责分工。</w:t>
      </w:r>
      <w:r>
        <w:rPr>
          <w:rFonts w:ascii="仿宋_GB2312" w:eastAsia="仿宋_GB2312" w:hAnsi="仿宋_GB2312" w:cs="仿宋_GB2312" w:hint="eastAsia"/>
          <w:kern w:val="0"/>
          <w:sz w:val="32"/>
          <w:szCs w:val="32"/>
          <w:lang w:bidi="ar"/>
        </w:rPr>
        <w:t>县政府</w:t>
      </w:r>
      <w:r>
        <w:rPr>
          <w:rFonts w:ascii="仿宋_GB2312" w:eastAsia="仿宋_GB2312" w:hAnsi="仿宋_GB2312" w:cs="仿宋_GB2312" w:hint="eastAsia"/>
          <w:kern w:val="0"/>
          <w:sz w:val="32"/>
          <w:szCs w:val="32"/>
          <w:lang w:bidi="ar"/>
        </w:rPr>
        <w:t>成立由财政局、资规局、农业农村局、林水局、人社局、住建局、公安局、统计局、审计局、市场监督管理局、征迁事务中心等部门组成的土地征收领导小组，指导协调全县土地征收工作依法有序开展。征迁事务中心负责调整完善征地补偿标准具体的制订工作；县资</w:t>
      </w:r>
      <w:r>
        <w:rPr>
          <w:rFonts w:ascii="仿宋_GB2312" w:eastAsia="仿宋_GB2312" w:hAnsi="仿宋_GB2312" w:cs="仿宋_GB2312" w:hint="eastAsia"/>
          <w:kern w:val="0"/>
          <w:sz w:val="32"/>
          <w:szCs w:val="32"/>
          <w:lang w:bidi="ar"/>
        </w:rPr>
        <w:t>规局负责指导、监督我县征地补偿标准具体政策的执行工作；县财政局负责征地补偿资金和被征地农民基本生活保障资金收支管理的</w:t>
      </w:r>
      <w:r>
        <w:rPr>
          <w:rFonts w:ascii="仿宋_GB2312" w:eastAsia="仿宋_GB2312" w:hAnsi="仿宋_GB2312" w:cs="仿宋_GB2312" w:hint="eastAsia"/>
          <w:kern w:val="0"/>
          <w:sz w:val="32"/>
          <w:szCs w:val="32"/>
          <w:lang w:bidi="ar"/>
        </w:rPr>
        <w:lastRenderedPageBreak/>
        <w:t>指导和监督；县人力社保局负责调整完善被征地农民社会保障和就业促进政策；县农业农村局负责土地征收中土地承包经营权证管理，指导、监督征地补偿费分配、使用和管理办</w:t>
      </w:r>
      <w:r>
        <w:rPr>
          <w:rFonts w:ascii="仿宋_GB2312" w:eastAsia="仿宋_GB2312" w:hAnsi="仿宋_GB2312" w:cs="仿宋_GB2312" w:hint="eastAsia"/>
          <w:kern w:val="0"/>
          <w:sz w:val="32"/>
          <w:szCs w:val="32"/>
          <w:lang w:bidi="ar"/>
        </w:rPr>
        <w:t>法的制订以及集体经济发展等工作；其他相关部门要按照各自职责，做好征地补偿安置政策的相关工作。</w:t>
      </w:r>
      <w:r>
        <w:rPr>
          <w:rFonts w:ascii="仿宋_GB2312" w:eastAsia="仿宋_GB2312" w:hAnsi="仿宋_GB2312" w:cs="仿宋_GB2312" w:hint="eastAsia"/>
          <w:kern w:val="0"/>
          <w:sz w:val="32"/>
          <w:szCs w:val="32"/>
          <w:lang w:bidi="ar"/>
        </w:rPr>
        <w:t xml:space="preserve"> </w:t>
      </w:r>
    </w:p>
    <w:p w:rsidR="009B4B69" w:rsidRDefault="00A12D99">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各乡镇（街道）作为征迁工作的实施主体，要根据阳光征迁的具体要求，加强征地补偿各项费用分配、使用的监督管理，依法依规实施具体项目征迁。</w:t>
      </w:r>
    </w:p>
    <w:p w:rsidR="009B4B69" w:rsidRDefault="00A12D99">
      <w:pPr>
        <w:spacing w:line="560" w:lineRule="exact"/>
        <w:rPr>
          <w:rFonts w:ascii="仿宋" w:eastAsia="仿宋" w:hAnsi="仿宋" w:cs="仿宋"/>
          <w:kern w:val="0"/>
          <w:sz w:val="32"/>
          <w:szCs w:val="32"/>
          <w:lang w:bidi="ar"/>
        </w:rPr>
      </w:pPr>
      <w:r>
        <w:rPr>
          <w:rFonts w:ascii="仿宋" w:eastAsia="仿宋" w:hAnsi="仿宋" w:cs="仿宋" w:hint="eastAsia"/>
          <w:kern w:val="0"/>
          <w:sz w:val="32"/>
          <w:szCs w:val="32"/>
          <w:lang w:bidi="ar"/>
        </w:rPr>
        <w:t xml:space="preserve">    </w:t>
      </w:r>
      <w:r>
        <w:rPr>
          <w:rFonts w:ascii="仿宋" w:eastAsia="仿宋" w:hAnsi="仿宋" w:cs="仿宋" w:hint="eastAsia"/>
          <w:kern w:val="0"/>
          <w:sz w:val="32"/>
          <w:szCs w:val="32"/>
          <w:lang w:bidi="ar"/>
        </w:rPr>
        <w:t>（二）严格执行政策。各乡镇、街道和有关部门应严格执行政策标准，切实做好新老征地补偿安置政策的衔接工作，妥善处理历史遗留问题。对擅自突破政策标准，造成严重后果的，要追究相关人员责任。</w:t>
      </w:r>
    </w:p>
    <w:p w:rsidR="009B4B69" w:rsidRDefault="00A12D99">
      <w:pPr>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第四部分：明确实施时间。</w:t>
      </w:r>
      <w:r>
        <w:rPr>
          <w:rFonts w:ascii="仿宋" w:eastAsia="仿宋" w:hAnsi="仿宋" w:cs="仿宋" w:hint="eastAsia"/>
          <w:kern w:val="0"/>
          <w:sz w:val="32"/>
          <w:szCs w:val="32"/>
          <w:lang w:bidi="ar"/>
        </w:rPr>
        <w:t>本通知自公布之日起</w:t>
      </w:r>
      <w:r>
        <w:rPr>
          <w:rFonts w:ascii="仿宋" w:eastAsia="仿宋" w:hAnsi="仿宋" w:cs="仿宋" w:hint="eastAsia"/>
          <w:kern w:val="0"/>
          <w:sz w:val="32"/>
          <w:szCs w:val="32"/>
          <w:lang w:bidi="ar"/>
        </w:rPr>
        <w:t>30</w:t>
      </w:r>
      <w:r>
        <w:rPr>
          <w:rFonts w:ascii="仿宋" w:eastAsia="仿宋" w:hAnsi="仿宋" w:cs="仿宋" w:hint="eastAsia"/>
          <w:kern w:val="0"/>
          <w:sz w:val="32"/>
          <w:szCs w:val="32"/>
          <w:lang w:bidi="ar"/>
        </w:rPr>
        <w:t>日后施行。</w:t>
      </w:r>
    </w:p>
    <w:p w:rsidR="009B4B69" w:rsidRDefault="00A12D99">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征求意见及协调处理情况</w:t>
      </w:r>
    </w:p>
    <w:p w:rsidR="009B4B69" w:rsidRDefault="00A12D99">
      <w:pPr>
        <w:spacing w:line="560" w:lineRule="exact"/>
        <w:ind w:leftChars="304" w:left="638"/>
        <w:rPr>
          <w:rFonts w:ascii="仿宋" w:eastAsia="仿宋" w:hAnsi="仿宋" w:cs="仿宋"/>
          <w:kern w:val="0"/>
          <w:sz w:val="32"/>
          <w:szCs w:val="32"/>
          <w:lang w:bidi="ar"/>
        </w:rPr>
      </w:pPr>
      <w:r>
        <w:rPr>
          <w:rFonts w:ascii="仿宋" w:eastAsia="仿宋" w:hAnsi="仿宋" w:cs="仿宋" w:hint="eastAsia"/>
          <w:kern w:val="0"/>
          <w:sz w:val="32"/>
          <w:szCs w:val="32"/>
          <w:lang w:bidi="ar"/>
        </w:rPr>
        <w:t>《通知》为征求意见稿，还未完成征求意见及协调处理。</w:t>
      </w:r>
      <w:r>
        <w:rPr>
          <w:rFonts w:ascii="仿宋" w:eastAsia="仿宋" w:hAnsi="仿宋" w:cs="仿宋" w:hint="eastAsia"/>
          <w:kern w:val="0"/>
          <w:sz w:val="32"/>
          <w:szCs w:val="32"/>
          <w:lang w:bidi="ar"/>
        </w:rPr>
        <w:br/>
      </w:r>
      <w:r>
        <w:rPr>
          <w:rFonts w:ascii="黑体" w:eastAsia="黑体" w:hAnsi="黑体" w:hint="eastAsia"/>
          <w:sz w:val="32"/>
          <w:szCs w:val="32"/>
        </w:rPr>
        <w:t>六、集体讨论情况</w:t>
      </w:r>
      <w:r>
        <w:rPr>
          <w:rFonts w:ascii="仿宋" w:eastAsia="仿宋" w:hAnsi="仿宋" w:cs="仿宋" w:hint="eastAsia"/>
          <w:kern w:val="0"/>
          <w:sz w:val="32"/>
          <w:szCs w:val="32"/>
          <w:lang w:bidi="ar"/>
        </w:rPr>
        <w:br/>
      </w:r>
      <w:r>
        <w:rPr>
          <w:rFonts w:ascii="仿宋" w:eastAsia="仿宋" w:hAnsi="仿宋" w:cs="仿宋" w:hint="eastAsia"/>
          <w:kern w:val="0"/>
          <w:sz w:val="32"/>
          <w:szCs w:val="32"/>
          <w:lang w:bidi="ar"/>
        </w:rPr>
        <w:t>《通知》为征求意见稿，还未集体讨论。</w:t>
      </w:r>
    </w:p>
    <w:p w:rsidR="009B4B69" w:rsidRDefault="00A12D99">
      <w:pPr>
        <w:spacing w:line="560" w:lineRule="exact"/>
        <w:ind w:leftChars="304" w:left="638"/>
        <w:rPr>
          <w:rFonts w:ascii="黑体" w:eastAsia="黑体" w:hAnsi="黑体"/>
          <w:sz w:val="32"/>
          <w:szCs w:val="32"/>
        </w:rPr>
      </w:pPr>
      <w:r>
        <w:rPr>
          <w:rFonts w:ascii="黑体" w:eastAsia="黑体" w:hAnsi="黑体" w:hint="eastAsia"/>
          <w:sz w:val="32"/>
          <w:szCs w:val="32"/>
        </w:rPr>
        <w:t>七、其他需要说明情况</w:t>
      </w:r>
    </w:p>
    <w:p w:rsidR="009B4B69" w:rsidRDefault="00A12D99">
      <w:pPr>
        <w:spacing w:line="56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无。</w:t>
      </w:r>
      <w:r>
        <w:rPr>
          <w:rFonts w:ascii="仿宋" w:eastAsia="仿宋" w:hAnsi="仿宋" w:cs="仿宋" w:hint="eastAsia"/>
          <w:kern w:val="0"/>
          <w:sz w:val="32"/>
          <w:szCs w:val="32"/>
          <w:lang w:bidi="ar"/>
        </w:rPr>
        <w:br/>
      </w:r>
    </w:p>
    <w:p w:rsidR="009B4B69" w:rsidRDefault="009B4B69">
      <w:pPr>
        <w:pStyle w:val="a0"/>
        <w:rPr>
          <w:rFonts w:ascii="仿宋" w:eastAsia="仿宋" w:hAnsi="仿宋" w:cs="仿宋"/>
          <w:sz w:val="32"/>
          <w:szCs w:val="32"/>
          <w:lang w:bidi="ar"/>
        </w:rPr>
      </w:pPr>
    </w:p>
    <w:p w:rsidR="009B4B69" w:rsidRDefault="009B4B69">
      <w:pPr>
        <w:pStyle w:val="a0"/>
        <w:rPr>
          <w:rFonts w:ascii="仿宋" w:eastAsia="仿宋" w:hAnsi="仿宋" w:cs="仿宋"/>
          <w:sz w:val="32"/>
          <w:szCs w:val="32"/>
          <w:lang w:bidi="ar"/>
        </w:rPr>
      </w:pPr>
    </w:p>
    <w:p w:rsidR="009B4B69" w:rsidRDefault="009B4B69">
      <w:pPr>
        <w:pStyle w:val="a0"/>
        <w:rPr>
          <w:rFonts w:ascii="仿宋" w:eastAsia="仿宋" w:hAnsi="仿宋" w:cs="仿宋"/>
          <w:sz w:val="32"/>
          <w:szCs w:val="32"/>
          <w:lang w:bidi="ar"/>
        </w:rPr>
      </w:pPr>
    </w:p>
    <w:p w:rsidR="009B4B69" w:rsidRDefault="00A12D99">
      <w:pPr>
        <w:rPr>
          <w:rFonts w:ascii="仿宋" w:eastAsia="仿宋" w:hAnsi="仿宋" w:cs="仿宋"/>
          <w:bCs/>
          <w:sz w:val="32"/>
          <w:szCs w:val="32"/>
        </w:rPr>
      </w:pPr>
      <w:r>
        <w:rPr>
          <w:rFonts w:ascii="仿宋" w:eastAsia="仿宋" w:hAnsi="仿宋" w:cs="仿宋" w:hint="eastAsia"/>
          <w:bCs/>
          <w:sz w:val="32"/>
          <w:szCs w:val="32"/>
        </w:rPr>
        <w:t>附件</w:t>
      </w:r>
      <w:r>
        <w:rPr>
          <w:rFonts w:ascii="仿宋" w:eastAsia="仿宋" w:hAnsi="仿宋" w:cs="仿宋" w:hint="eastAsia"/>
          <w:bCs/>
          <w:sz w:val="32"/>
          <w:szCs w:val="32"/>
        </w:rPr>
        <w:t>1</w:t>
      </w:r>
    </w:p>
    <w:p w:rsidR="009B4B69" w:rsidRDefault="00A12D99">
      <w:pPr>
        <w:jc w:val="center"/>
        <w:rPr>
          <w:rFonts w:ascii="宋体" w:hAnsi="宋体"/>
          <w:b/>
          <w:sz w:val="36"/>
          <w:szCs w:val="36"/>
        </w:rPr>
      </w:pPr>
      <w:r>
        <w:rPr>
          <w:rFonts w:ascii="宋体" w:hAnsi="宋体" w:hint="eastAsia"/>
          <w:b/>
          <w:sz w:val="36"/>
          <w:szCs w:val="36"/>
        </w:rPr>
        <w:t>常山县征地区片划分</w:t>
      </w:r>
    </w:p>
    <w:tbl>
      <w:tblPr>
        <w:tblW w:w="880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642"/>
        <w:gridCol w:w="1906"/>
        <w:gridCol w:w="2065"/>
        <w:gridCol w:w="1890"/>
      </w:tblGrid>
      <w:tr w:rsidR="009B4B69">
        <w:trPr>
          <w:trHeight w:val="923"/>
        </w:trPr>
        <w:tc>
          <w:tcPr>
            <w:tcW w:w="1302" w:type="dxa"/>
            <w:vMerge w:val="restart"/>
            <w:vAlign w:val="center"/>
          </w:tcPr>
          <w:p w:rsidR="009B4B69" w:rsidRDefault="00A12D99">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区片</w:t>
            </w:r>
          </w:p>
        </w:tc>
        <w:tc>
          <w:tcPr>
            <w:tcW w:w="7503" w:type="dxa"/>
            <w:gridSpan w:val="4"/>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范</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围</w:t>
            </w:r>
          </w:p>
        </w:tc>
      </w:tr>
      <w:tr w:rsidR="009B4B69">
        <w:trPr>
          <w:trHeight w:val="872"/>
        </w:trPr>
        <w:tc>
          <w:tcPr>
            <w:tcW w:w="1302" w:type="dxa"/>
            <w:vMerge/>
            <w:vAlign w:val="center"/>
          </w:tcPr>
          <w:p w:rsidR="009B4B69" w:rsidRDefault="009B4B69">
            <w:pPr>
              <w:widowControl/>
              <w:jc w:val="center"/>
              <w:rPr>
                <w:rFonts w:ascii="仿宋_GB2312" w:eastAsia="仿宋_GB2312" w:hAnsi="仿宋_GB2312" w:cs="仿宋_GB2312"/>
                <w:sz w:val="28"/>
                <w:szCs w:val="28"/>
              </w:rPr>
            </w:pPr>
          </w:p>
        </w:tc>
        <w:tc>
          <w:tcPr>
            <w:tcW w:w="1642"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东</w:t>
            </w:r>
          </w:p>
        </w:tc>
        <w:tc>
          <w:tcPr>
            <w:tcW w:w="1906"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南</w:t>
            </w:r>
          </w:p>
        </w:tc>
        <w:tc>
          <w:tcPr>
            <w:tcW w:w="2065"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西</w:t>
            </w:r>
          </w:p>
        </w:tc>
        <w:tc>
          <w:tcPr>
            <w:tcW w:w="1890"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北</w:t>
            </w:r>
          </w:p>
        </w:tc>
      </w:tr>
      <w:tr w:rsidR="009B4B69">
        <w:trPr>
          <w:trHeight w:val="670"/>
        </w:trPr>
        <w:tc>
          <w:tcPr>
            <w:tcW w:w="1302" w:type="dxa"/>
            <w:vAlign w:val="center"/>
          </w:tcPr>
          <w:p w:rsidR="009B4B69" w:rsidRDefault="00A12D99">
            <w:pPr>
              <w:widowControl/>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区片一</w:t>
            </w:r>
          </w:p>
        </w:tc>
        <w:tc>
          <w:tcPr>
            <w:tcW w:w="1642" w:type="dxa"/>
            <w:vAlign w:val="center"/>
          </w:tcPr>
          <w:p w:rsidR="009B4B69" w:rsidRDefault="00A12D99">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常山港富足山大桥</w:t>
            </w:r>
          </w:p>
        </w:tc>
        <w:tc>
          <w:tcPr>
            <w:tcW w:w="1906"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320</w:t>
            </w:r>
            <w:r>
              <w:rPr>
                <w:rFonts w:ascii="仿宋_GB2312" w:eastAsia="仿宋_GB2312" w:hAnsi="仿宋_GB2312" w:cs="仿宋_GB2312" w:hint="eastAsia"/>
                <w:sz w:val="28"/>
                <w:szCs w:val="28"/>
              </w:rPr>
              <w:t>国道到天马山脚</w:t>
            </w:r>
          </w:p>
        </w:tc>
        <w:tc>
          <w:tcPr>
            <w:tcW w:w="2065"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原经纬药业门口道路</w:t>
            </w:r>
          </w:p>
        </w:tc>
        <w:tc>
          <w:tcPr>
            <w:tcW w:w="1890"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常山港、风扇口</w:t>
            </w:r>
          </w:p>
        </w:tc>
      </w:tr>
      <w:tr w:rsidR="009B4B69">
        <w:trPr>
          <w:trHeight w:val="3334"/>
        </w:trPr>
        <w:tc>
          <w:tcPr>
            <w:tcW w:w="1302" w:type="dxa"/>
            <w:vAlign w:val="center"/>
          </w:tcPr>
          <w:p w:rsidR="009B4B69" w:rsidRDefault="00A12D99">
            <w:pPr>
              <w:widowControl/>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区片二</w:t>
            </w:r>
          </w:p>
        </w:tc>
        <w:tc>
          <w:tcPr>
            <w:tcW w:w="1642"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紫港街道富足山村、朱家渡大桥经</w:t>
            </w:r>
            <w:r>
              <w:rPr>
                <w:rFonts w:ascii="仿宋_GB2312" w:eastAsia="仿宋_GB2312" w:hAnsi="仿宋_GB2312" w:cs="仿宋_GB2312" w:hint="eastAsia"/>
                <w:bCs/>
                <w:sz w:val="28"/>
                <w:szCs w:val="28"/>
              </w:rPr>
              <w:t>509</w:t>
            </w:r>
            <w:r>
              <w:rPr>
                <w:rFonts w:ascii="仿宋_GB2312" w:eastAsia="仿宋_GB2312" w:hAnsi="仿宋_GB2312" w:cs="仿宋_GB2312" w:hint="eastAsia"/>
                <w:bCs/>
                <w:sz w:val="28"/>
                <w:szCs w:val="28"/>
              </w:rPr>
              <w:t>乡道连接天马街道东港村部分地块</w:t>
            </w:r>
          </w:p>
        </w:tc>
        <w:tc>
          <w:tcPr>
            <w:tcW w:w="1906"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天马街道东港村、蒲塘村连接</w:t>
            </w:r>
            <w:r>
              <w:rPr>
                <w:rFonts w:ascii="仿宋_GB2312" w:eastAsia="仿宋_GB2312" w:hAnsi="仿宋_GB2312" w:cs="仿宋_GB2312" w:hint="eastAsia"/>
                <w:bCs/>
                <w:sz w:val="28"/>
                <w:szCs w:val="28"/>
              </w:rPr>
              <w:t>205</w:t>
            </w:r>
            <w:r>
              <w:rPr>
                <w:rFonts w:ascii="仿宋_GB2312" w:eastAsia="仿宋_GB2312" w:hAnsi="仿宋_GB2312" w:cs="仿宋_GB2312" w:hint="eastAsia"/>
                <w:bCs/>
                <w:sz w:val="28"/>
                <w:szCs w:val="28"/>
              </w:rPr>
              <w:t>国道</w:t>
            </w:r>
          </w:p>
        </w:tc>
        <w:tc>
          <w:tcPr>
            <w:tcW w:w="2065"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205</w:t>
            </w:r>
            <w:r>
              <w:rPr>
                <w:rFonts w:ascii="仿宋_GB2312" w:eastAsia="仿宋_GB2312" w:hAnsi="仿宋_GB2312" w:cs="仿宋_GB2312" w:hint="eastAsia"/>
                <w:bCs/>
                <w:sz w:val="28"/>
                <w:szCs w:val="28"/>
              </w:rPr>
              <w:t>国道连接朱富线</w:t>
            </w:r>
          </w:p>
        </w:tc>
        <w:tc>
          <w:tcPr>
            <w:tcW w:w="1890" w:type="dxa"/>
            <w:vAlign w:val="center"/>
          </w:tcPr>
          <w:p w:rsidR="009B4B69" w:rsidRDefault="00A12D99">
            <w:pPr>
              <w:adjustRightInd w:val="0"/>
              <w:snapToGrid w:val="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朱富线徐村大桥紫港街道大弄口村、枧头村、后坊村、外港村（原外港）、富足山村连接朱家渡大桥</w:t>
            </w:r>
          </w:p>
        </w:tc>
      </w:tr>
      <w:tr w:rsidR="009B4B69">
        <w:trPr>
          <w:trHeight w:val="642"/>
        </w:trPr>
        <w:tc>
          <w:tcPr>
            <w:tcW w:w="1302" w:type="dxa"/>
            <w:vAlign w:val="center"/>
          </w:tcPr>
          <w:p w:rsidR="009B4B69" w:rsidRDefault="00A12D99">
            <w:pPr>
              <w:widowControl/>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区片三</w:t>
            </w:r>
          </w:p>
        </w:tc>
        <w:tc>
          <w:tcPr>
            <w:tcW w:w="7503" w:type="dxa"/>
            <w:gridSpan w:val="4"/>
            <w:vAlign w:val="center"/>
          </w:tcPr>
          <w:p w:rsidR="009B4B69" w:rsidRDefault="00A12D99">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区片一、区片二以外的土地</w:t>
            </w:r>
          </w:p>
        </w:tc>
      </w:tr>
    </w:tbl>
    <w:p w:rsidR="009B4B69" w:rsidRDefault="009B4B69">
      <w:pPr>
        <w:jc w:val="center"/>
        <w:rPr>
          <w:rFonts w:ascii="宋体" w:hAnsi="宋体"/>
          <w:b/>
          <w:sz w:val="36"/>
          <w:szCs w:val="36"/>
        </w:rPr>
      </w:pPr>
    </w:p>
    <w:p w:rsidR="009B4B69" w:rsidRDefault="009B4B69">
      <w:pPr>
        <w:jc w:val="center"/>
        <w:rPr>
          <w:rFonts w:ascii="宋体" w:hAnsi="宋体"/>
          <w:b/>
          <w:sz w:val="36"/>
          <w:szCs w:val="36"/>
        </w:rPr>
      </w:pPr>
    </w:p>
    <w:p w:rsidR="009B4B69" w:rsidRDefault="009B4B69">
      <w:pPr>
        <w:jc w:val="center"/>
        <w:rPr>
          <w:rFonts w:ascii="宋体" w:hAnsi="宋体"/>
          <w:b/>
          <w:sz w:val="36"/>
          <w:szCs w:val="36"/>
        </w:rPr>
      </w:pPr>
    </w:p>
    <w:p w:rsidR="009B4B69" w:rsidRDefault="009B4B69">
      <w:pPr>
        <w:jc w:val="center"/>
        <w:rPr>
          <w:rFonts w:ascii="宋体" w:hAnsi="宋体"/>
          <w:b/>
          <w:sz w:val="36"/>
          <w:szCs w:val="36"/>
        </w:rPr>
      </w:pPr>
    </w:p>
    <w:p w:rsidR="009B4B69" w:rsidRDefault="009B4B69">
      <w:pPr>
        <w:jc w:val="center"/>
        <w:rPr>
          <w:rFonts w:ascii="宋体" w:hAnsi="宋体"/>
          <w:b/>
          <w:sz w:val="36"/>
          <w:szCs w:val="36"/>
        </w:rPr>
      </w:pPr>
    </w:p>
    <w:p w:rsidR="009B4B69" w:rsidRDefault="009B4B69">
      <w:pPr>
        <w:jc w:val="center"/>
        <w:rPr>
          <w:rFonts w:ascii="宋体" w:hAnsi="宋体"/>
          <w:b/>
          <w:sz w:val="36"/>
          <w:szCs w:val="36"/>
        </w:rPr>
      </w:pPr>
    </w:p>
    <w:p w:rsidR="009B4B69" w:rsidRDefault="009B4B69">
      <w:pPr>
        <w:rPr>
          <w:rFonts w:ascii="宋体" w:hAnsi="宋体"/>
          <w:b/>
          <w:sz w:val="36"/>
          <w:szCs w:val="36"/>
        </w:rPr>
      </w:pPr>
    </w:p>
    <w:p w:rsidR="009B4B69" w:rsidRDefault="009B4B69">
      <w:pPr>
        <w:rPr>
          <w:rFonts w:ascii="宋体" w:hAnsi="宋体"/>
          <w:b/>
          <w:sz w:val="36"/>
          <w:szCs w:val="36"/>
        </w:rPr>
      </w:pPr>
    </w:p>
    <w:p w:rsidR="009B4B69" w:rsidRDefault="009B4B69">
      <w:pPr>
        <w:rPr>
          <w:rFonts w:ascii="仿宋" w:eastAsia="仿宋" w:hAnsi="仿宋" w:cs="仿宋"/>
          <w:bCs/>
          <w:sz w:val="32"/>
          <w:szCs w:val="32"/>
        </w:rPr>
      </w:pPr>
    </w:p>
    <w:p w:rsidR="009B4B69" w:rsidRDefault="00A12D99">
      <w:pPr>
        <w:rPr>
          <w:rFonts w:ascii="Times New Roman" w:eastAsia="仿宋_GB2312" w:hAnsi="Times New Roman"/>
          <w:sz w:val="32"/>
          <w:szCs w:val="32"/>
        </w:rPr>
      </w:pPr>
      <w:r>
        <w:rPr>
          <w:rFonts w:ascii="Times New Roman" w:eastAsia="仿宋_GB2312" w:hAnsi="Times New Roman"/>
          <w:sz w:val="32"/>
          <w:szCs w:val="32"/>
        </w:rPr>
        <w:t>附</w:t>
      </w:r>
      <w:r>
        <w:rPr>
          <w:rFonts w:ascii="Times New Roman" w:eastAsia="仿宋_GB2312" w:hAnsi="Times New Roman" w:hint="eastAsia"/>
          <w:sz w:val="32"/>
          <w:szCs w:val="32"/>
        </w:rPr>
        <w:t>件</w:t>
      </w:r>
      <w:r>
        <w:rPr>
          <w:rFonts w:ascii="Times New Roman" w:eastAsia="仿宋_GB2312" w:hAnsi="Times New Roman"/>
          <w:sz w:val="32"/>
          <w:szCs w:val="32"/>
        </w:rPr>
        <w:t>2</w:t>
      </w:r>
    </w:p>
    <w:p w:rsidR="009B4B69" w:rsidRDefault="00A12D99">
      <w:pPr>
        <w:spacing w:beforeLines="50" w:before="156" w:afterLines="100" w:after="312" w:line="600" w:lineRule="exact"/>
        <w:jc w:val="center"/>
        <w:rPr>
          <w:rFonts w:ascii="Times New Roman" w:eastAsia="方正小标宋简体" w:hAnsi="Times New Roman"/>
          <w:bCs/>
          <w:sz w:val="32"/>
          <w:szCs w:val="32"/>
        </w:rPr>
      </w:pPr>
      <w:r>
        <w:rPr>
          <w:rFonts w:ascii="Times New Roman" w:eastAsia="方正小标宋简体" w:hAnsi="Times New Roman"/>
          <w:bCs/>
          <w:sz w:val="32"/>
          <w:szCs w:val="32"/>
        </w:rPr>
        <w:t>常山县征地区片综合补偿标准</w:t>
      </w:r>
    </w:p>
    <w:p w:rsidR="009B4B69" w:rsidRDefault="00A12D99">
      <w:pPr>
        <w:wordWrap w:val="0"/>
        <w:jc w:val="righ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kern w:val="0"/>
          <w:sz w:val="32"/>
          <w:szCs w:val="32"/>
        </w:rPr>
        <w:t>单位：万元</w:t>
      </w:r>
      <w:r>
        <w:rPr>
          <w:rFonts w:ascii="Times New Roman" w:eastAsia="仿宋_GB2312" w:hAnsi="Times New Roman"/>
          <w:kern w:val="0"/>
          <w:sz w:val="32"/>
          <w:szCs w:val="32"/>
        </w:rPr>
        <w:t>/</w:t>
      </w:r>
      <w:r>
        <w:rPr>
          <w:rFonts w:ascii="Times New Roman" w:eastAsia="仿宋_GB2312" w:hAnsi="Times New Roman"/>
          <w:kern w:val="0"/>
          <w:sz w:val="32"/>
          <w:szCs w:val="32"/>
        </w:rPr>
        <w:t>亩</w:t>
      </w:r>
      <w:r>
        <w:rPr>
          <w:rFonts w:ascii="Times New Roman" w:eastAsia="仿宋_GB2312" w:hAnsi="Times New Roman"/>
          <w:kern w:val="0"/>
          <w:sz w:val="32"/>
          <w:szCs w:val="32"/>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929"/>
        <w:gridCol w:w="1727"/>
        <w:gridCol w:w="1731"/>
      </w:tblGrid>
      <w:tr w:rsidR="009B4B69">
        <w:trPr>
          <w:trHeight w:val="1182"/>
          <w:jc w:val="center"/>
        </w:trPr>
        <w:tc>
          <w:tcPr>
            <w:tcW w:w="3153" w:type="dxa"/>
            <w:vAlign w:val="center"/>
          </w:tcPr>
          <w:p w:rsidR="009B4B69" w:rsidRDefault="00A12D99">
            <w:pPr>
              <w:widowControl/>
              <w:jc w:val="center"/>
              <w:rPr>
                <w:rFonts w:ascii="Times New Roman" w:eastAsia="仿宋_GB2312" w:hAnsi="Times New Roman"/>
                <w:sz w:val="32"/>
                <w:szCs w:val="32"/>
              </w:rPr>
            </w:pPr>
            <w:r>
              <w:rPr>
                <w:rFonts w:ascii="Times New Roman" w:eastAsia="仿宋_GB2312" w:hAnsi="Times New Roman"/>
                <w:sz w:val="32"/>
                <w:szCs w:val="32"/>
              </w:rPr>
              <w:t>补偿标准区片</w:t>
            </w:r>
          </w:p>
        </w:tc>
        <w:tc>
          <w:tcPr>
            <w:tcW w:w="1929" w:type="dxa"/>
            <w:vAlign w:val="center"/>
          </w:tcPr>
          <w:p w:rsidR="009B4B69" w:rsidRDefault="009B4B69">
            <w:pPr>
              <w:widowControl/>
              <w:spacing w:line="360" w:lineRule="exact"/>
              <w:jc w:val="center"/>
              <w:rPr>
                <w:rFonts w:ascii="Times New Roman" w:eastAsia="仿宋_GB2312" w:hAnsi="Times New Roman"/>
                <w:sz w:val="32"/>
                <w:szCs w:val="32"/>
              </w:rPr>
            </w:pPr>
          </w:p>
          <w:p w:rsidR="009B4B69" w:rsidRDefault="00A12D99">
            <w:pPr>
              <w:widowControl/>
              <w:spacing w:line="360" w:lineRule="exact"/>
              <w:jc w:val="center"/>
              <w:rPr>
                <w:rFonts w:ascii="Times New Roman" w:eastAsia="仿宋_GB2312" w:hAnsi="Times New Roman"/>
                <w:sz w:val="32"/>
                <w:szCs w:val="32"/>
              </w:rPr>
            </w:pPr>
            <w:r>
              <w:rPr>
                <w:rFonts w:ascii="Times New Roman" w:eastAsia="仿宋_GB2312" w:hAnsi="Times New Roman"/>
                <w:sz w:val="32"/>
                <w:szCs w:val="32"/>
              </w:rPr>
              <w:t>第一区片</w:t>
            </w:r>
          </w:p>
          <w:p w:rsidR="009B4B69" w:rsidRDefault="009B4B69">
            <w:pPr>
              <w:widowControl/>
              <w:spacing w:line="360" w:lineRule="exact"/>
              <w:rPr>
                <w:rFonts w:ascii="Times New Roman" w:eastAsia="仿宋_GB2312" w:hAnsi="Times New Roman"/>
                <w:sz w:val="32"/>
                <w:szCs w:val="32"/>
              </w:rPr>
            </w:pPr>
          </w:p>
        </w:tc>
        <w:tc>
          <w:tcPr>
            <w:tcW w:w="1727" w:type="dxa"/>
            <w:vAlign w:val="center"/>
          </w:tcPr>
          <w:p w:rsidR="009B4B69" w:rsidRDefault="00A12D99">
            <w:pPr>
              <w:widowControl/>
              <w:spacing w:line="360" w:lineRule="exact"/>
              <w:jc w:val="center"/>
              <w:rPr>
                <w:rFonts w:ascii="Times New Roman" w:eastAsia="仿宋_GB2312" w:hAnsi="Times New Roman"/>
                <w:sz w:val="32"/>
                <w:szCs w:val="32"/>
              </w:rPr>
            </w:pPr>
            <w:r>
              <w:rPr>
                <w:rFonts w:ascii="Times New Roman" w:eastAsia="仿宋_GB2312" w:hAnsi="Times New Roman"/>
                <w:sz w:val="32"/>
                <w:szCs w:val="32"/>
              </w:rPr>
              <w:t>第二区片</w:t>
            </w:r>
          </w:p>
        </w:tc>
        <w:tc>
          <w:tcPr>
            <w:tcW w:w="1731" w:type="dxa"/>
            <w:vAlign w:val="center"/>
          </w:tcPr>
          <w:p w:rsidR="009B4B69" w:rsidRDefault="00A12D99">
            <w:pPr>
              <w:widowControl/>
              <w:spacing w:line="360" w:lineRule="exact"/>
              <w:jc w:val="center"/>
              <w:rPr>
                <w:rFonts w:ascii="Times New Roman" w:eastAsia="仿宋_GB2312" w:hAnsi="Times New Roman"/>
                <w:sz w:val="32"/>
                <w:szCs w:val="32"/>
              </w:rPr>
            </w:pPr>
            <w:r>
              <w:rPr>
                <w:rFonts w:ascii="Times New Roman" w:eastAsia="仿宋_GB2312" w:hAnsi="Times New Roman"/>
                <w:sz w:val="32"/>
                <w:szCs w:val="32"/>
              </w:rPr>
              <w:t>第三区片</w:t>
            </w:r>
          </w:p>
        </w:tc>
      </w:tr>
      <w:tr w:rsidR="009B4B69">
        <w:trPr>
          <w:trHeight w:val="906"/>
          <w:jc w:val="center"/>
        </w:trPr>
        <w:tc>
          <w:tcPr>
            <w:tcW w:w="3153" w:type="dxa"/>
            <w:vAlign w:val="center"/>
          </w:tcPr>
          <w:p w:rsidR="009B4B69" w:rsidRDefault="00A12D99">
            <w:pPr>
              <w:widowControl/>
              <w:spacing w:line="360" w:lineRule="exact"/>
              <w:jc w:val="center"/>
              <w:rPr>
                <w:rFonts w:ascii="Times New Roman" w:eastAsia="仿宋_GB2312" w:hAnsi="Times New Roman"/>
                <w:bCs/>
                <w:sz w:val="32"/>
                <w:szCs w:val="32"/>
              </w:rPr>
            </w:pPr>
            <w:r>
              <w:rPr>
                <w:rFonts w:ascii="Times New Roman" w:eastAsia="仿宋_GB2312" w:hAnsi="Times New Roman"/>
                <w:sz w:val="32"/>
                <w:szCs w:val="32"/>
              </w:rPr>
              <w:t>耕地、</w:t>
            </w:r>
            <w:r>
              <w:rPr>
                <w:rFonts w:ascii="Times New Roman" w:eastAsia="仿宋_GB2312" w:hAnsi="Times New Roman" w:hint="eastAsia"/>
                <w:sz w:val="32"/>
                <w:szCs w:val="32"/>
              </w:rPr>
              <w:t>除林地外的其他农用地、</w:t>
            </w:r>
            <w:r>
              <w:rPr>
                <w:rFonts w:ascii="Times New Roman" w:eastAsia="仿宋_GB2312" w:hAnsi="Times New Roman"/>
                <w:sz w:val="32"/>
                <w:szCs w:val="32"/>
              </w:rPr>
              <w:t>建设用地</w:t>
            </w:r>
          </w:p>
        </w:tc>
        <w:tc>
          <w:tcPr>
            <w:tcW w:w="1929"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6.0</w:t>
            </w:r>
          </w:p>
        </w:tc>
        <w:tc>
          <w:tcPr>
            <w:tcW w:w="1727"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5.2</w:t>
            </w:r>
          </w:p>
        </w:tc>
        <w:tc>
          <w:tcPr>
            <w:tcW w:w="1731"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5.0</w:t>
            </w:r>
          </w:p>
        </w:tc>
      </w:tr>
      <w:tr w:rsidR="009B4B69">
        <w:trPr>
          <w:trHeight w:val="885"/>
          <w:jc w:val="center"/>
        </w:trPr>
        <w:tc>
          <w:tcPr>
            <w:tcW w:w="3153" w:type="dxa"/>
            <w:vAlign w:val="center"/>
          </w:tcPr>
          <w:p w:rsidR="009B4B69" w:rsidRDefault="00A12D99">
            <w:pPr>
              <w:widowControl/>
              <w:spacing w:line="360" w:lineRule="exact"/>
              <w:jc w:val="center"/>
              <w:rPr>
                <w:rFonts w:ascii="Times New Roman" w:eastAsia="仿宋_GB2312" w:hAnsi="Times New Roman"/>
                <w:sz w:val="32"/>
                <w:szCs w:val="32"/>
              </w:rPr>
            </w:pPr>
            <w:r>
              <w:rPr>
                <w:rFonts w:ascii="Times New Roman" w:eastAsia="仿宋_GB2312" w:hAnsi="Times New Roman"/>
                <w:sz w:val="32"/>
                <w:szCs w:val="32"/>
              </w:rPr>
              <w:t>林地、未利用地</w:t>
            </w:r>
          </w:p>
        </w:tc>
        <w:tc>
          <w:tcPr>
            <w:tcW w:w="1929"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3.6</w:t>
            </w:r>
          </w:p>
        </w:tc>
        <w:tc>
          <w:tcPr>
            <w:tcW w:w="1727"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3.3</w:t>
            </w:r>
          </w:p>
        </w:tc>
        <w:tc>
          <w:tcPr>
            <w:tcW w:w="1731"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3.0</w:t>
            </w:r>
          </w:p>
        </w:tc>
      </w:tr>
    </w:tbl>
    <w:p w:rsidR="009B4B69" w:rsidRDefault="009B4B69">
      <w:pPr>
        <w:adjustRightInd w:val="0"/>
        <w:snapToGrid w:val="0"/>
        <w:rPr>
          <w:rFonts w:ascii="Times New Roman" w:eastAsia="黑体" w:hAnsi="Times New Roman"/>
          <w:bCs/>
          <w:sz w:val="32"/>
          <w:szCs w:val="32"/>
        </w:rPr>
      </w:pPr>
    </w:p>
    <w:p w:rsidR="009B4B69" w:rsidRDefault="00A12D99">
      <w:pPr>
        <w:adjustRightInd w:val="0"/>
        <w:snapToGrid w:val="0"/>
        <w:ind w:firstLineChars="200" w:firstLine="640"/>
        <w:rPr>
          <w:rFonts w:ascii="宋体" w:hAnsi="宋体"/>
          <w:sz w:val="32"/>
          <w:szCs w:val="32"/>
        </w:rPr>
      </w:pPr>
      <w:r>
        <w:rPr>
          <w:rFonts w:ascii="Times New Roman" w:eastAsia="仿宋_GB2312" w:hAnsi="Times New Roman"/>
          <w:sz w:val="32"/>
          <w:szCs w:val="32"/>
        </w:rPr>
        <w:t>注：权</w:t>
      </w:r>
      <w:r>
        <w:rPr>
          <w:rFonts w:ascii="Times New Roman" w:eastAsia="仿宋_GB2312" w:hAnsi="Times New Roman"/>
          <w:spacing w:val="-6"/>
          <w:sz w:val="32"/>
          <w:szCs w:val="32"/>
        </w:rPr>
        <w:t>属界外的插花地、飞地所在的区片高于本区片的按所在区片征地补偿标准补偿</w:t>
      </w:r>
      <w:r>
        <w:rPr>
          <w:rFonts w:ascii="Times New Roman" w:eastAsia="仿宋_GB2312" w:hAnsi="Times New Roman"/>
          <w:sz w:val="32"/>
          <w:szCs w:val="32"/>
        </w:rPr>
        <w:t>。</w:t>
      </w: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宋体" w:hAnsi="宋体"/>
          <w:sz w:val="32"/>
          <w:szCs w:val="32"/>
        </w:rPr>
      </w:pPr>
    </w:p>
    <w:p w:rsidR="009B4B69" w:rsidRDefault="009B4B69">
      <w:pPr>
        <w:rPr>
          <w:rFonts w:ascii="Times New Roman" w:eastAsia="仿宋_GB2312" w:hAnsi="Times New Roman"/>
          <w:sz w:val="32"/>
          <w:szCs w:val="32"/>
        </w:rPr>
      </w:pPr>
    </w:p>
    <w:p w:rsidR="009B4B69" w:rsidRDefault="00A12D99">
      <w:pPr>
        <w:rPr>
          <w:rFonts w:ascii="Times New Roman" w:eastAsia="仿宋_GB2312" w:hAnsi="Times New Roman"/>
          <w:sz w:val="32"/>
          <w:szCs w:val="32"/>
        </w:rPr>
      </w:pPr>
      <w:r>
        <w:rPr>
          <w:rFonts w:ascii="Times New Roman" w:eastAsia="仿宋_GB2312" w:hAnsi="Times New Roman"/>
          <w:sz w:val="32"/>
          <w:szCs w:val="32"/>
        </w:rPr>
        <w:t>附</w:t>
      </w:r>
      <w:r>
        <w:rPr>
          <w:rFonts w:ascii="Times New Roman" w:eastAsia="仿宋_GB2312" w:hAnsi="Times New Roman"/>
          <w:sz w:val="32"/>
          <w:szCs w:val="32"/>
        </w:rPr>
        <w:t>表</w:t>
      </w:r>
      <w:r>
        <w:rPr>
          <w:rFonts w:ascii="Times New Roman" w:eastAsia="仿宋_GB2312" w:hAnsi="Times New Roman"/>
          <w:sz w:val="32"/>
          <w:szCs w:val="32"/>
        </w:rPr>
        <w:t>3</w:t>
      </w:r>
    </w:p>
    <w:p w:rsidR="009B4B69" w:rsidRDefault="00A12D99">
      <w:pPr>
        <w:spacing w:beforeLines="50" w:before="156" w:afterLines="100" w:after="312" w:line="600" w:lineRule="exact"/>
        <w:jc w:val="center"/>
        <w:rPr>
          <w:rFonts w:ascii="Times New Roman" w:eastAsia="方正小标宋简体" w:hAnsi="Times New Roman"/>
          <w:bCs/>
          <w:sz w:val="32"/>
          <w:szCs w:val="32"/>
        </w:rPr>
      </w:pPr>
      <w:r>
        <w:rPr>
          <w:rFonts w:ascii="Times New Roman" w:eastAsia="方正小标宋简体" w:hAnsi="Times New Roman"/>
          <w:bCs/>
          <w:sz w:val="32"/>
          <w:szCs w:val="32"/>
        </w:rPr>
        <w:t>土地补偿费和安置补助费的构成</w:t>
      </w:r>
    </w:p>
    <w:p w:rsidR="009B4B69" w:rsidRDefault="00A12D99">
      <w:pPr>
        <w:wordWrap w:val="0"/>
        <w:adjustRightInd w:val="0"/>
        <w:snapToGrid w:val="0"/>
        <w:jc w:val="right"/>
        <w:rPr>
          <w:rFonts w:ascii="Times New Roman" w:eastAsia="仿宋_GB2312" w:hAnsi="Times New Roman"/>
          <w:bCs/>
          <w:sz w:val="32"/>
          <w:szCs w:val="32"/>
        </w:rPr>
      </w:pPr>
      <w:r>
        <w:rPr>
          <w:rFonts w:ascii="Times New Roman" w:eastAsia="仿宋_GB2312" w:hAnsi="Times New Roman"/>
          <w:bCs/>
          <w:sz w:val="32"/>
          <w:szCs w:val="32"/>
        </w:rPr>
        <w:t>单位：</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亩</w:t>
      </w:r>
      <w:r>
        <w:rPr>
          <w:rFonts w:ascii="Times New Roman" w:eastAsia="仿宋_GB2312" w:hAnsi="Times New Roman"/>
          <w:sz w:val="32"/>
          <w:szCs w:val="32"/>
        </w:rPr>
        <w:t xml:space="preserve"> </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1136"/>
        <w:gridCol w:w="1084"/>
        <w:gridCol w:w="1149"/>
        <w:gridCol w:w="1163"/>
        <w:gridCol w:w="1162"/>
        <w:gridCol w:w="1150"/>
      </w:tblGrid>
      <w:tr w:rsidR="009B4B69">
        <w:trPr>
          <w:trHeight w:val="764"/>
          <w:jc w:val="center"/>
        </w:trPr>
        <w:tc>
          <w:tcPr>
            <w:tcW w:w="2206" w:type="dxa"/>
            <w:vMerge w:val="restart"/>
            <w:vAlign w:val="center"/>
          </w:tcPr>
          <w:p w:rsidR="009B4B69" w:rsidRDefault="00A12D99">
            <w:pPr>
              <w:widowControl/>
              <w:snapToGrid w:val="0"/>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地类补偿费</w:t>
            </w:r>
          </w:p>
          <w:p w:rsidR="009B4B69" w:rsidRDefault="00A12D99">
            <w:pPr>
              <w:widowControl/>
              <w:snapToGrid w:val="0"/>
              <w:jc w:val="center"/>
              <w:rPr>
                <w:rFonts w:ascii="Times New Roman" w:eastAsia="仿宋_GB2312" w:hAnsi="Times New Roman"/>
                <w:sz w:val="32"/>
                <w:szCs w:val="32"/>
              </w:rPr>
            </w:pPr>
            <w:r>
              <w:rPr>
                <w:rFonts w:ascii="Times New Roman" w:eastAsia="仿宋_GB2312" w:hAnsi="Times New Roman"/>
                <w:sz w:val="32"/>
                <w:szCs w:val="32"/>
              </w:rPr>
              <w:t>构成区片</w:t>
            </w:r>
          </w:p>
        </w:tc>
        <w:tc>
          <w:tcPr>
            <w:tcW w:w="2220" w:type="dxa"/>
            <w:gridSpan w:val="2"/>
            <w:vAlign w:val="center"/>
          </w:tcPr>
          <w:p w:rsidR="009B4B69" w:rsidRDefault="00A12D99">
            <w:pPr>
              <w:widowControl/>
              <w:jc w:val="center"/>
              <w:rPr>
                <w:rFonts w:ascii="Times New Roman" w:eastAsia="仿宋_GB2312" w:hAnsi="Times New Roman"/>
                <w:bCs/>
                <w:sz w:val="32"/>
                <w:szCs w:val="32"/>
              </w:rPr>
            </w:pPr>
            <w:r>
              <w:rPr>
                <w:rFonts w:ascii="Times New Roman" w:eastAsia="仿宋_GB2312" w:hAnsi="Times New Roman"/>
                <w:sz w:val="32"/>
                <w:szCs w:val="32"/>
              </w:rPr>
              <w:t>第一区片</w:t>
            </w:r>
          </w:p>
        </w:tc>
        <w:tc>
          <w:tcPr>
            <w:tcW w:w="2312" w:type="dxa"/>
            <w:gridSpan w:val="2"/>
            <w:vAlign w:val="center"/>
          </w:tcPr>
          <w:p w:rsidR="009B4B69" w:rsidRDefault="00A12D99">
            <w:pPr>
              <w:widowControl/>
              <w:jc w:val="center"/>
              <w:rPr>
                <w:rFonts w:ascii="Times New Roman" w:eastAsia="仿宋_GB2312" w:hAnsi="Times New Roman"/>
                <w:bCs/>
                <w:sz w:val="32"/>
                <w:szCs w:val="32"/>
              </w:rPr>
            </w:pPr>
            <w:r>
              <w:rPr>
                <w:rFonts w:ascii="Times New Roman" w:eastAsia="仿宋_GB2312" w:hAnsi="Times New Roman"/>
                <w:sz w:val="32"/>
                <w:szCs w:val="32"/>
              </w:rPr>
              <w:t>第二区片</w:t>
            </w:r>
          </w:p>
        </w:tc>
        <w:tc>
          <w:tcPr>
            <w:tcW w:w="2312" w:type="dxa"/>
            <w:gridSpan w:val="2"/>
            <w:vAlign w:val="center"/>
          </w:tcPr>
          <w:p w:rsidR="009B4B69" w:rsidRDefault="00A12D99">
            <w:pPr>
              <w:widowControl/>
              <w:jc w:val="center"/>
              <w:rPr>
                <w:rFonts w:ascii="Times New Roman" w:eastAsia="仿宋_GB2312" w:hAnsi="Times New Roman"/>
                <w:bCs/>
                <w:sz w:val="32"/>
                <w:szCs w:val="32"/>
              </w:rPr>
            </w:pPr>
            <w:r>
              <w:rPr>
                <w:rFonts w:ascii="Times New Roman" w:eastAsia="仿宋_GB2312" w:hAnsi="Times New Roman"/>
                <w:sz w:val="32"/>
                <w:szCs w:val="32"/>
              </w:rPr>
              <w:t>第三区片</w:t>
            </w:r>
          </w:p>
        </w:tc>
      </w:tr>
      <w:tr w:rsidR="009B4B69">
        <w:trPr>
          <w:trHeight w:val="930"/>
          <w:jc w:val="center"/>
        </w:trPr>
        <w:tc>
          <w:tcPr>
            <w:tcW w:w="2206" w:type="dxa"/>
            <w:vMerge/>
            <w:vAlign w:val="center"/>
          </w:tcPr>
          <w:p w:rsidR="009B4B69" w:rsidRDefault="009B4B69">
            <w:pPr>
              <w:widowControl/>
              <w:jc w:val="center"/>
              <w:rPr>
                <w:rFonts w:ascii="Times New Roman" w:eastAsia="仿宋_GB2312" w:hAnsi="Times New Roman"/>
                <w:sz w:val="32"/>
                <w:szCs w:val="32"/>
              </w:rPr>
            </w:pPr>
          </w:p>
        </w:tc>
        <w:tc>
          <w:tcPr>
            <w:tcW w:w="1136" w:type="dxa"/>
            <w:vAlign w:val="center"/>
          </w:tcPr>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土地</w:t>
            </w:r>
          </w:p>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补偿费</w:t>
            </w:r>
          </w:p>
        </w:tc>
        <w:tc>
          <w:tcPr>
            <w:tcW w:w="1084" w:type="dxa"/>
            <w:vAlign w:val="center"/>
          </w:tcPr>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安置</w:t>
            </w:r>
          </w:p>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补助费</w:t>
            </w:r>
          </w:p>
        </w:tc>
        <w:tc>
          <w:tcPr>
            <w:tcW w:w="1149" w:type="dxa"/>
            <w:vAlign w:val="center"/>
          </w:tcPr>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土地</w:t>
            </w:r>
          </w:p>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补偿费</w:t>
            </w:r>
          </w:p>
        </w:tc>
        <w:tc>
          <w:tcPr>
            <w:tcW w:w="1163" w:type="dxa"/>
            <w:vAlign w:val="center"/>
          </w:tcPr>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安置</w:t>
            </w:r>
          </w:p>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补助费</w:t>
            </w:r>
          </w:p>
        </w:tc>
        <w:tc>
          <w:tcPr>
            <w:tcW w:w="1162" w:type="dxa"/>
            <w:vAlign w:val="center"/>
          </w:tcPr>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土地</w:t>
            </w:r>
          </w:p>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补偿费</w:t>
            </w:r>
          </w:p>
        </w:tc>
        <w:tc>
          <w:tcPr>
            <w:tcW w:w="1150" w:type="dxa"/>
            <w:vAlign w:val="center"/>
          </w:tcPr>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安置</w:t>
            </w:r>
          </w:p>
          <w:p w:rsidR="009B4B69" w:rsidRDefault="00A12D99">
            <w:pPr>
              <w:adjustRightInd w:val="0"/>
              <w:snapToGrid w:val="0"/>
              <w:jc w:val="center"/>
              <w:rPr>
                <w:rFonts w:ascii="Times New Roman" w:eastAsia="仿宋_GB2312" w:hAnsi="Times New Roman"/>
                <w:bCs/>
                <w:sz w:val="32"/>
                <w:szCs w:val="32"/>
              </w:rPr>
            </w:pPr>
            <w:r>
              <w:rPr>
                <w:rFonts w:ascii="Times New Roman" w:eastAsia="仿宋_GB2312" w:hAnsi="Times New Roman"/>
                <w:bCs/>
                <w:sz w:val="32"/>
                <w:szCs w:val="32"/>
              </w:rPr>
              <w:t>补助费</w:t>
            </w:r>
          </w:p>
        </w:tc>
      </w:tr>
      <w:tr w:rsidR="009B4B69">
        <w:trPr>
          <w:trHeight w:val="1433"/>
          <w:jc w:val="center"/>
        </w:trPr>
        <w:tc>
          <w:tcPr>
            <w:tcW w:w="2206" w:type="dxa"/>
            <w:vAlign w:val="center"/>
          </w:tcPr>
          <w:p w:rsidR="009B4B69" w:rsidRDefault="00A12D99">
            <w:pPr>
              <w:widowControl/>
              <w:jc w:val="center"/>
              <w:rPr>
                <w:rFonts w:ascii="Times New Roman" w:eastAsia="仿宋_GB2312" w:hAnsi="Times New Roman"/>
                <w:bCs/>
                <w:sz w:val="32"/>
                <w:szCs w:val="32"/>
              </w:rPr>
            </w:pPr>
            <w:r>
              <w:rPr>
                <w:rFonts w:ascii="Times New Roman" w:eastAsia="仿宋_GB2312" w:hAnsi="Times New Roman"/>
                <w:sz w:val="32"/>
                <w:szCs w:val="32"/>
              </w:rPr>
              <w:t>耕地、</w:t>
            </w:r>
            <w:r>
              <w:rPr>
                <w:rFonts w:ascii="Times New Roman" w:eastAsia="仿宋_GB2312" w:hAnsi="Times New Roman" w:hint="eastAsia"/>
                <w:sz w:val="32"/>
                <w:szCs w:val="32"/>
              </w:rPr>
              <w:t>除林地外的其他农用地、</w:t>
            </w:r>
            <w:r>
              <w:rPr>
                <w:rFonts w:ascii="Times New Roman" w:eastAsia="仿宋_GB2312" w:hAnsi="Times New Roman"/>
                <w:sz w:val="32"/>
                <w:szCs w:val="32"/>
              </w:rPr>
              <w:t>建设用地</w:t>
            </w:r>
          </w:p>
        </w:tc>
        <w:tc>
          <w:tcPr>
            <w:tcW w:w="1136"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2</w:t>
            </w:r>
            <w:r>
              <w:rPr>
                <w:rFonts w:ascii="Times New Roman" w:eastAsia="仿宋_GB2312" w:hAnsi="Times New Roman"/>
                <w:bCs/>
                <w:sz w:val="32"/>
                <w:szCs w:val="32"/>
              </w:rPr>
              <w:t>.0</w:t>
            </w:r>
          </w:p>
        </w:tc>
        <w:tc>
          <w:tcPr>
            <w:tcW w:w="1084"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4.0</w:t>
            </w:r>
          </w:p>
        </w:tc>
        <w:tc>
          <w:tcPr>
            <w:tcW w:w="1149"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2</w:t>
            </w:r>
            <w:r>
              <w:rPr>
                <w:rFonts w:ascii="Times New Roman" w:eastAsia="仿宋_GB2312" w:hAnsi="Times New Roman"/>
                <w:bCs/>
                <w:sz w:val="32"/>
                <w:szCs w:val="32"/>
              </w:rPr>
              <w:t>.0</w:t>
            </w:r>
          </w:p>
        </w:tc>
        <w:tc>
          <w:tcPr>
            <w:tcW w:w="1163"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3.2</w:t>
            </w:r>
          </w:p>
        </w:tc>
        <w:tc>
          <w:tcPr>
            <w:tcW w:w="1162"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2</w:t>
            </w:r>
            <w:r>
              <w:rPr>
                <w:rFonts w:ascii="Times New Roman" w:eastAsia="仿宋_GB2312" w:hAnsi="Times New Roman"/>
                <w:bCs/>
                <w:sz w:val="32"/>
                <w:szCs w:val="32"/>
              </w:rPr>
              <w:t>.0</w:t>
            </w:r>
          </w:p>
        </w:tc>
        <w:tc>
          <w:tcPr>
            <w:tcW w:w="1150"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3.0</w:t>
            </w:r>
          </w:p>
        </w:tc>
      </w:tr>
      <w:tr w:rsidR="009B4B69">
        <w:trPr>
          <w:trHeight w:val="1433"/>
          <w:jc w:val="center"/>
        </w:trPr>
        <w:tc>
          <w:tcPr>
            <w:tcW w:w="2206" w:type="dxa"/>
            <w:vAlign w:val="center"/>
          </w:tcPr>
          <w:p w:rsidR="009B4B69" w:rsidRDefault="00A12D99">
            <w:pPr>
              <w:widowControl/>
              <w:jc w:val="center"/>
              <w:rPr>
                <w:rFonts w:ascii="Times New Roman" w:eastAsia="仿宋_GB2312" w:hAnsi="Times New Roman"/>
                <w:sz w:val="32"/>
                <w:szCs w:val="32"/>
              </w:rPr>
            </w:pPr>
            <w:r>
              <w:rPr>
                <w:rFonts w:ascii="Times New Roman" w:eastAsia="仿宋_GB2312" w:hAnsi="Times New Roman"/>
                <w:sz w:val="32"/>
                <w:szCs w:val="32"/>
              </w:rPr>
              <w:t>林地、未利用地</w:t>
            </w:r>
          </w:p>
        </w:tc>
        <w:tc>
          <w:tcPr>
            <w:tcW w:w="1136"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1</w:t>
            </w:r>
            <w:r>
              <w:rPr>
                <w:rFonts w:ascii="Times New Roman" w:eastAsia="仿宋_GB2312" w:hAnsi="Times New Roman"/>
                <w:bCs/>
                <w:sz w:val="32"/>
                <w:szCs w:val="32"/>
              </w:rPr>
              <w:t>.2</w:t>
            </w:r>
          </w:p>
        </w:tc>
        <w:tc>
          <w:tcPr>
            <w:tcW w:w="1084"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2.4</w:t>
            </w:r>
          </w:p>
        </w:tc>
        <w:tc>
          <w:tcPr>
            <w:tcW w:w="1149"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1</w:t>
            </w:r>
            <w:r>
              <w:rPr>
                <w:rFonts w:ascii="Times New Roman" w:eastAsia="仿宋_GB2312" w:hAnsi="Times New Roman"/>
                <w:bCs/>
                <w:sz w:val="32"/>
                <w:szCs w:val="32"/>
              </w:rPr>
              <w:t>.2</w:t>
            </w:r>
          </w:p>
        </w:tc>
        <w:tc>
          <w:tcPr>
            <w:tcW w:w="1163"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2.1</w:t>
            </w:r>
          </w:p>
        </w:tc>
        <w:tc>
          <w:tcPr>
            <w:tcW w:w="1162"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1</w:t>
            </w:r>
            <w:r>
              <w:rPr>
                <w:rFonts w:ascii="Times New Roman" w:eastAsia="仿宋_GB2312" w:hAnsi="Times New Roman"/>
                <w:bCs/>
                <w:sz w:val="32"/>
                <w:szCs w:val="32"/>
              </w:rPr>
              <w:t>.2</w:t>
            </w:r>
          </w:p>
        </w:tc>
        <w:tc>
          <w:tcPr>
            <w:tcW w:w="1150" w:type="dxa"/>
            <w:vAlign w:val="center"/>
          </w:tcPr>
          <w:p w:rsidR="009B4B69" w:rsidRDefault="00A12D99">
            <w:pPr>
              <w:adjustRightInd w:val="0"/>
              <w:snapToGrid w:val="0"/>
              <w:jc w:val="center"/>
              <w:rPr>
                <w:rFonts w:ascii="Times New Roman" w:eastAsia="仿宋_GB2312" w:hAnsi="Times New Roman"/>
                <w:bCs/>
                <w:sz w:val="32"/>
                <w:szCs w:val="32"/>
                <w:u w:val="single"/>
                <w:shd w:val="clear" w:color="FFFFFF" w:fill="D9D9D9"/>
              </w:rPr>
            </w:pPr>
            <w:r>
              <w:rPr>
                <w:rFonts w:ascii="Times New Roman" w:eastAsia="仿宋_GB2312" w:hAnsi="Times New Roman"/>
                <w:bCs/>
                <w:sz w:val="32"/>
                <w:szCs w:val="32"/>
              </w:rPr>
              <w:t>1.8</w:t>
            </w:r>
          </w:p>
        </w:tc>
      </w:tr>
    </w:tbl>
    <w:p w:rsidR="009B4B69" w:rsidRDefault="009B4B69">
      <w:pPr>
        <w:spacing w:line="560" w:lineRule="exact"/>
        <w:rPr>
          <w:rFonts w:ascii="仿宋" w:eastAsia="仿宋" w:hAnsi="仿宋" w:cs="仿宋"/>
          <w:kern w:val="0"/>
          <w:sz w:val="24"/>
          <w:lang w:bidi="ar"/>
        </w:rPr>
      </w:pPr>
    </w:p>
    <w:sectPr w:rsidR="009B4B69">
      <w:pgSz w:w="11906" w:h="16838"/>
      <w:pgMar w:top="1627" w:right="1440" w:bottom="162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99" w:rsidRDefault="00A12D99" w:rsidP="00F20BC4">
      <w:r>
        <w:separator/>
      </w:r>
    </w:p>
  </w:endnote>
  <w:endnote w:type="continuationSeparator" w:id="0">
    <w:p w:rsidR="00A12D99" w:rsidRDefault="00A12D99" w:rsidP="00F2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99" w:rsidRDefault="00A12D99" w:rsidP="00F20BC4">
      <w:r>
        <w:separator/>
      </w:r>
    </w:p>
  </w:footnote>
  <w:footnote w:type="continuationSeparator" w:id="0">
    <w:p w:rsidR="00A12D99" w:rsidRDefault="00A12D99" w:rsidP="00F20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A69EA6"/>
    <w:multiLevelType w:val="singleLevel"/>
    <w:tmpl w:val="B9A69EA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73"/>
    <w:rsid w:val="000C33E4"/>
    <w:rsid w:val="0014032E"/>
    <w:rsid w:val="00207150"/>
    <w:rsid w:val="00230969"/>
    <w:rsid w:val="002503AE"/>
    <w:rsid w:val="003E3112"/>
    <w:rsid w:val="00494413"/>
    <w:rsid w:val="004D26C9"/>
    <w:rsid w:val="004E5043"/>
    <w:rsid w:val="005608EB"/>
    <w:rsid w:val="006105B9"/>
    <w:rsid w:val="00621F7E"/>
    <w:rsid w:val="007D24C6"/>
    <w:rsid w:val="009B4B69"/>
    <w:rsid w:val="009F6219"/>
    <w:rsid w:val="00A12D99"/>
    <w:rsid w:val="00A13B73"/>
    <w:rsid w:val="00A53B8C"/>
    <w:rsid w:val="00A87CB0"/>
    <w:rsid w:val="00B1791C"/>
    <w:rsid w:val="00B47CA2"/>
    <w:rsid w:val="00C56C79"/>
    <w:rsid w:val="00D077F0"/>
    <w:rsid w:val="00D35A1B"/>
    <w:rsid w:val="00E45803"/>
    <w:rsid w:val="00E764FF"/>
    <w:rsid w:val="00F17827"/>
    <w:rsid w:val="00F20BC4"/>
    <w:rsid w:val="00FC113E"/>
    <w:rsid w:val="065F2FC8"/>
    <w:rsid w:val="1B1E55F5"/>
    <w:rsid w:val="25F34391"/>
    <w:rsid w:val="324B1505"/>
    <w:rsid w:val="329344A7"/>
    <w:rsid w:val="3A502E07"/>
    <w:rsid w:val="3CA3166D"/>
    <w:rsid w:val="42505DFF"/>
    <w:rsid w:val="430F65C4"/>
    <w:rsid w:val="446F7E70"/>
    <w:rsid w:val="4E99565B"/>
    <w:rsid w:val="5E727C81"/>
    <w:rsid w:val="6CF95391"/>
    <w:rsid w:val="73B45E35"/>
    <w:rsid w:val="7E85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535F4"/>
  <w15:docId w15:val="{1F99330D-B3C9-4EE0-913B-9E546D2F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Pr>
      <w:sz w:val="24"/>
    </w:rPr>
  </w:style>
  <w:style w:type="character" w:customStyle="1" w:styleId="a7">
    <w:name w:val="页眉 字符"/>
    <w:basedOn w:val="a1"/>
    <w:link w:val="a6"/>
    <w:uiPriority w:val="99"/>
    <w:qFormat/>
    <w:rPr>
      <w:rFonts w:ascii="Calibri" w:eastAsia="宋体" w:hAnsi="Calibri" w:cs="Times New Roman"/>
      <w:sz w:val="18"/>
      <w:szCs w:val="18"/>
    </w:rPr>
  </w:style>
  <w:style w:type="character" w:customStyle="1" w:styleId="a5">
    <w:name w:val="页脚 字符"/>
    <w:basedOn w:val="a1"/>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395</Words>
  <Characters>2252</Characters>
  <Application>Microsoft Office Word</Application>
  <DocSecurity>0</DocSecurity>
  <Lines>18</Lines>
  <Paragraphs>5</Paragraphs>
  <ScaleCrop>false</ScaleCrop>
  <Company>MS</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12</cp:revision>
  <dcterms:created xsi:type="dcterms:W3CDTF">2020-05-08T01:18:00Z</dcterms:created>
  <dcterms:modified xsi:type="dcterms:W3CDTF">2023-09-12T09:12:00Z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