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ind w:firstLine="0" w:firstLineChars="0"/>
        <w:jc w:val="both"/>
        <w:rPr>
          <w:rFonts w:hint="eastAsia" w:ascii="黑体" w:hAnsi="黑体" w:eastAsia="黑体"/>
        </w:rPr>
      </w:pPr>
      <w:bookmarkStart w:id="0" w:name="_Toc11643"/>
      <w:bookmarkStart w:id="1" w:name="_Toc14387"/>
      <w:r>
        <w:rPr>
          <w:rFonts w:hint="eastAsia" w:ascii="黑体" w:hAnsi="黑体" w:eastAsia="黑体"/>
        </w:rPr>
        <w:t>附件1：</w:t>
      </w:r>
    </w:p>
    <w:p>
      <w:pPr>
        <w:pStyle w:val="14"/>
        <w:ind w:firstLine="0" w:firstLineChars="0"/>
        <w:rPr>
          <w:rFonts w:ascii="黑体" w:hAnsi="黑体" w:eastAsia="黑体"/>
          <w:sz w:val="40"/>
          <w:szCs w:val="40"/>
        </w:rPr>
      </w:pPr>
      <w:r>
        <w:rPr>
          <w:rFonts w:hint="eastAsia" w:ascii="黑体" w:hAnsi="黑体" w:eastAsia="黑体"/>
          <w:sz w:val="40"/>
          <w:szCs w:val="40"/>
        </w:rPr>
        <w:t>温州市青年发展促进条例（草案征求意见稿）</w:t>
      </w:r>
      <w:bookmarkEnd w:id="0"/>
      <w:bookmarkEnd w:id="1"/>
    </w:p>
    <w:p/>
    <w:p>
      <w:r>
        <w:rPr>
          <w:rFonts w:hint="eastAsia"/>
        </w:rPr>
        <w:t>目录</w:t>
      </w:r>
    </w:p>
    <w:p>
      <w:r>
        <w:rPr>
          <w:rFonts w:hint="eastAsia"/>
        </w:rPr>
        <w:t>第一章 总则</w:t>
      </w:r>
    </w:p>
    <w:p>
      <w:r>
        <w:rPr>
          <w:rFonts w:hint="eastAsia"/>
        </w:rPr>
        <w:t>第二章 个人成长</w:t>
      </w:r>
    </w:p>
    <w:p>
      <w:r>
        <w:rPr>
          <w:rFonts w:hint="eastAsia"/>
        </w:rPr>
        <w:t>第三章 职业发展</w:t>
      </w:r>
    </w:p>
    <w:p>
      <w:r>
        <w:rPr>
          <w:rFonts w:hint="eastAsia"/>
        </w:rPr>
        <w:t>第四章 家庭和美</w:t>
      </w:r>
    </w:p>
    <w:p>
      <w:r>
        <w:rPr>
          <w:rFonts w:hint="eastAsia"/>
        </w:rPr>
        <w:t>第五章 社会融入</w:t>
      </w:r>
    </w:p>
    <w:p>
      <w:r>
        <w:rPr>
          <w:rFonts w:hint="eastAsia"/>
        </w:rPr>
        <w:t>第六章 保障措施</w:t>
      </w:r>
    </w:p>
    <w:p>
      <w:r>
        <w:rPr>
          <w:rFonts w:hint="eastAsia"/>
        </w:rPr>
        <w:t>第七章 附则</w:t>
      </w:r>
    </w:p>
    <w:p/>
    <w:p/>
    <w:p>
      <w:pPr>
        <w:pStyle w:val="4"/>
        <w:spacing w:before="156" w:after="156"/>
        <w:ind w:firstLine="723"/>
      </w:pPr>
      <w:bookmarkStart w:id="2" w:name="_Toc6066"/>
      <w:r>
        <w:rPr>
          <w:rFonts w:hint="eastAsia"/>
        </w:rPr>
        <w:t>第一章 总则</w:t>
      </w:r>
      <w:bookmarkEnd w:id="2"/>
    </w:p>
    <w:p>
      <w:pPr>
        <w:pStyle w:val="5"/>
      </w:pPr>
      <w:r>
        <w:rPr>
          <w:rFonts w:hint="eastAsia"/>
        </w:rPr>
        <w:t>第一条【立法目的】</w:t>
      </w:r>
    </w:p>
    <w:p>
      <w:r>
        <w:rPr>
          <w:rFonts w:hint="eastAsia"/>
        </w:rPr>
        <w:t>为了推动青年发展事业和青年发展型城市建设，保障青年合法权益，优化青年发展环境，促进青年全面发展，根据有关法律、法规，结合本市实际，制定本条例。</w:t>
      </w:r>
    </w:p>
    <w:p>
      <w:pPr>
        <w:pStyle w:val="5"/>
      </w:pPr>
      <w:r>
        <w:rPr>
          <w:rFonts w:hint="eastAsia"/>
        </w:rPr>
        <w:t>第二条【适用范围】</w:t>
      </w:r>
    </w:p>
    <w:p>
      <w:r>
        <w:rPr>
          <w:rFonts w:hint="eastAsia"/>
        </w:rPr>
        <w:t>本市行政区域内青年发展相关的管理、保障、服务等工作，适用本条例。</w:t>
      </w:r>
    </w:p>
    <w:p>
      <w:r>
        <w:rPr>
          <w:rFonts w:hint="eastAsia"/>
        </w:rPr>
        <w:t>本条例所称的青年，是指已满十四周岁未超过三十五周岁的公民。市人民政府可以根据本市实际情况，规定超过三十五周岁不满四十五周岁的个人，参照适用本条例相关规定。</w:t>
      </w:r>
    </w:p>
    <w:p>
      <w:pPr>
        <w:pStyle w:val="5"/>
      </w:pPr>
      <w:r>
        <w:rPr>
          <w:rFonts w:hint="eastAsia"/>
        </w:rPr>
        <w:t>第三条【工作原则】</w:t>
      </w:r>
    </w:p>
    <w:p>
      <w:r>
        <w:rPr>
          <w:rFonts w:hint="eastAsia"/>
        </w:rPr>
        <w:t>青年发展工作应当坚持中国共产党的领导，贯彻青年优先发展理念，适应青年发展规律和特点，坚持提供服务与鼓励成才相结合，保障和促进青年全面发展。</w:t>
      </w:r>
    </w:p>
    <w:p>
      <w:pPr>
        <w:pStyle w:val="5"/>
      </w:pPr>
      <w:r>
        <w:rPr>
          <w:rFonts w:hint="eastAsia"/>
        </w:rPr>
        <w:t>第四条【工作体制】</w:t>
      </w:r>
    </w:p>
    <w:p>
      <w:r>
        <w:rPr>
          <w:rFonts w:hint="eastAsia"/>
        </w:rPr>
        <w:t>市、县（市、区）人民政府应当加强青年发展工作，将青年发展工作纳入本级国民经济和社会发展规划，并将相关经费纳入本级财政预算，完善青年发展工作相关的公共服务体系。</w:t>
      </w:r>
    </w:p>
    <w:p>
      <w:r>
        <w:rPr>
          <w:rFonts w:hint="eastAsia"/>
        </w:rPr>
        <w:t>市、县（市、区）有关单位，应当按照各自职责，做好青年发展相关工作。</w:t>
      </w:r>
    </w:p>
    <w:p>
      <w:r>
        <w:rPr>
          <w:rFonts w:hint="eastAsia"/>
        </w:rPr>
        <w:t>乡（镇）人民政府、街道办事处应当协助做好本辖区内青年发展相关工作。</w:t>
      </w:r>
    </w:p>
    <w:p>
      <w:pPr>
        <w:pStyle w:val="5"/>
      </w:pPr>
      <w:r>
        <w:rPr>
          <w:rFonts w:hint="eastAsia"/>
        </w:rPr>
        <w:t>第五条【联席机制】</w:t>
      </w:r>
    </w:p>
    <w:p>
      <w:r>
        <w:rPr>
          <w:rFonts w:hint="eastAsia"/>
        </w:rPr>
        <w:t>市、县（市、区）建立健全青年工作联席</w:t>
      </w:r>
      <w:r>
        <w:rPr>
          <w:rFonts w:hint="eastAsia"/>
          <w:lang w:eastAsia="zh-CN"/>
        </w:rPr>
        <w:t>会议</w:t>
      </w:r>
      <w:r>
        <w:rPr>
          <w:rFonts w:hint="eastAsia"/>
        </w:rPr>
        <w:t>机制，统筹政策制定，协调解决青年发展工作中的重大问题。</w:t>
      </w:r>
    </w:p>
    <w:p>
      <w:pPr>
        <w:pStyle w:val="5"/>
      </w:pPr>
      <w:r>
        <w:rPr>
          <w:rFonts w:hint="eastAsia"/>
        </w:rPr>
        <w:t>第六条【团委职责】</w:t>
      </w:r>
    </w:p>
    <w:p>
      <w:r>
        <w:rPr>
          <w:rFonts w:hint="eastAsia"/>
        </w:rPr>
        <w:t>市、县（市、区）共产主义青年团委员会依照共青团章程做好维护青年合法权益、服务青年发展、组织青年服务社会等青年发展工作，并负责本行政区域内青年发展工作的日常统筹、协调和督促。</w:t>
      </w:r>
    </w:p>
    <w:p>
      <w:pPr>
        <w:pStyle w:val="4"/>
        <w:spacing w:before="156" w:after="156"/>
        <w:ind w:firstLine="723"/>
      </w:pPr>
      <w:bookmarkStart w:id="3" w:name="_Toc10491"/>
      <w:r>
        <w:rPr>
          <w:rFonts w:hint="eastAsia"/>
        </w:rPr>
        <w:t>第二章 个人成长</w:t>
      </w:r>
      <w:bookmarkEnd w:id="3"/>
    </w:p>
    <w:p>
      <w:pPr>
        <w:pStyle w:val="5"/>
      </w:pPr>
      <w:r>
        <w:rPr>
          <w:rFonts w:hint="eastAsia"/>
        </w:rPr>
        <w:t>第七条【思想成长】</w:t>
      </w:r>
    </w:p>
    <w:p>
      <w:r>
        <w:rPr>
          <w:rFonts w:hint="eastAsia"/>
        </w:rPr>
        <w:t>市、县（市、区）共产主义青年团委员会、学校、机关、企事业单位和社会组织，应当在职责范围内采取多种形式开展青年思想道德教育和理想信念教育，培育和践行社会主义核心价值观。</w:t>
      </w:r>
    </w:p>
    <w:p>
      <w:r>
        <w:rPr>
          <w:rFonts w:hint="eastAsia"/>
        </w:rPr>
        <w:t>爱国主义教育基地、新时代文明实践所（站）、道德馆、图书馆、博物馆、纪念馆、青少年活动中心、妇女儿童活动中心等，应当充分利用自身资源和优势，通过宣传展示、体验实践、线上学习等方式定期开展适应青年特点的思想道德主题教育。</w:t>
      </w:r>
    </w:p>
    <w:p>
      <w:r>
        <w:rPr>
          <w:rFonts w:hint="eastAsia"/>
        </w:rPr>
        <w:t>市、县（市、区）人民政府应当加强对爱国主义教育基地的规划、建设和管理，完善免费开放制度和保障机制。</w:t>
      </w:r>
    </w:p>
    <w:p>
      <w:r>
        <w:rPr>
          <w:rFonts w:hint="eastAsia"/>
        </w:rPr>
        <w:t>鼓励和支持有关单位和个人挖掘具有浙南红色文化、温州人创业精神、瓯越传统文化等具有本地特色的思想道德教育资源，根据青年群体特点分类开发建设青年思想道德教育课程、平台和基地。</w:t>
      </w:r>
    </w:p>
    <w:p>
      <w:pPr>
        <w:pStyle w:val="5"/>
      </w:pPr>
      <w:r>
        <w:rPr>
          <w:rFonts w:hint="eastAsia"/>
        </w:rPr>
        <w:t>第八条【终身学习】</w:t>
      </w:r>
    </w:p>
    <w:p>
      <w:r>
        <w:rPr>
          <w:rFonts w:hint="eastAsia"/>
        </w:rPr>
        <w:t>倡导青年树立终身学习理念，提高终身学习能力，养成终身学习习惯。</w:t>
      </w:r>
    </w:p>
    <w:p>
      <w:r>
        <w:rPr>
          <w:rFonts w:hint="eastAsia"/>
        </w:rPr>
        <w:t>市教育主管部门会同人力资源和社会保障等部门，组织共享大学、高等学校、职业院校、公共图书馆等单位根据青年发展需求，拓展终身学习公共服务平台，服务青年终身学习；整合家庭教育、心理健康、职业技能、生活休闲、人文艺术等学习、培训资源，为青年提供便捷、实用的终身学习服务。青年终身学习公共服务经费列入本级政府教育经费预算，并保证公共服务经费逐步增长。</w:t>
      </w:r>
    </w:p>
    <w:p>
      <w:r>
        <w:rPr>
          <w:rFonts w:hint="eastAsia"/>
        </w:rPr>
        <w:t>鼓励机关、企事业单位和社会组织建立带薪学习制度，支持在职青年员工接受终身学习。法律、法规和规章对专业技术人员接受继续教育另有规定的，从其规定。</w:t>
      </w:r>
    </w:p>
    <w:p>
      <w:pPr>
        <w:pStyle w:val="5"/>
      </w:pPr>
      <w:r>
        <w:rPr>
          <w:rFonts w:hint="eastAsia"/>
        </w:rPr>
        <w:t>第九条【文化服务】</w:t>
      </w:r>
    </w:p>
    <w:p>
      <w:r>
        <w:rPr>
          <w:rFonts w:hint="eastAsia"/>
        </w:rPr>
        <w:t>市、县（市、区）人民政府应当在公共文化服务、统筹文化发展中，加强青年文化服务，根据青年文化消费需求开展文化强市工作，丰富青年精神文化生活。</w:t>
      </w:r>
    </w:p>
    <w:p>
      <w:r>
        <w:rPr>
          <w:rFonts w:hint="eastAsia"/>
        </w:rPr>
        <w:t>有关主管部门应当将青年文化服务和消费场景纳入城市更新、历史文化街区建设、未来社区建设、工业园区建设、乡村文化振兴等工作，满足不同青年群体文化生活需求。</w:t>
      </w:r>
    </w:p>
    <w:p>
      <w:r>
        <w:rPr>
          <w:rFonts w:hint="eastAsia"/>
        </w:rPr>
        <w:t>鼓励和支持社会力量参与文化街区、文化场景、艺术展览馆、书店、演艺场所等文化设施建设、管理和运营。</w:t>
      </w:r>
    </w:p>
    <w:p>
      <w:pPr>
        <w:pStyle w:val="5"/>
      </w:pPr>
      <w:r>
        <w:rPr>
          <w:rFonts w:hint="eastAsia"/>
        </w:rPr>
        <w:t>第十条【健康生活】</w:t>
      </w:r>
    </w:p>
    <w:p>
      <w:r>
        <w:rPr>
          <w:rFonts w:hint="eastAsia"/>
        </w:rPr>
        <w:t>青年是自己健康的第一责任人，应当树立健康理念和健康心态，主动学习健康知识和技能，积极参加体育健身锻炼，提高睡眠质量，践行健康生活方式。</w:t>
      </w:r>
    </w:p>
    <w:p>
      <w:r>
        <w:rPr>
          <w:rFonts w:hint="eastAsia"/>
        </w:rPr>
        <w:t>市、县（市、区）人民政府和相关部门在建设和实施全民健康服务体系、全民健身公共服务体系中，应当根据青年主要健康问题及其影响因素，加强对青年生理健康、心理健康的服务、保障及其相关监督和管理工作。</w:t>
      </w:r>
    </w:p>
    <w:p>
      <w:pPr>
        <w:pStyle w:val="5"/>
      </w:pPr>
      <w:r>
        <w:rPr>
          <w:rFonts w:hint="eastAsia"/>
          <w:highlight w:val="yellow"/>
        </w:rPr>
        <w:t>第十一条【学生营养监管】</w:t>
      </w:r>
    </w:p>
    <w:p>
      <w:r>
        <w:rPr>
          <w:rFonts w:hint="eastAsia"/>
        </w:rPr>
        <w:t>学校食堂和学生餐配送企业为青年学生提供的食品、餐饮应当符合国家规定的安全、营养标准和要求。</w:t>
      </w:r>
    </w:p>
    <w:p>
      <w:r>
        <w:rPr>
          <w:rFonts w:hint="eastAsia"/>
        </w:rPr>
        <w:t>学校应当建立学生用餐信息公开制度，利用学校网站、公众号等媒介及时向学生和家长公开食品进货来源、供餐单位等信息，可以通过实时视频等信息技术手段不定期向学生和家长公开学生餐制作过程。</w:t>
      </w:r>
    </w:p>
    <w:p>
      <w:bookmarkStart w:id="4" w:name="_Hlk161612190"/>
      <w:r>
        <w:rPr>
          <w:rFonts w:hint="eastAsia"/>
        </w:rPr>
        <w:t>市场监督管理、教育、卫生健康</w:t>
      </w:r>
      <w:bookmarkEnd w:id="4"/>
      <w:r>
        <w:rPr>
          <w:rFonts w:hint="eastAsia"/>
        </w:rPr>
        <w:t>等部门应当加强对学校食品安全与营养的监督、管理、监测和指导。</w:t>
      </w:r>
    </w:p>
    <w:p>
      <w:r>
        <w:rPr>
          <w:rFonts w:hint="eastAsia"/>
        </w:rPr>
        <w:t>鼓励和支持营养专业人员，根据本地区学生体质和饮食特点，研究学生营养膳食指南，为学校提供膳食营养指导。</w:t>
      </w:r>
    </w:p>
    <w:p>
      <w:pPr>
        <w:pStyle w:val="5"/>
      </w:pPr>
      <w:r>
        <w:rPr>
          <w:rFonts w:hint="eastAsia"/>
        </w:rPr>
        <w:t>第十二条【心理健康服务】</w:t>
      </w:r>
    </w:p>
    <w:p>
      <w:r>
        <w:rPr>
          <w:rFonts w:hint="eastAsia"/>
        </w:rPr>
        <w:t>市、县（市、区）人民政府建立健全心理健康教育、心理评估、心理咨询、心理治疗等有效衔接的心理健康服务机制，建设由社会心理服务指导中心、心理服务平台、基层社区心理服务机构等组成的心理健康服务体系，加强青年心理健康服务，提高青年心理健康水平。</w:t>
      </w:r>
    </w:p>
    <w:p>
      <w:r>
        <w:rPr>
          <w:rFonts w:hint="eastAsia"/>
        </w:rPr>
        <w:t>卫生健康主管部门会同相关单位组织设立二十四小时心理服务热线和心理服务平台，配备专业心理辅导人员或者通过购买服务开展心理疏导、心理咨询等心理健康服务，加强宣传、推介心理服务热线和服务平台，提升社会对热线和平台的知晓度。</w:t>
      </w:r>
    </w:p>
    <w:p>
      <w:r>
        <w:rPr>
          <w:rFonts w:hint="eastAsia"/>
        </w:rPr>
        <w:t>教育、人力资源和社会保障、工会、共青团、妇联等单位协同建立青年学生、新就业形态青年劳动者等重点人群的心理健康服务联动工作机制，提供针对性的心理健康服务。</w:t>
      </w:r>
    </w:p>
    <w:p>
      <w:r>
        <w:rPr>
          <w:rFonts w:hint="eastAsia"/>
        </w:rPr>
        <w:t>鼓励和支持心理咨询人员提供志愿服务。</w:t>
      </w:r>
    </w:p>
    <w:p>
      <w:pPr>
        <w:pStyle w:val="5"/>
      </w:pPr>
      <w:r>
        <w:rPr>
          <w:rFonts w:hint="eastAsia"/>
        </w:rPr>
        <w:t>第十三条【学校心理健康工作】</w:t>
      </w:r>
    </w:p>
    <w:p>
      <w:r>
        <w:rPr>
          <w:rFonts w:hint="eastAsia"/>
        </w:rPr>
        <w:t>学校应当按照国家或者省的规定配备专职或者兼职心理健康教育教师，开设相关课程，设立心理健康辅导室，对学生进行心理健康教育、心理压力疏导、心理咨询辅导。心理健康教育教师应当定期参加职业技能培训。</w:t>
      </w:r>
    </w:p>
    <w:p>
      <w:r>
        <w:rPr>
          <w:rFonts w:hint="eastAsia"/>
        </w:rPr>
        <w:t>学生出现心理状况异常或者心理健康危机，不宜在校正常学习的，应当按照规定请假或者休学。教育主管部门会同卫生健康、妇联等单位建立健全心理健康危机学生的心理辅导、家庭教育指导、复学关爱等协同联动工作机制。</w:t>
      </w:r>
    </w:p>
    <w:p>
      <w:pPr>
        <w:pStyle w:val="4"/>
        <w:spacing w:before="156" w:after="156"/>
        <w:ind w:firstLine="723"/>
      </w:pPr>
      <w:bookmarkStart w:id="5" w:name="_Toc27076"/>
      <w:r>
        <w:rPr>
          <w:rFonts w:hint="eastAsia"/>
        </w:rPr>
        <w:t>第三章 职业发展</w:t>
      </w:r>
      <w:bookmarkEnd w:id="5"/>
    </w:p>
    <w:p>
      <w:pPr>
        <w:pStyle w:val="5"/>
      </w:pPr>
      <w:r>
        <w:rPr>
          <w:rFonts w:hint="eastAsia"/>
        </w:rPr>
        <w:t>第十四条【就业岗位增加】</w:t>
      </w:r>
    </w:p>
    <w:p>
      <w:r>
        <w:rPr>
          <w:rFonts w:hint="eastAsia"/>
        </w:rPr>
        <w:t>市、县（市、区）人民政府应当采取措施，强化重大产业项目，提升发展电气、鞋业、服装、汽车及汽车零部件、泵阀等基础优势行业，培育发展数字经济、智能装备、生命健康、新能源、新材料等战略性新兴产业，推进发展化工、包装、制笔、眼镜、锁具、教玩具等区域性特色产业，开发更多制造业领域技术型、技能型就业岗位，吸纳技术技能人才高质量就业。</w:t>
      </w:r>
    </w:p>
    <w:p>
      <w:r>
        <w:rPr>
          <w:rFonts w:hint="eastAsia"/>
        </w:rPr>
        <w:t>支持构建现代服务业体系，推动生产性服务业专业化、高端化拓展，提升服务业吸纳就业能力，创造更多就业机会。</w:t>
      </w:r>
    </w:p>
    <w:p>
      <w:r>
        <w:rPr>
          <w:rFonts w:hint="eastAsia"/>
        </w:rPr>
        <w:t>深入贯彻落实乡村振兴战略，推进现代农业高质量发展，培育引导乡村新产业、新业态、新模式，增加农村劳动力就业机会。</w:t>
      </w:r>
    </w:p>
    <w:p>
      <w:pPr>
        <w:pStyle w:val="5"/>
      </w:pPr>
      <w:r>
        <w:rPr>
          <w:rFonts w:hint="eastAsia"/>
        </w:rPr>
        <w:t>第十五条【灵活就业促进】</w:t>
      </w:r>
    </w:p>
    <w:p>
      <w:r>
        <w:rPr>
          <w:rFonts w:hint="eastAsia"/>
        </w:rPr>
        <w:t>市、县（市、区）人民政府及相关部门应当加大对个体经营、非全日制以及新就业形态等灵活就业方式的支持力度，拓宽灵活就业发展渠道，优化灵活就业环境，清理取消对灵活就业的不合理限制，创造更多灵活就业机会。</w:t>
      </w:r>
    </w:p>
    <w:p>
      <w:r>
        <w:rPr>
          <w:rFonts w:hint="eastAsia"/>
        </w:rPr>
        <w:t>市、县（市、区）人民政府可以通过创新职业培训方式、引导参加社会保险、给予灵活就业社保补贴、优化政策咨询服务等措施，为灵活就业人员提供保障和服务，完善城市综合服务网点，为灵活就业人员解决停车、充电、饮水、如厕等难题。</w:t>
      </w:r>
    </w:p>
    <w:p>
      <w:pPr>
        <w:pStyle w:val="5"/>
      </w:pPr>
      <w:r>
        <w:rPr>
          <w:rFonts w:hint="eastAsia"/>
        </w:rPr>
        <w:t>第十六条【就业促进、人才招引】</w:t>
      </w:r>
    </w:p>
    <w:p>
      <w:r>
        <w:rPr>
          <w:rFonts w:hint="eastAsia"/>
        </w:rPr>
        <w:t>市、县（市、区）人民政府应当实行有利于促进就业的财政政策，根据就业形势及就业工作目标，合理安排促进就业资金。</w:t>
      </w:r>
    </w:p>
    <w:p>
      <w:r>
        <w:rPr>
          <w:rFonts w:hint="eastAsia"/>
        </w:rPr>
        <w:t>人力资源</w:t>
      </w:r>
      <w:r>
        <w:rPr>
          <w:rFonts w:hint="eastAsia"/>
          <w:lang w:eastAsia="zh-CN"/>
        </w:rPr>
        <w:t>和</w:t>
      </w:r>
      <w:r>
        <w:rPr>
          <w:rFonts w:hint="eastAsia"/>
        </w:rPr>
        <w:t>社会保障、财政等部门可以通过给予住房租售补贴、就业补贴、社会保险补贴、公积金补贴、交通补贴、住宿补贴、实习生活补贴、引才奖励等措施，全球招聘引进优秀高校毕业生等青年人才。</w:t>
      </w:r>
    </w:p>
    <w:p>
      <w:pPr>
        <w:pStyle w:val="5"/>
      </w:pPr>
      <w:r>
        <w:rPr>
          <w:rFonts w:hint="eastAsia"/>
        </w:rPr>
        <w:t>第十七条【产教融合、人才留温】</w:t>
      </w:r>
    </w:p>
    <w:p>
      <w:r>
        <w:rPr>
          <w:rFonts w:hint="eastAsia"/>
        </w:rPr>
        <w:t>市、县（市、区）人民政府应当统筹布局高等教育和职业教育资源，支持高等学校面向产业升级需求建设工程师学院、行业（产业）特色学院，支持建设高质量中等职业学校、技工院校。</w:t>
      </w:r>
    </w:p>
    <w:p>
      <w:r>
        <w:rPr>
          <w:rFonts w:hint="eastAsia"/>
        </w:rPr>
        <w:t>鼓励高等学校制定专项学科专业建设规划，推动学科专业建设与产业转型升级相适应。支持学校、企业、行业组织联合开发专业课程标准，将职业标准和行业技术规范纳入课程体系。</w:t>
      </w:r>
    </w:p>
    <w:p>
      <w:r>
        <w:rPr>
          <w:rFonts w:hint="eastAsia"/>
        </w:rPr>
        <w:t>市、县（市、区）人民政府应当通过组建产教融合联盟、培育产教融合型企业、设立产教融合实习实训站点、组织高等学校学生开展产教融合实训活动等措施，提高产教协同育人能力，提升高等学校毕业生留温工作比率。</w:t>
      </w:r>
    </w:p>
    <w:p>
      <w:pPr>
        <w:pStyle w:val="5"/>
      </w:pPr>
      <w:r>
        <w:rPr>
          <w:rFonts w:hint="eastAsia"/>
        </w:rPr>
        <w:t>第十八条【人才提升】</w:t>
      </w:r>
    </w:p>
    <w:p>
      <w:r>
        <w:rPr>
          <w:rFonts w:hint="eastAsia"/>
        </w:rPr>
        <w:t>用人单位应当发挥人才培养主体作用，建立梯次人才培养制度，科学制定与实施职工教育培训计划，建立培训福利机制，促进人才持续成长。</w:t>
      </w:r>
    </w:p>
    <w:p>
      <w:r>
        <w:rPr>
          <w:rFonts w:hint="eastAsia"/>
        </w:rPr>
        <w:t>对在职业培训补贴目录范围内的参加培训人员，可以按照有关规定给予补贴。</w:t>
      </w:r>
    </w:p>
    <w:p>
      <w:pPr>
        <w:pStyle w:val="5"/>
      </w:pPr>
      <w:r>
        <w:rPr>
          <w:rFonts w:hint="eastAsia"/>
        </w:rPr>
        <w:t>第十九条【孵化载体建设】</w:t>
      </w:r>
    </w:p>
    <w:p>
      <w:r>
        <w:rPr>
          <w:rFonts w:hint="eastAsia"/>
        </w:rPr>
        <w:t>科技、经济和信息化、人力资源社会保障等部门应当加强和支持创新创业园区、孵化基地、众创空间等青年创新创业孵化载体建设。</w:t>
      </w:r>
    </w:p>
    <w:p>
      <w:r>
        <w:rPr>
          <w:rFonts w:hint="eastAsia"/>
        </w:rPr>
        <w:t>政府投资开发的创新创业孵化载体应当提供公共技术、信息查询、检验检测、财税会计、法律政策咨询、教育培训、管理咨询、市场和产业资源对接、投融资对接、产业孵化等服务，按照国家、省创新创业有关规定安排一定比例的场地免费向青年提供，按规定落实各项优惠政策。科技、人力资源</w:t>
      </w:r>
      <w:r>
        <w:rPr>
          <w:rFonts w:hint="eastAsia"/>
          <w:lang w:eastAsia="zh-CN"/>
        </w:rPr>
        <w:t>和</w:t>
      </w:r>
      <w:r>
        <w:rPr>
          <w:rFonts w:hint="eastAsia"/>
        </w:rPr>
        <w:t>社会保障等部门应当按规定对青年到孵化载体创业给予租金补贴。</w:t>
      </w:r>
    </w:p>
    <w:p>
      <w:r>
        <w:rPr>
          <w:rFonts w:hint="eastAsia"/>
        </w:rPr>
        <w:t>市、县（市、区）人民政府应当采取有力措施支持行业领军企业、投资机构、社会组织等参与孵化载体建设，支持孵化载体面向青年创新创业团队开放一定比例的免费孵化空间，降低青年创新创业团队入驻条件。</w:t>
      </w:r>
    </w:p>
    <w:p>
      <w:pPr>
        <w:pStyle w:val="5"/>
      </w:pPr>
      <w:r>
        <w:rPr>
          <w:rFonts w:hint="eastAsia"/>
        </w:rPr>
        <w:t>第二十条【创新创业支持】</w:t>
      </w:r>
    </w:p>
    <w:p>
      <w:r>
        <w:rPr>
          <w:rFonts w:hint="eastAsia" w:ascii="宋体" w:hAnsi="宋体"/>
        </w:rPr>
        <w:t>科技、经济和信息化、人力资源</w:t>
      </w:r>
      <w:r>
        <w:rPr>
          <w:rFonts w:hint="eastAsia" w:ascii="宋体" w:hAnsi="宋体"/>
          <w:lang w:eastAsia="zh-CN"/>
        </w:rPr>
        <w:t>和</w:t>
      </w:r>
      <w:r>
        <w:rPr>
          <w:rFonts w:hint="eastAsia" w:ascii="宋体" w:hAnsi="宋体"/>
        </w:rPr>
        <w:t>社会保障等部门应当按照相关规定，对符合条件的创新创业青年及其团队、企业给予创业资助。</w:t>
      </w:r>
      <w:r>
        <w:rPr>
          <w:rFonts w:hint="eastAsia"/>
        </w:rPr>
        <w:t>司法行政等部门应当按照相关规定，组织律师事务所、法律服务所等有关力量，为创新创业青年及其团队、企业提供法律咨询、法律体检、企业合规等法律服务。</w:t>
      </w:r>
    </w:p>
    <w:p>
      <w:r>
        <w:rPr>
          <w:rFonts w:hint="eastAsia"/>
        </w:rPr>
        <w:t>市、县（市、区）人民政府应当建立创新创业项目贷款风险补偿机制，鼓励和支持金融机构积极创新金融产品和服务，加强对创新创业的信贷支持、知识产权质押融资支持和保险保障服务等。</w:t>
      </w:r>
    </w:p>
    <w:p>
      <w:pPr>
        <w:pStyle w:val="5"/>
      </w:pPr>
      <w:r>
        <w:rPr>
          <w:rFonts w:hint="eastAsia"/>
        </w:rPr>
        <w:t>第二十一条【青年人才服务】</w:t>
      </w:r>
    </w:p>
    <w:p>
      <w:r>
        <w:rPr>
          <w:rFonts w:hint="eastAsia"/>
        </w:rPr>
        <w:t>市人民政府应当建立青年人才综合服务平台，优化申办程序，为人才政策咨询、落户、子女入托入学、配偶就业、父母养老、医疗保障、住房安居、创新创业等提供一站式服务。</w:t>
      </w:r>
    </w:p>
    <w:p>
      <w:r>
        <w:rPr>
          <w:rFonts w:hint="eastAsia"/>
        </w:rPr>
        <w:t>市、县（市、区）人民政府应当在推进数字政府建设中，统筹落实线上平台运行维护、数据更新、资源共享等工作，利用信息技术手段，提升人才服务数字化和智慧化水平。</w:t>
      </w:r>
    </w:p>
    <w:p>
      <w:pPr>
        <w:pStyle w:val="5"/>
      </w:pPr>
      <w:r>
        <w:rPr>
          <w:rFonts w:hint="eastAsia"/>
        </w:rPr>
        <w:t>第二十二条【青蓝接力】</w:t>
      </w:r>
    </w:p>
    <w:p>
      <w:r>
        <w:rPr>
          <w:rFonts w:hint="eastAsia"/>
        </w:rPr>
        <w:t>市、县（市、区）人民政府及其相关部门</w:t>
      </w:r>
      <w:r>
        <w:rPr>
          <w:rFonts w:hint="eastAsia"/>
          <w:lang w:eastAsia="zh-CN"/>
        </w:rPr>
        <w:t>应当通过</w:t>
      </w:r>
      <w:r>
        <w:rPr>
          <w:rFonts w:hint="eastAsia"/>
        </w:rPr>
        <w:t>选派青年企业家到政府部门学习交流</w:t>
      </w:r>
      <w:r>
        <w:rPr>
          <w:rFonts w:hint="eastAsia"/>
          <w:lang w:eastAsia="zh-CN"/>
        </w:rPr>
        <w:t>、</w:t>
      </w:r>
      <w:r>
        <w:rPr>
          <w:rFonts w:hint="eastAsia"/>
        </w:rPr>
        <w:t>定期开展青年企业家创业素质与能力培训</w:t>
      </w:r>
      <w:r>
        <w:rPr>
          <w:rFonts w:hint="eastAsia"/>
          <w:lang w:eastAsia="zh-CN"/>
        </w:rPr>
        <w:t>、</w:t>
      </w:r>
      <w:r>
        <w:rPr>
          <w:rFonts w:hint="eastAsia"/>
        </w:rPr>
        <w:t>建立企业家跨代辅导交流机制</w:t>
      </w:r>
      <w:r>
        <w:rPr>
          <w:rFonts w:hint="eastAsia"/>
          <w:lang w:eastAsia="zh-CN"/>
        </w:rPr>
        <w:t>等</w:t>
      </w:r>
      <w:r>
        <w:rPr>
          <w:rFonts w:hint="eastAsia"/>
        </w:rPr>
        <w:t>促进青年企业家健康成长的措施</w:t>
      </w:r>
      <w:r>
        <w:rPr>
          <w:rFonts w:hint="eastAsia"/>
          <w:lang w:eastAsia="zh-CN"/>
        </w:rPr>
        <w:t>，</w:t>
      </w:r>
      <w:r>
        <w:rPr>
          <w:rFonts w:hint="eastAsia"/>
        </w:rPr>
        <w:t>健全青年企业家培育机制，激励、促进年轻一代企业家健康成长</w:t>
      </w:r>
      <w:r>
        <w:rPr>
          <w:rFonts w:hint="eastAsia"/>
          <w:lang w:eastAsia="zh-CN"/>
        </w:rPr>
        <w:t>。</w:t>
      </w:r>
    </w:p>
    <w:p/>
    <w:p>
      <w:pPr>
        <w:pStyle w:val="4"/>
        <w:spacing w:before="156" w:after="156"/>
        <w:ind w:firstLine="723"/>
      </w:pPr>
      <w:bookmarkStart w:id="6" w:name="_Toc23593"/>
      <w:r>
        <w:rPr>
          <w:rFonts w:hint="eastAsia"/>
        </w:rPr>
        <w:t>第四章 家庭和美</w:t>
      </w:r>
      <w:bookmarkEnd w:id="6"/>
    </w:p>
    <w:p>
      <w:pPr>
        <w:pStyle w:val="5"/>
      </w:pPr>
      <w:r>
        <w:rPr>
          <w:rFonts w:hint="eastAsia"/>
        </w:rPr>
        <w:t>第二十三条【健康婚恋、生育、养育、教育观念】</w:t>
      </w:r>
    </w:p>
    <w:p>
      <w:r>
        <w:rPr>
          <w:rFonts w:hint="eastAsia"/>
        </w:rPr>
        <w:t xml:space="preserve">市人民政府应当根据本市实际情况和人口发展趋势，统筹制定婚恋、生育、养育、教育扶持政策，探索建立生育、养育、教育成本共担机制。 </w:t>
      </w:r>
    </w:p>
    <w:p>
      <w:r>
        <w:rPr>
          <w:rFonts w:hint="eastAsia"/>
        </w:rPr>
        <w:t>鼓励、支持、引导青年树立文明健康的婚恋观、生育观、家庭观和教育观。</w:t>
      </w:r>
    </w:p>
    <w:p>
      <w:pPr>
        <w:pStyle w:val="5"/>
      </w:pPr>
      <w:r>
        <w:rPr>
          <w:rFonts w:hint="eastAsia"/>
        </w:rPr>
        <w:t>第二十四条【婚恋服务】</w:t>
      </w:r>
    </w:p>
    <w:p>
      <w:r>
        <w:rPr>
          <w:rFonts w:hint="eastAsia"/>
        </w:rPr>
        <w:t>县（市、区）人民政府应当整合工会、共青团、妇联、新闻媒体、婚恋中介机构等资源，为青年提供安全、可靠、便捷的婚恋交友平台，为青年婚恋创造条件、提供咨询与指导。</w:t>
      </w:r>
    </w:p>
    <w:p>
      <w:r>
        <w:rPr>
          <w:rFonts w:hint="eastAsia"/>
        </w:rPr>
        <w:t>县（市、区）人民政府应当建立健全婚恋交友信息平台、婚介婚庆服务机构的行业标准体系和监测评估体系，加强婚恋市场秩序的日常监管和婚恋服务质量的动态评估。</w:t>
      </w:r>
    </w:p>
    <w:p>
      <w:pPr>
        <w:pStyle w:val="5"/>
      </w:pPr>
      <w:r>
        <w:rPr>
          <w:rFonts w:hint="eastAsia"/>
        </w:rPr>
        <w:t>第二十五条【托育服务】</w:t>
      </w:r>
    </w:p>
    <w:p>
      <w:r>
        <w:rPr>
          <w:rFonts w:hint="eastAsia"/>
        </w:rPr>
        <w:t>市、县（市</w:t>
      </w:r>
      <w:r>
        <w:rPr>
          <w:rFonts w:hint="eastAsia"/>
          <w:lang w:eastAsia="zh-CN"/>
        </w:rPr>
        <w:t>、</w:t>
      </w:r>
      <w:r>
        <w:rPr>
          <w:rFonts w:hint="eastAsia"/>
        </w:rPr>
        <w:t>区）人民政府应当加强托育服务规范化、专业化建设，推广智慧托育服务应用，推进托育服务设施建设，拓展托育从业人员规模，高质量提供普惠托育和婴幼儿照护服务。</w:t>
      </w:r>
    </w:p>
    <w:p>
      <w:pPr>
        <w:pStyle w:val="5"/>
      </w:pPr>
      <w:r>
        <w:rPr>
          <w:rFonts w:hint="eastAsia"/>
        </w:rPr>
        <w:t>第二十六条【优良家风引导】</w:t>
      </w:r>
    </w:p>
    <w:p>
      <w:r>
        <w:rPr>
          <w:rFonts w:hint="eastAsia"/>
        </w:rPr>
        <w:t>市、县（市</w:t>
      </w:r>
      <w:r>
        <w:rPr>
          <w:rFonts w:hint="eastAsia"/>
          <w:lang w:eastAsia="zh-CN"/>
        </w:rPr>
        <w:t>、</w:t>
      </w:r>
      <w:r>
        <w:rPr>
          <w:rFonts w:hint="eastAsia"/>
        </w:rPr>
        <w:t>区）人民政府及其相关部门、共青团、妇联等社会团体应当推动形成爱国爱家、相亲相爱、向上向善、共建共享的社会主义家庭文明新风尚。引导青年树立正确的育人观、成长观，提高</w:t>
      </w:r>
      <w:r>
        <w:rPr>
          <w:rFonts w:hint="eastAsia"/>
          <w:lang w:eastAsia="zh-CN"/>
        </w:rPr>
        <w:t>家庭成员</w:t>
      </w:r>
      <w:r>
        <w:rPr>
          <w:rFonts w:hint="eastAsia"/>
        </w:rPr>
        <w:t>素质，提升家庭教育水平，培育家庭文明，传承优良家教家风。</w:t>
      </w:r>
    </w:p>
    <w:p>
      <w:pPr>
        <w:pStyle w:val="5"/>
      </w:pPr>
      <w:r>
        <w:rPr>
          <w:rFonts w:hint="eastAsia"/>
        </w:rPr>
        <w:t>第二十七条【随迁子女入学】</w:t>
      </w:r>
    </w:p>
    <w:p>
      <w:r>
        <w:rPr>
          <w:rFonts w:hint="eastAsia"/>
        </w:rPr>
        <w:t>市、县（市、区）人民政府应当建立与常住人口变化相适应的教育资源配置和基本公共教育服务供给机制。</w:t>
      </w:r>
    </w:p>
    <w:p>
      <w:bookmarkStart w:id="7" w:name="_Hlk161612353"/>
      <w:r>
        <w:rPr>
          <w:rFonts w:hint="eastAsia"/>
        </w:rPr>
        <w:t>非本市户籍青年家长的随迁子女就读幼儿园和中小学的，应当以居住证为主要依据，结合积分排序统筹安排就近入学。</w:t>
      </w:r>
      <w:bookmarkEnd w:id="7"/>
      <w:r>
        <w:rPr>
          <w:rFonts w:hint="eastAsia"/>
        </w:rPr>
        <w:t>暂未取得居住证的，可以凭居住登记和职工基本养老保险参保记录统筹安排入学。</w:t>
      </w:r>
    </w:p>
    <w:p>
      <w:r>
        <w:rPr>
          <w:rFonts w:hint="eastAsia"/>
        </w:rPr>
        <w:t>随迁子女入学保障具体政策由市人民政府制定并公布实施。</w:t>
      </w:r>
    </w:p>
    <w:p>
      <w:pPr>
        <w:pStyle w:val="5"/>
      </w:pPr>
      <w:r>
        <w:rPr>
          <w:rFonts w:hint="eastAsia"/>
        </w:rPr>
        <w:t>第二十八条【课后服务帮扶】</w:t>
      </w:r>
    </w:p>
    <w:p>
      <w:r>
        <w:rPr>
          <w:rFonts w:hint="eastAsia"/>
        </w:rPr>
        <w:t>鼓励和支持义务教育学校根据学生及家长需求，在课后时间及寒暑假期间提供看护、作业指导、非学科兴趣培训等托管服务，缓解青年家长教育压力。</w:t>
      </w:r>
    </w:p>
    <w:p>
      <w:bookmarkStart w:id="8" w:name="_Hlk161612376"/>
      <w:r>
        <w:rPr>
          <w:rFonts w:hint="eastAsia"/>
        </w:rPr>
        <w:t>课后服务经费通过学校办学经费支出、财政补助和家长适当承担等途径进行保障。</w:t>
      </w:r>
      <w:bookmarkEnd w:id="8"/>
      <w:bookmarkStart w:id="9" w:name="_Toc28327"/>
    </w:p>
    <w:p>
      <w:pPr>
        <w:pStyle w:val="4"/>
        <w:spacing w:before="156" w:after="156"/>
        <w:ind w:firstLine="723"/>
      </w:pPr>
      <w:r>
        <w:rPr>
          <w:rFonts w:hint="eastAsia"/>
        </w:rPr>
        <w:t>第五章 社会融入</w:t>
      </w:r>
      <w:bookmarkEnd w:id="9"/>
    </w:p>
    <w:p>
      <w:pPr>
        <w:pStyle w:val="5"/>
      </w:pPr>
      <w:r>
        <w:rPr>
          <w:rFonts w:hint="eastAsia"/>
        </w:rPr>
        <w:t>第二十九条【基层青年组织】</w:t>
      </w:r>
    </w:p>
    <w:p>
      <w:r>
        <w:rPr>
          <w:rFonts w:hint="eastAsia"/>
        </w:rPr>
        <w:t>本市健全中国共产党领导下的以共青团为主导的青年组织体系，持续加大社会领域共青团组织体系的建设力度，加强企业、社会组织、新兴青年群体等领域的共青团组织建设，在乡镇（街道）建立健全“青年之家”等基层青年组织。</w:t>
      </w:r>
    </w:p>
    <w:p>
      <w:r>
        <w:rPr>
          <w:rFonts w:hint="eastAsia"/>
        </w:rPr>
        <w:t>支持共青团、青联、学联依法承接政府转移职能，更好参与青年社会事务管理和服务。</w:t>
      </w:r>
    </w:p>
    <w:p>
      <w:pPr>
        <w:pStyle w:val="5"/>
      </w:pPr>
      <w:r>
        <w:rPr>
          <w:rFonts w:hint="eastAsia"/>
        </w:rPr>
        <w:t>第三十条【基层青年活动空间】</w:t>
      </w:r>
    </w:p>
    <w:p>
      <w:r>
        <w:rPr>
          <w:rFonts w:hint="eastAsia"/>
        </w:rPr>
        <w:t>市有关部门应当制订青春社区、青年之家、青创空间、青年街区等青年发展基本单元创建标准。</w:t>
      </w:r>
    </w:p>
    <w:p>
      <w:pPr>
        <w:pStyle w:val="5"/>
      </w:pPr>
      <w:r>
        <w:rPr>
          <w:rFonts w:hint="eastAsia"/>
        </w:rPr>
        <w:t>第三十一条【青年参与公共事务】</w:t>
      </w:r>
    </w:p>
    <w:p>
      <w:r>
        <w:rPr>
          <w:rFonts w:hint="eastAsia"/>
        </w:rPr>
        <w:t>市、县（市、区）人民政府及相关部门应当建立健全青年参与社会公共事务机制，在涉及青年的公共政策制定过程中，积极听取和吸纳青年代表和青年</w:t>
      </w:r>
      <w:r>
        <w:rPr>
          <w:rFonts w:hint="eastAsia"/>
          <w:lang w:eastAsia="zh-CN"/>
        </w:rPr>
        <w:t>发展</w:t>
      </w:r>
      <w:r>
        <w:rPr>
          <w:rFonts w:hint="eastAsia"/>
        </w:rPr>
        <w:t>研究专家的意见与建议。</w:t>
      </w:r>
    </w:p>
    <w:p>
      <w:r>
        <w:rPr>
          <w:rFonts w:hint="eastAsia"/>
        </w:rPr>
        <w:t>鼓励青年积极参与各类基层群众自治组织、基层立法联系点等开展的民主实践活动。支持优秀青年代表担任人民陪审员、人民监督员、人民调解员等职务，依法履行相关职责。</w:t>
      </w:r>
    </w:p>
    <w:p>
      <w:pPr>
        <w:pStyle w:val="5"/>
      </w:pPr>
      <w:r>
        <w:rPr>
          <w:rFonts w:hint="eastAsia"/>
        </w:rPr>
        <w:t>第三十二条【青年参与社会组织】</w:t>
      </w:r>
    </w:p>
    <w:p>
      <w:r>
        <w:rPr>
          <w:rFonts w:hint="eastAsia"/>
        </w:rPr>
        <w:t>市人民政府应当建立健全青年加入社会工作组织和队伍的激励机制和成长机制，促进社会工作组织人才队伍的职业化、专业化、可持续发展。</w:t>
      </w:r>
    </w:p>
    <w:p>
      <w:r>
        <w:rPr>
          <w:rFonts w:hint="eastAsia"/>
        </w:rPr>
        <w:t>本市鼓励和支持设立专门的青少年事务社会工作组织，鼓励和支持各社会工作积极组织开展青少年权益维护、犯罪预防、成长发展等方面的服务活动。</w:t>
      </w:r>
    </w:p>
    <w:p>
      <w:pPr>
        <w:pStyle w:val="5"/>
      </w:pPr>
      <w:r>
        <w:rPr>
          <w:rFonts w:hint="eastAsia"/>
        </w:rPr>
        <w:t>第三十三条【青年志愿服务】</w:t>
      </w:r>
    </w:p>
    <w:p>
      <w:r>
        <w:rPr>
          <w:rFonts w:hint="eastAsia"/>
        </w:rPr>
        <w:t>本市加强青年志愿者队伍建设，在基层治理、应急救援、社区服务、大型群众活动等领域，构建青年参与社会治理网络，建设青年志愿服务项目库，提升青年志愿服务专业化程度。</w:t>
      </w:r>
    </w:p>
    <w:p>
      <w:r>
        <w:rPr>
          <w:rFonts w:hint="eastAsia"/>
        </w:rPr>
        <w:t>各青年志愿服务组织应依托数字化管理平台，做好青年志愿者的登记注册、青年志愿活动发布、青年志愿服务时长录入等管理工作。</w:t>
      </w:r>
    </w:p>
    <w:p>
      <w:pPr>
        <w:pStyle w:val="5"/>
      </w:pPr>
      <w:r>
        <w:rPr>
          <w:rFonts w:hint="eastAsia"/>
        </w:rPr>
        <w:t>第三十四条【青年区域、国际交流】</w:t>
      </w:r>
    </w:p>
    <w:p>
      <w:r>
        <w:rPr>
          <w:rFonts w:hint="eastAsia"/>
        </w:rPr>
        <w:t>本市借助世界青年科学家峰会、港澳台大学生来温暑期实习、温籍青少年台胞寻根探亲之旅等平台，加强本市青年与长三角各城市、港澳台地区、国际友好城市等各区域、各领域的青年互访交流。</w:t>
      </w:r>
    </w:p>
    <w:p>
      <w:pPr>
        <w:pStyle w:val="5"/>
      </w:pPr>
      <w:r>
        <w:rPr>
          <w:rFonts w:hint="eastAsia"/>
        </w:rPr>
        <w:t>第三十五条【直播环境优化】</w:t>
      </w:r>
    </w:p>
    <w:p>
      <w:r>
        <w:rPr>
          <w:rFonts w:hint="eastAsia"/>
        </w:rPr>
        <w:t>直播营销平台应当建立健全未成年人保护机制，注重保护未成年人身心健康。网络直播营销中包含可能影响未成年人身心健康内容的，直播营销平台应当在信息展示前以显著方式作出提示。</w:t>
      </w:r>
    </w:p>
    <w:p>
      <w:r>
        <w:rPr>
          <w:rFonts w:hint="eastAsia"/>
        </w:rPr>
        <w:t>直播营销平台应当严格审核直播营销人员或者直播间运营者的年龄信息，依照规定保障青年合法有序参与直播营销活动。</w:t>
      </w:r>
    </w:p>
    <w:p>
      <w:pPr>
        <w:pStyle w:val="5"/>
      </w:pPr>
      <w:r>
        <w:rPr>
          <w:rFonts w:hint="eastAsia"/>
        </w:rPr>
        <w:t>第三十六条【未成年被害人保护】</w:t>
      </w:r>
    </w:p>
    <w:p>
      <w:r>
        <w:rPr>
          <w:rFonts w:hint="eastAsia"/>
        </w:rPr>
        <w:t>本市依法从严惩治侵害未成年人违法犯罪行为，全面保护未成年被害人的合法权益和身心健康。</w:t>
      </w:r>
    </w:p>
    <w:p>
      <w:r>
        <w:rPr>
          <w:rFonts w:hint="eastAsia"/>
        </w:rPr>
        <w:t>教育部门、学校、医疗机构及其工作人员在工作中，发现未成年学生身心健康受到侵害、疑似受到侵害或者面临其他危险，具有国家规定的强制报告情形的，应当立即向公安机关报案或者举报。</w:t>
      </w:r>
    </w:p>
    <w:p>
      <w:r>
        <w:rPr>
          <w:rFonts w:hint="eastAsia"/>
        </w:rPr>
        <w:t>对遭受犯罪时未满十八周岁的被害人，相关部门应当在同一场所一次性开展案件调查工作，并同步开展医疗救治、心理疏导等综合救助工作。</w:t>
      </w:r>
    </w:p>
    <w:p>
      <w:pPr>
        <w:pStyle w:val="5"/>
      </w:pPr>
      <w:r>
        <w:rPr>
          <w:rFonts w:hint="eastAsia"/>
        </w:rPr>
        <w:t>第三十七条【青年犯罪预防】</w:t>
      </w:r>
    </w:p>
    <w:p>
      <w:r>
        <w:rPr>
          <w:rFonts w:hint="eastAsia"/>
        </w:rPr>
        <w:t xml:space="preserve">市、县（市、区）相关部门应当互相协作，加强青年法治教育，加强对流动人口聚集区域、娱乐场所等重点领域安全风险防控，切实预防青少年违法犯罪。 </w:t>
      </w:r>
    </w:p>
    <w:p>
      <w:pPr>
        <w:pStyle w:val="5"/>
      </w:pPr>
      <w:r>
        <w:rPr>
          <w:rFonts w:hint="eastAsia"/>
        </w:rPr>
        <w:t>第三十八条【青年弱势群体帮扶】</w:t>
      </w:r>
    </w:p>
    <w:p>
      <w:r>
        <w:rPr>
          <w:rFonts w:hint="eastAsia"/>
        </w:rPr>
        <w:t>市、县（市、区）人民政府及相关部门应当针对家庭困难的失学、失业、失管青年面临的生存和发展问题，完善关爱服务体系，落实社会救助、社会福利等保障政策，按照规定合理拓宽社会保障的范围和内容。</w:t>
      </w:r>
    </w:p>
    <w:p>
      <w:pPr>
        <w:pStyle w:val="4"/>
        <w:spacing w:before="156" w:after="156"/>
        <w:ind w:firstLine="723"/>
      </w:pPr>
      <w:bookmarkStart w:id="10" w:name="_Toc8794"/>
      <w:r>
        <w:rPr>
          <w:rFonts w:hint="eastAsia"/>
        </w:rPr>
        <w:t xml:space="preserve">第六章 </w:t>
      </w:r>
      <w:bookmarkEnd w:id="10"/>
      <w:r>
        <w:rPr>
          <w:rFonts w:hint="eastAsia"/>
        </w:rPr>
        <w:t>保障措施</w:t>
      </w:r>
    </w:p>
    <w:p>
      <w:pPr>
        <w:pStyle w:val="5"/>
      </w:pPr>
      <w:r>
        <w:rPr>
          <w:rFonts w:hint="eastAsia"/>
        </w:rPr>
        <w:t>第三十九条【监测评估】</w:t>
      </w:r>
    </w:p>
    <w:p>
      <w:r>
        <w:rPr>
          <w:rFonts w:hint="eastAsia"/>
        </w:rPr>
        <w:t>本市</w:t>
      </w:r>
      <w:bookmarkStart w:id="11" w:name="_GoBack"/>
      <w:bookmarkEnd w:id="11"/>
      <w:r>
        <w:rPr>
          <w:rFonts w:hint="eastAsia"/>
        </w:rPr>
        <w:t>建立健全青年发展状况统计、监测、评估制度。市、县（市、区）共青团委员会会同相关部门根据国家和省青年发展指标体系，实施青年发展动态监测、跟踪分析、定期评估，发挥监测数据在青年发展工作中的作用。</w:t>
      </w:r>
    </w:p>
    <w:p>
      <w:pPr>
        <w:pStyle w:val="5"/>
      </w:pPr>
      <w:r>
        <w:rPr>
          <w:rFonts w:hint="eastAsia"/>
        </w:rPr>
        <w:t>第四十条【社会氛围】</w:t>
      </w:r>
    </w:p>
    <w:p>
      <w:r>
        <w:rPr>
          <w:rFonts w:hint="eastAsia"/>
        </w:rPr>
        <w:t>市、县（市、区）人民政府及相关部门、共青团组织等相关人民团体、社会组织应当采取多种形式，普及关心青年就是关心未来的理念，宣传青年先进典型和青年发展政策措施，积极营造关心支持青年成长的社会氛围。</w:t>
      </w:r>
    </w:p>
    <w:p>
      <w:pPr>
        <w:pStyle w:val="5"/>
      </w:pPr>
      <w:r>
        <w:rPr>
          <w:rFonts w:hint="eastAsia"/>
        </w:rPr>
        <w:t>第四十一条【社会力量支持】</w:t>
      </w:r>
    </w:p>
    <w:p>
      <w:r>
        <w:rPr>
          <w:rFonts w:hint="eastAsia"/>
        </w:rPr>
        <w:t xml:space="preserve">鼓励和支持公民、法人和其他组织以合作建设、慈善捐赠、公益赞助、场馆惠民开放、志愿服务等多种形式参与、支持青年发展工作。 </w:t>
      </w:r>
    </w:p>
    <w:p>
      <w:pPr>
        <w:pStyle w:val="5"/>
      </w:pPr>
      <w:r>
        <w:rPr>
          <w:rFonts w:hint="eastAsia"/>
        </w:rPr>
        <w:t>第四十二条【数字技术支撑】</w:t>
      </w:r>
    </w:p>
    <w:p>
      <w:r>
        <w:rPr>
          <w:rFonts w:hint="eastAsia"/>
        </w:rPr>
        <w:t>市、县（市、区）人民政府及其相关部门可以依托公共数据平台，推进青年发展服务各类应用场景建设和运用，提高青年发展服务能力。</w:t>
      </w:r>
    </w:p>
    <w:p>
      <w:pPr>
        <w:pStyle w:val="4"/>
        <w:spacing w:before="156" w:after="156"/>
        <w:ind w:firstLine="723"/>
      </w:pPr>
      <w:r>
        <w:rPr>
          <w:rFonts w:hint="eastAsia"/>
        </w:rPr>
        <w:t>第七章 附则</w:t>
      </w:r>
    </w:p>
    <w:p>
      <w:pPr>
        <w:pStyle w:val="5"/>
      </w:pPr>
      <w:r>
        <w:rPr>
          <w:rFonts w:hint="eastAsia"/>
        </w:rPr>
        <w:t>第四十三条【生效时间】</w:t>
      </w:r>
    </w:p>
    <w:p>
      <w:r>
        <w:rPr>
          <w:rFonts w:hint="eastAsia"/>
        </w:rPr>
        <w:t>本条例自2024年 月  日起施行。</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6922104"/>
      <w:docPartObj>
        <w:docPartGallery w:val="autotext"/>
      </w:docPartObj>
    </w:sdtPr>
    <w:sdtContent>
      <w:p>
        <w:pPr>
          <w:pStyle w:val="10"/>
          <w:ind w:firstLine="360"/>
          <w:jc w:val="center"/>
        </w:pPr>
        <w:r>
          <w:fldChar w:fldCharType="begin"/>
        </w:r>
        <w:r>
          <w:instrText xml:space="preserve">PAGE   \* MERGEFORMAT</w:instrText>
        </w:r>
        <w:r>
          <w:fldChar w:fldCharType="separate"/>
        </w:r>
        <w:r>
          <w:rPr>
            <w:lang w:val="zh-CN"/>
          </w:rPr>
          <w:t>2</w:t>
        </w:r>
        <w:r>
          <w:fldChar w:fldCharType="end"/>
        </w:r>
      </w:p>
    </w:sdtContent>
  </w:sdt>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yMGIxZWM1ZDI2MDE0OTk2ZmZmOWRiMmJmODcxMDcifQ=="/>
  </w:docVars>
  <w:rsids>
    <w:rsidRoot w:val="421E78FA"/>
    <w:rsid w:val="00001B69"/>
    <w:rsid w:val="00006ACB"/>
    <w:rsid w:val="00032281"/>
    <w:rsid w:val="00065B98"/>
    <w:rsid w:val="000A584D"/>
    <w:rsid w:val="001400CE"/>
    <w:rsid w:val="002305FB"/>
    <w:rsid w:val="002431B5"/>
    <w:rsid w:val="00262938"/>
    <w:rsid w:val="002C4F5B"/>
    <w:rsid w:val="0030747E"/>
    <w:rsid w:val="0038043F"/>
    <w:rsid w:val="003A7899"/>
    <w:rsid w:val="003F3963"/>
    <w:rsid w:val="003F6423"/>
    <w:rsid w:val="00494EDE"/>
    <w:rsid w:val="004A5972"/>
    <w:rsid w:val="004E048D"/>
    <w:rsid w:val="0053106A"/>
    <w:rsid w:val="00562526"/>
    <w:rsid w:val="0057772C"/>
    <w:rsid w:val="005A4D52"/>
    <w:rsid w:val="005F2445"/>
    <w:rsid w:val="006372C3"/>
    <w:rsid w:val="0064245D"/>
    <w:rsid w:val="00671690"/>
    <w:rsid w:val="006B1011"/>
    <w:rsid w:val="00722D3A"/>
    <w:rsid w:val="00750EAB"/>
    <w:rsid w:val="00760D05"/>
    <w:rsid w:val="00796BB5"/>
    <w:rsid w:val="007D43AB"/>
    <w:rsid w:val="007D465C"/>
    <w:rsid w:val="007E3FC0"/>
    <w:rsid w:val="008549B9"/>
    <w:rsid w:val="008912D9"/>
    <w:rsid w:val="008A0001"/>
    <w:rsid w:val="008D5146"/>
    <w:rsid w:val="009024F1"/>
    <w:rsid w:val="009173C8"/>
    <w:rsid w:val="009378EB"/>
    <w:rsid w:val="00943BD0"/>
    <w:rsid w:val="00946A0C"/>
    <w:rsid w:val="009706E8"/>
    <w:rsid w:val="009808F9"/>
    <w:rsid w:val="00986A16"/>
    <w:rsid w:val="00993744"/>
    <w:rsid w:val="00A602E6"/>
    <w:rsid w:val="00A75CFB"/>
    <w:rsid w:val="00AB3383"/>
    <w:rsid w:val="00AB55C9"/>
    <w:rsid w:val="00AC48FE"/>
    <w:rsid w:val="00AD0521"/>
    <w:rsid w:val="00B10EBD"/>
    <w:rsid w:val="00B17AFA"/>
    <w:rsid w:val="00B36837"/>
    <w:rsid w:val="00B51C0D"/>
    <w:rsid w:val="00B552ED"/>
    <w:rsid w:val="00B73D25"/>
    <w:rsid w:val="00B87E99"/>
    <w:rsid w:val="00BA375F"/>
    <w:rsid w:val="00BD64BE"/>
    <w:rsid w:val="00C0286D"/>
    <w:rsid w:val="00C151F9"/>
    <w:rsid w:val="00C46DBF"/>
    <w:rsid w:val="00C57271"/>
    <w:rsid w:val="00C62B59"/>
    <w:rsid w:val="00CC01A4"/>
    <w:rsid w:val="00CD181F"/>
    <w:rsid w:val="00CE47D7"/>
    <w:rsid w:val="00D046F5"/>
    <w:rsid w:val="00D05C15"/>
    <w:rsid w:val="00D1508C"/>
    <w:rsid w:val="00DA3178"/>
    <w:rsid w:val="00DB064C"/>
    <w:rsid w:val="00DF6217"/>
    <w:rsid w:val="00E7380C"/>
    <w:rsid w:val="00E9141A"/>
    <w:rsid w:val="00EC1155"/>
    <w:rsid w:val="00F0627F"/>
    <w:rsid w:val="00F1639D"/>
    <w:rsid w:val="00F33FBC"/>
    <w:rsid w:val="00F90D43"/>
    <w:rsid w:val="00FE0EEB"/>
    <w:rsid w:val="00FE48AB"/>
    <w:rsid w:val="00FE7723"/>
    <w:rsid w:val="00FF5556"/>
    <w:rsid w:val="01BA79CB"/>
    <w:rsid w:val="02BD466B"/>
    <w:rsid w:val="04783610"/>
    <w:rsid w:val="05110C1F"/>
    <w:rsid w:val="05313EF0"/>
    <w:rsid w:val="05A63ACA"/>
    <w:rsid w:val="06620BC5"/>
    <w:rsid w:val="068560C3"/>
    <w:rsid w:val="06DD5B44"/>
    <w:rsid w:val="082D4C14"/>
    <w:rsid w:val="08B001F5"/>
    <w:rsid w:val="09627775"/>
    <w:rsid w:val="09FB666F"/>
    <w:rsid w:val="0A1E4E03"/>
    <w:rsid w:val="0C4D1DCB"/>
    <w:rsid w:val="0E691318"/>
    <w:rsid w:val="0EE211AB"/>
    <w:rsid w:val="11C82F88"/>
    <w:rsid w:val="11EB32FE"/>
    <w:rsid w:val="134F063F"/>
    <w:rsid w:val="15107A3E"/>
    <w:rsid w:val="157E3B58"/>
    <w:rsid w:val="159F4FDE"/>
    <w:rsid w:val="16353C00"/>
    <w:rsid w:val="1A0C73E5"/>
    <w:rsid w:val="1A2E56D5"/>
    <w:rsid w:val="1D462110"/>
    <w:rsid w:val="20635CA6"/>
    <w:rsid w:val="20982B29"/>
    <w:rsid w:val="220702AD"/>
    <w:rsid w:val="22241A43"/>
    <w:rsid w:val="22FA6069"/>
    <w:rsid w:val="239F2545"/>
    <w:rsid w:val="23A5021D"/>
    <w:rsid w:val="24E44157"/>
    <w:rsid w:val="299515DB"/>
    <w:rsid w:val="2B024BBD"/>
    <w:rsid w:val="2D1934DC"/>
    <w:rsid w:val="30C1461A"/>
    <w:rsid w:val="31491FE0"/>
    <w:rsid w:val="320C2F20"/>
    <w:rsid w:val="32754A27"/>
    <w:rsid w:val="32BB5638"/>
    <w:rsid w:val="348C58FB"/>
    <w:rsid w:val="36610768"/>
    <w:rsid w:val="36640351"/>
    <w:rsid w:val="36D35B58"/>
    <w:rsid w:val="36EC2B2E"/>
    <w:rsid w:val="37DE5C89"/>
    <w:rsid w:val="386C70B8"/>
    <w:rsid w:val="3ADB5A59"/>
    <w:rsid w:val="3B346574"/>
    <w:rsid w:val="3E0446BF"/>
    <w:rsid w:val="3F6D3F3A"/>
    <w:rsid w:val="40885C5F"/>
    <w:rsid w:val="421E78FA"/>
    <w:rsid w:val="44593471"/>
    <w:rsid w:val="45095C3E"/>
    <w:rsid w:val="452B45AF"/>
    <w:rsid w:val="45DB29CE"/>
    <w:rsid w:val="487A2378"/>
    <w:rsid w:val="48DB0022"/>
    <w:rsid w:val="48F2464E"/>
    <w:rsid w:val="4A3D4119"/>
    <w:rsid w:val="4C110048"/>
    <w:rsid w:val="4C340F7F"/>
    <w:rsid w:val="4E1C5F71"/>
    <w:rsid w:val="4F1E269D"/>
    <w:rsid w:val="52087C00"/>
    <w:rsid w:val="54F24E47"/>
    <w:rsid w:val="55561664"/>
    <w:rsid w:val="56A619D5"/>
    <w:rsid w:val="582D7720"/>
    <w:rsid w:val="5AD74C79"/>
    <w:rsid w:val="5F6C3B84"/>
    <w:rsid w:val="5FB50326"/>
    <w:rsid w:val="60A33186"/>
    <w:rsid w:val="60B431BE"/>
    <w:rsid w:val="62366284"/>
    <w:rsid w:val="627C183B"/>
    <w:rsid w:val="636E32B1"/>
    <w:rsid w:val="651F4BF8"/>
    <w:rsid w:val="69380C12"/>
    <w:rsid w:val="69D71BC3"/>
    <w:rsid w:val="6BE64C7C"/>
    <w:rsid w:val="6C002D8B"/>
    <w:rsid w:val="6F6C6B68"/>
    <w:rsid w:val="701D71AA"/>
    <w:rsid w:val="71815B88"/>
    <w:rsid w:val="733F6BF2"/>
    <w:rsid w:val="73AD2D7F"/>
    <w:rsid w:val="74FC13EB"/>
    <w:rsid w:val="75162705"/>
    <w:rsid w:val="77311518"/>
    <w:rsid w:val="774F403D"/>
    <w:rsid w:val="78BB101F"/>
    <w:rsid w:val="794C6D44"/>
    <w:rsid w:val="79C618C2"/>
    <w:rsid w:val="7AC26C52"/>
    <w:rsid w:val="7C4E4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560" w:firstLineChars="200"/>
      <w:jc w:val="both"/>
    </w:pPr>
    <w:rPr>
      <w:rFonts w:ascii="Calibri" w:hAnsi="Calibri" w:eastAsia="宋体" w:cs="Times New Roman"/>
      <w:kern w:val="2"/>
      <w:sz w:val="28"/>
      <w:szCs w:val="32"/>
      <w:lang w:val="en-US" w:eastAsia="zh-CN" w:bidi="ar-SA"/>
    </w:rPr>
  </w:style>
  <w:style w:type="paragraph" w:styleId="2">
    <w:name w:val="heading 1"/>
    <w:basedOn w:val="3"/>
    <w:next w:val="1"/>
    <w:link w:val="24"/>
    <w:qFormat/>
    <w:uiPriority w:val="0"/>
    <w:pPr>
      <w:spacing w:before="340" w:after="330" w:line="576" w:lineRule="auto"/>
      <w:outlineLvl w:val="0"/>
    </w:pPr>
    <w:rPr>
      <w:rFonts w:ascii="Times New Roman" w:hAnsi="Times New Roman" w:eastAsia="黑体"/>
      <w:kern w:val="44"/>
      <w:sz w:val="52"/>
      <w:szCs w:val="22"/>
    </w:rPr>
  </w:style>
  <w:style w:type="paragraph" w:styleId="3">
    <w:name w:val="heading 2"/>
    <w:basedOn w:val="1"/>
    <w:next w:val="1"/>
    <w:link w:val="25"/>
    <w:unhideWhenUsed/>
    <w:qFormat/>
    <w:uiPriority w:val="0"/>
    <w:pPr>
      <w:keepNext/>
      <w:keepLines/>
      <w:widowControl/>
      <w:spacing w:before="150" w:beforeLines="150" w:after="100" w:afterLines="100"/>
      <w:jc w:val="center"/>
      <w:outlineLvl w:val="1"/>
    </w:pPr>
    <w:rPr>
      <w:rFonts w:ascii="Calibri Light" w:hAnsi="Calibri Light" w:eastAsia="仿宋"/>
      <w:b/>
      <w:bCs/>
      <w:kern w:val="0"/>
      <w:sz w:val="44"/>
    </w:rPr>
  </w:style>
  <w:style w:type="paragraph" w:styleId="4">
    <w:name w:val="heading 3"/>
    <w:basedOn w:val="1"/>
    <w:next w:val="1"/>
    <w:link w:val="22"/>
    <w:unhideWhenUsed/>
    <w:qFormat/>
    <w:uiPriority w:val="0"/>
    <w:pPr>
      <w:keepNext/>
      <w:keepLines/>
      <w:spacing w:before="50" w:beforeLines="50" w:after="50" w:afterLines="50"/>
      <w:ind w:firstLine="883"/>
      <w:jc w:val="center"/>
      <w:outlineLvl w:val="2"/>
    </w:pPr>
    <w:rPr>
      <w:rFonts w:ascii="Times New Roman" w:hAnsi="Times New Roman" w:eastAsia="黑体"/>
      <w:b/>
      <w:bCs/>
      <w:sz w:val="36"/>
    </w:rPr>
  </w:style>
  <w:style w:type="paragraph" w:styleId="5">
    <w:name w:val="heading 4"/>
    <w:basedOn w:val="1"/>
    <w:next w:val="1"/>
    <w:link w:val="34"/>
    <w:unhideWhenUsed/>
    <w:qFormat/>
    <w:uiPriority w:val="0"/>
    <w:pPr>
      <w:keepNext/>
      <w:keepLines/>
      <w:spacing w:before="40" w:after="40"/>
      <w:ind w:firstLine="562"/>
      <w:outlineLvl w:val="3"/>
    </w:pPr>
    <w:rPr>
      <w:rFonts w:ascii="Arial" w:hAnsi="Arial" w:eastAsia="黑体"/>
      <w:b/>
      <w:color w:val="00000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7">
    <w:name w:val="annotation text"/>
    <w:basedOn w:val="1"/>
    <w:link w:val="31"/>
    <w:qFormat/>
    <w:uiPriority w:val="0"/>
    <w:pPr>
      <w:jc w:val="left"/>
    </w:pPr>
  </w:style>
  <w:style w:type="paragraph" w:styleId="8">
    <w:name w:val="Body Text"/>
    <w:basedOn w:val="1"/>
    <w:qFormat/>
    <w:uiPriority w:val="0"/>
    <w:pPr>
      <w:spacing w:after="120"/>
    </w:pPr>
  </w:style>
  <w:style w:type="paragraph" w:styleId="9">
    <w:name w:val="toc 3"/>
    <w:basedOn w:val="1"/>
    <w:next w:val="1"/>
    <w:qFormat/>
    <w:uiPriority w:val="39"/>
    <w:pPr>
      <w:ind w:left="840" w:leftChars="400"/>
    </w:pPr>
  </w:style>
  <w:style w:type="paragraph" w:styleId="10">
    <w:name w:val="footer"/>
    <w:basedOn w:val="1"/>
    <w:link w:val="36"/>
    <w:qFormat/>
    <w:uiPriority w:val="99"/>
    <w:pPr>
      <w:tabs>
        <w:tab w:val="center" w:pos="4153"/>
        <w:tab w:val="right" w:pos="8306"/>
      </w:tabs>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pPr>
    <w:rPr>
      <w:sz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Title"/>
    <w:basedOn w:val="1"/>
    <w:next w:val="1"/>
    <w:link w:val="35"/>
    <w:qFormat/>
    <w:uiPriority w:val="0"/>
    <w:pPr>
      <w:spacing w:before="240" w:after="60"/>
      <w:jc w:val="center"/>
      <w:outlineLvl w:val="0"/>
    </w:pPr>
    <w:rPr>
      <w:rFonts w:asciiTheme="majorHAnsi" w:hAnsiTheme="majorHAnsi" w:eastAsiaTheme="majorEastAsia" w:cstheme="majorBidi"/>
      <w:b/>
      <w:bCs/>
      <w:sz w:val="32"/>
    </w:rPr>
  </w:style>
  <w:style w:type="paragraph" w:styleId="15">
    <w:name w:val="annotation subject"/>
    <w:basedOn w:val="7"/>
    <w:next w:val="7"/>
    <w:link w:val="32"/>
    <w:qFormat/>
    <w:uiPriority w:val="0"/>
    <w:rPr>
      <w:b/>
      <w:bCs/>
    </w:rPr>
  </w:style>
  <w:style w:type="paragraph" w:styleId="16">
    <w:name w:val="Body Text First Indent"/>
    <w:basedOn w:val="8"/>
    <w:qFormat/>
    <w:uiPriority w:val="0"/>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unhideWhenUsed/>
    <w:qFormat/>
    <w:uiPriority w:val="99"/>
    <w:rPr>
      <w:color w:val="0026E5"/>
      <w:u w:val="single"/>
    </w:rPr>
  </w:style>
  <w:style w:type="character" w:styleId="21">
    <w:name w:val="annotation reference"/>
    <w:basedOn w:val="19"/>
    <w:qFormat/>
    <w:uiPriority w:val="0"/>
    <w:rPr>
      <w:sz w:val="21"/>
      <w:szCs w:val="21"/>
    </w:rPr>
  </w:style>
  <w:style w:type="character" w:customStyle="1" w:styleId="22">
    <w:name w:val="标题 3 字符"/>
    <w:link w:val="4"/>
    <w:qFormat/>
    <w:uiPriority w:val="9"/>
    <w:rPr>
      <w:rFonts w:ascii="Times New Roman" w:hAnsi="Times New Roman" w:eastAsia="黑体"/>
      <w:b/>
      <w:bCs/>
      <w:kern w:val="2"/>
      <w:sz w:val="36"/>
      <w:szCs w:val="32"/>
    </w:rPr>
  </w:style>
  <w:style w:type="paragraph" w:styleId="23">
    <w:name w:val="List Paragraph"/>
    <w:basedOn w:val="1"/>
    <w:qFormat/>
    <w:uiPriority w:val="34"/>
    <w:pPr>
      <w:spacing w:before="100" w:beforeLines="100" w:after="200" w:afterLines="200"/>
      <w:ind w:firstLine="420"/>
    </w:pPr>
  </w:style>
  <w:style w:type="character" w:customStyle="1" w:styleId="24">
    <w:name w:val="标题 1 字符"/>
    <w:link w:val="2"/>
    <w:qFormat/>
    <w:uiPriority w:val="0"/>
    <w:rPr>
      <w:rFonts w:ascii="Times New Roman" w:hAnsi="Times New Roman" w:eastAsia="黑体" w:cs="Times New Roman"/>
      <w:b/>
      <w:bCs/>
      <w:kern w:val="44"/>
      <w:sz w:val="52"/>
      <w:szCs w:val="22"/>
    </w:rPr>
  </w:style>
  <w:style w:type="character" w:customStyle="1" w:styleId="25">
    <w:name w:val="标题 2 字符"/>
    <w:link w:val="3"/>
    <w:qFormat/>
    <w:uiPriority w:val="9"/>
    <w:rPr>
      <w:rFonts w:eastAsia="仿宋" w:cs="Times New Roman"/>
      <w:b/>
      <w:bCs/>
      <w:kern w:val="2"/>
      <w:sz w:val="44"/>
      <w:szCs w:val="32"/>
    </w:rPr>
  </w:style>
  <w:style w:type="paragraph" w:customStyle="1" w:styleId="26">
    <w:name w:val="WPSOffice手动目录 2"/>
    <w:qFormat/>
    <w:uiPriority w:val="0"/>
    <w:pPr>
      <w:ind w:left="200" w:leftChars="200"/>
    </w:pPr>
    <w:rPr>
      <w:rFonts w:ascii="Calibri" w:hAnsi="Calibri" w:eastAsia="宋体" w:cs="Times New Roman"/>
      <w:lang w:val="en-US" w:eastAsia="zh-CN" w:bidi="ar-SA"/>
    </w:rPr>
  </w:style>
  <w:style w:type="paragraph" w:customStyle="1" w:styleId="27">
    <w:name w:val="WPSOffice手动目录 3"/>
    <w:qFormat/>
    <w:uiPriority w:val="0"/>
    <w:pPr>
      <w:ind w:left="400" w:leftChars="400"/>
    </w:pPr>
    <w:rPr>
      <w:rFonts w:ascii="Calibri" w:hAnsi="Calibri" w:eastAsia="宋体" w:cs="Times New Roman"/>
      <w:lang w:val="en-US" w:eastAsia="zh-CN" w:bidi="ar-SA"/>
    </w:rPr>
  </w:style>
  <w:style w:type="paragraph" w:customStyle="1" w:styleId="28">
    <w:name w:val="TOC 标题1"/>
    <w:basedOn w:val="2"/>
    <w:next w:val="1"/>
    <w:unhideWhenUsed/>
    <w:qFormat/>
    <w:uiPriority w:val="39"/>
    <w:pPr>
      <w:spacing w:before="240" w:beforeLines="0" w:after="0" w:afterLines="0" w:line="259" w:lineRule="auto"/>
      <w:jc w:val="left"/>
      <w:outlineLvl w:val="9"/>
    </w:pPr>
    <w:rPr>
      <w:rFonts w:ascii="Calibri Light" w:hAnsi="Calibri Light" w:eastAsia="宋体"/>
      <w:b w:val="0"/>
      <w:bCs w:val="0"/>
      <w:color w:val="2D53A0"/>
      <w:kern w:val="0"/>
      <w:sz w:val="32"/>
      <w:szCs w:val="32"/>
    </w:rPr>
  </w:style>
  <w:style w:type="paragraph" w:customStyle="1" w:styleId="29">
    <w:name w:val="修订1"/>
    <w:hidden/>
    <w:unhideWhenUsed/>
    <w:qFormat/>
    <w:uiPriority w:val="99"/>
    <w:rPr>
      <w:rFonts w:ascii="Calibri" w:hAnsi="Calibri" w:eastAsia="宋体" w:cs="Times New Roman"/>
      <w:kern w:val="2"/>
      <w:sz w:val="21"/>
      <w:szCs w:val="22"/>
      <w:lang w:val="en-US" w:eastAsia="zh-CN" w:bidi="ar-SA"/>
    </w:rPr>
  </w:style>
  <w:style w:type="paragraph" w:customStyle="1" w:styleId="30">
    <w:name w:val="修订2"/>
    <w:hidden/>
    <w:unhideWhenUsed/>
    <w:qFormat/>
    <w:uiPriority w:val="99"/>
    <w:rPr>
      <w:rFonts w:ascii="Calibri" w:hAnsi="Calibri" w:eastAsia="宋体" w:cs="Times New Roman"/>
      <w:kern w:val="2"/>
      <w:sz w:val="21"/>
      <w:szCs w:val="22"/>
      <w:lang w:val="en-US" w:eastAsia="zh-CN" w:bidi="ar-SA"/>
    </w:rPr>
  </w:style>
  <w:style w:type="character" w:customStyle="1" w:styleId="31">
    <w:name w:val="批注文字 字符"/>
    <w:basedOn w:val="19"/>
    <w:link w:val="7"/>
    <w:qFormat/>
    <w:uiPriority w:val="0"/>
    <w:rPr>
      <w:kern w:val="2"/>
      <w:sz w:val="28"/>
      <w:szCs w:val="32"/>
    </w:rPr>
  </w:style>
  <w:style w:type="character" w:customStyle="1" w:styleId="32">
    <w:name w:val="批注主题 字符"/>
    <w:basedOn w:val="31"/>
    <w:link w:val="15"/>
    <w:qFormat/>
    <w:uiPriority w:val="0"/>
    <w:rPr>
      <w:b/>
      <w:bCs/>
      <w:kern w:val="2"/>
      <w:sz w:val="28"/>
      <w:szCs w:val="32"/>
    </w:rPr>
  </w:style>
  <w:style w:type="paragraph" w:customStyle="1" w:styleId="33">
    <w:name w:val="Revision"/>
    <w:hidden/>
    <w:unhideWhenUsed/>
    <w:qFormat/>
    <w:uiPriority w:val="99"/>
    <w:rPr>
      <w:rFonts w:ascii="Calibri" w:hAnsi="Calibri" w:eastAsia="宋体" w:cs="Times New Roman"/>
      <w:kern w:val="2"/>
      <w:sz w:val="28"/>
      <w:szCs w:val="32"/>
      <w:lang w:val="en-US" w:eastAsia="zh-CN" w:bidi="ar-SA"/>
    </w:rPr>
  </w:style>
  <w:style w:type="character" w:customStyle="1" w:styleId="34">
    <w:name w:val="标题 4 字符"/>
    <w:basedOn w:val="19"/>
    <w:link w:val="5"/>
    <w:qFormat/>
    <w:uiPriority w:val="0"/>
    <w:rPr>
      <w:rFonts w:ascii="Arial" w:hAnsi="Arial" w:eastAsia="黑体"/>
      <w:b/>
      <w:color w:val="000000"/>
      <w:kern w:val="2"/>
      <w:sz w:val="28"/>
      <w:szCs w:val="32"/>
    </w:rPr>
  </w:style>
  <w:style w:type="character" w:customStyle="1" w:styleId="35">
    <w:name w:val="标题 字符"/>
    <w:basedOn w:val="19"/>
    <w:link w:val="14"/>
    <w:qFormat/>
    <w:uiPriority w:val="0"/>
    <w:rPr>
      <w:rFonts w:asciiTheme="majorHAnsi" w:hAnsiTheme="majorHAnsi" w:eastAsiaTheme="majorEastAsia" w:cstheme="majorBidi"/>
      <w:b/>
      <w:bCs/>
      <w:kern w:val="2"/>
      <w:sz w:val="32"/>
      <w:szCs w:val="32"/>
    </w:rPr>
  </w:style>
  <w:style w:type="character" w:customStyle="1" w:styleId="36">
    <w:name w:val="页脚 字符"/>
    <w:basedOn w:val="19"/>
    <w:link w:val="10"/>
    <w:qFormat/>
    <w:uiPriority w:val="99"/>
    <w:rPr>
      <w:kern w:val="2"/>
      <w:sz w:val="18"/>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D0E2C-4287-4786-9F62-53FA4063346B}">
  <ds:schemaRefs/>
</ds:datastoreItem>
</file>

<file path=docProps/app.xml><?xml version="1.0" encoding="utf-8"?>
<Properties xmlns="http://schemas.openxmlformats.org/officeDocument/2006/extended-properties" xmlns:vt="http://schemas.openxmlformats.org/officeDocument/2006/docPropsVTypes">
  <Template>Normal</Template>
  <Pages>14</Pages>
  <Words>1048</Words>
  <Characters>5980</Characters>
  <Lines>49</Lines>
  <Paragraphs>14</Paragraphs>
  <TotalTime>85</TotalTime>
  <ScaleCrop>false</ScaleCrop>
  <LinksUpToDate>false</LinksUpToDate>
  <CharactersWithSpaces>7014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2024-03-17T15:39:00Z</dcterms:created>
  <dc:creator>胡剑波</dc:creator>
  <cp:lastModifiedBy>hp</cp:lastModifiedBy>
  <dcterms:modified xsi:type="dcterms:W3CDTF">2024-03-18T03:40:21Z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2EBF5CC987724B4681497FA6322F660F_11</vt:lpwstr>
  </property>
</Properties>
</file>