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left"/>
        <w:textAlignment w:val="baseline"/>
        <w:rPr>
          <w:rFonts w:hint="eastAsia" w:ascii="方正黑体_GBK" w:hAnsi="方正黑体_GBK" w:eastAsia="方正黑体_GBK" w:cs="方正黑体_GBK"/>
          <w:snapToGrid/>
          <w:sz w:val="32"/>
          <w:szCs w:val="32"/>
          <w:lang w:eastAsia="zh-CN"/>
        </w:rPr>
      </w:pPr>
      <w:bookmarkStart w:id="18" w:name="_GoBack"/>
      <w:bookmarkStart w:id="0" w:name="_Toc149119724"/>
      <w:r>
        <w:rPr>
          <w:rFonts w:hint="eastAsia" w:ascii="方正黑体_GBK" w:hAnsi="方正黑体_GBK" w:eastAsia="方正黑体_GBK" w:cs="方正黑体_GBK"/>
          <w:snapToGrid/>
          <w:sz w:val="32"/>
          <w:szCs w:val="32"/>
          <w:lang w:eastAsia="zh-CN"/>
        </w:rPr>
        <w:t>附件</w:t>
      </w:r>
    </w:p>
    <w:bookmarkEnd w:id="18"/>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default" w:eastAsia="方正小标宋简体"/>
          <w:snapToGrid/>
          <w:sz w:val="40"/>
          <w:szCs w:val="40"/>
          <w:lang w:val="en-US" w:eastAsia="zh-Hans"/>
        </w:rPr>
      </w:pPr>
      <w:r>
        <w:rPr>
          <w:rFonts w:hint="default"/>
          <w:snapToGrid/>
          <w:sz w:val="40"/>
          <w:szCs w:val="40"/>
          <w:lang w:eastAsia="zh-Hans"/>
        </w:rPr>
        <w:t>《</w:t>
      </w:r>
      <w:r>
        <w:rPr>
          <w:rFonts w:hint="eastAsia"/>
          <w:snapToGrid/>
          <w:sz w:val="40"/>
          <w:szCs w:val="40"/>
        </w:rPr>
        <w:t>电竞产业</w:t>
      </w:r>
      <w:r>
        <w:rPr>
          <w:snapToGrid/>
          <w:sz w:val="40"/>
          <w:szCs w:val="40"/>
        </w:rPr>
        <w:t>合规指引（</w:t>
      </w:r>
      <w:r>
        <w:rPr>
          <w:rFonts w:hint="eastAsia"/>
          <w:snapToGrid/>
          <w:sz w:val="40"/>
          <w:szCs w:val="40"/>
          <w:lang w:eastAsia="zh-Hans"/>
        </w:rPr>
        <w:t>征求意见稿</w:t>
      </w:r>
      <w:r>
        <w:rPr>
          <w:snapToGrid/>
          <w:sz w:val="40"/>
          <w:szCs w:val="40"/>
        </w:rPr>
        <w:t>）</w:t>
      </w:r>
      <w:bookmarkEnd w:id="0"/>
      <w:r>
        <w:rPr>
          <w:snapToGrid/>
          <w:sz w:val="40"/>
          <w:szCs w:val="40"/>
        </w:rPr>
        <w:t>》</w:t>
      </w:r>
    </w:p>
    <w:p>
      <w:pPr>
        <w:pStyle w:val="14"/>
        <w:pageBreakBefore w:val="0"/>
        <w:kinsoku/>
        <w:wordWrap/>
        <w:topLinePunct w:val="0"/>
        <w:autoSpaceDE/>
        <w:autoSpaceDN/>
        <w:bidi w:val="0"/>
        <w:adjustRightInd/>
        <w:snapToGrid w:val="0"/>
        <w:spacing w:beforeAutospacing="0" w:afterAutospacing="0" w:line="560" w:lineRule="exact"/>
        <w:jc w:val="center"/>
        <w:textAlignment w:val="auto"/>
        <w:rPr>
          <w:rFonts w:ascii="方正小标宋简体" w:hAnsi="宋体" w:eastAsia="方正小标宋简体" w:cs="宋体"/>
          <w:snapToGrid/>
          <w:color w:val="333333"/>
          <w:sz w:val="44"/>
          <w:szCs w:val="44"/>
        </w:rPr>
      </w:pPr>
    </w:p>
    <w:p>
      <w:pPr>
        <w:pStyle w:val="3"/>
        <w:pageBreakBefore w:val="0"/>
        <w:wordWrap/>
        <w:topLinePunct w:val="0"/>
        <w:bidi w:val="0"/>
        <w:snapToGrid w:val="0"/>
        <w:spacing w:before="0" w:after="0" w:line="560" w:lineRule="exact"/>
        <w:rPr>
          <w:snapToGrid/>
        </w:rPr>
      </w:pPr>
      <w:bookmarkStart w:id="1" w:name="_Toc149119725"/>
      <w:r>
        <w:rPr>
          <w:snapToGrid/>
        </w:rPr>
        <w:t>第一章 总 则</w:t>
      </w:r>
      <w:bookmarkEnd w:id="1"/>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z w:val="32"/>
          <w:szCs w:val="32"/>
        </w:rPr>
      </w:pPr>
      <w:r>
        <w:rPr>
          <w:rFonts w:ascii="黑体" w:hAnsi="黑体" w:eastAsia="黑体" w:cs="仿宋"/>
          <w:spacing w:val="-10"/>
          <w:sz w:val="32"/>
          <w:szCs w:val="32"/>
        </w:rPr>
        <w:t>第一条【总体目标和法律依据】</w:t>
      </w:r>
    </w:p>
    <w:p>
      <w:pPr>
        <w:pageBreakBefore w:val="0"/>
        <w:kinsoku/>
        <w:wordWrap/>
        <w:topLinePunct w:val="0"/>
        <w:autoSpaceDE/>
        <w:autoSpaceDN/>
        <w:bidi w:val="0"/>
        <w:adjustRightInd/>
        <w:snapToGrid w:val="0"/>
        <w:spacing w:line="560" w:lineRule="exact"/>
        <w:ind w:firstLine="640" w:firstLineChars="200"/>
        <w:jc w:val="both"/>
        <w:textAlignment w:val="auto"/>
        <w:rPr>
          <w:rFonts w:ascii="仿宋_GB2312" w:hAnsi="宋体" w:eastAsia="仿宋_GB2312" w:cs="宋体"/>
          <w:snapToGrid/>
          <w:color w:val="333333"/>
          <w:sz w:val="32"/>
          <w:szCs w:val="32"/>
        </w:rPr>
      </w:pPr>
      <w:r>
        <w:rPr>
          <w:rFonts w:ascii="仿宋_GB2312" w:hAnsi="宋体" w:eastAsia="仿宋_GB2312" w:cs="宋体"/>
          <w:snapToGrid/>
          <w:color w:val="333333"/>
          <w:sz w:val="32"/>
          <w:szCs w:val="32"/>
        </w:rPr>
        <w:t>为推动</w:t>
      </w:r>
      <w:r>
        <w:rPr>
          <w:rFonts w:hint="eastAsia" w:ascii="仿宋_GB2312" w:hAnsi="宋体" w:eastAsia="仿宋_GB2312" w:cs="宋体"/>
          <w:snapToGrid/>
          <w:color w:val="333333"/>
          <w:sz w:val="32"/>
          <w:szCs w:val="32"/>
        </w:rPr>
        <w:t>电竞</w:t>
      </w:r>
      <w:r>
        <w:rPr>
          <w:rFonts w:ascii="仿宋_GB2312" w:hAnsi="宋体" w:eastAsia="仿宋_GB2312" w:cs="宋体"/>
          <w:snapToGrid/>
          <w:color w:val="333333"/>
          <w:sz w:val="32"/>
          <w:szCs w:val="32"/>
        </w:rPr>
        <w:t>企业提高依法经营、</w:t>
      </w:r>
      <w:r>
        <w:rPr>
          <w:rFonts w:hint="eastAsia" w:ascii="仿宋_GB2312" w:hAnsi="宋体" w:eastAsia="仿宋_GB2312" w:cs="宋体"/>
          <w:snapToGrid/>
          <w:color w:val="333333"/>
          <w:sz w:val="32"/>
          <w:szCs w:val="32"/>
        </w:rPr>
        <w:t>规范</w:t>
      </w:r>
      <w:r>
        <w:rPr>
          <w:rFonts w:ascii="仿宋_GB2312" w:hAnsi="宋体" w:eastAsia="仿宋_GB2312" w:cs="宋体"/>
          <w:snapToGrid/>
          <w:color w:val="333333"/>
          <w:sz w:val="32"/>
          <w:szCs w:val="32"/>
        </w:rPr>
        <w:t>管理和</w:t>
      </w:r>
      <w:r>
        <w:rPr>
          <w:rFonts w:hint="eastAsia" w:ascii="仿宋_GB2312" w:hAnsi="宋体" w:eastAsia="仿宋_GB2312" w:cs="宋体"/>
          <w:snapToGrid/>
          <w:color w:val="333333"/>
          <w:sz w:val="32"/>
          <w:szCs w:val="32"/>
        </w:rPr>
        <w:t>化解</w:t>
      </w:r>
      <w:r>
        <w:rPr>
          <w:rFonts w:ascii="仿宋_GB2312" w:hAnsi="宋体" w:eastAsia="仿宋_GB2312" w:cs="宋体"/>
          <w:snapToGrid/>
          <w:color w:val="333333"/>
          <w:sz w:val="32"/>
          <w:szCs w:val="32"/>
        </w:rPr>
        <w:t>合规风险的能力，维护</w:t>
      </w:r>
      <w:r>
        <w:rPr>
          <w:rFonts w:hint="eastAsia" w:ascii="仿宋_GB2312" w:hAnsi="宋体" w:eastAsia="仿宋_GB2312" w:cs="宋体"/>
          <w:snapToGrid/>
          <w:color w:val="333333"/>
          <w:sz w:val="32"/>
          <w:szCs w:val="32"/>
        </w:rPr>
        <w:t>电竞产业的良性</w:t>
      </w:r>
      <w:r>
        <w:rPr>
          <w:rFonts w:ascii="仿宋_GB2312" w:hAnsi="宋体" w:eastAsia="仿宋_GB2312" w:cs="宋体"/>
          <w:snapToGrid/>
          <w:color w:val="333333"/>
          <w:sz w:val="32"/>
          <w:szCs w:val="32"/>
        </w:rPr>
        <w:t>竞争秩序，保障电竞企业及</w:t>
      </w:r>
      <w:r>
        <w:rPr>
          <w:rFonts w:hint="eastAsia" w:ascii="仿宋_GB2312" w:hAnsi="宋体" w:eastAsia="仿宋_GB2312" w:cs="宋体"/>
          <w:snapToGrid/>
          <w:color w:val="333333"/>
          <w:sz w:val="32"/>
          <w:szCs w:val="32"/>
        </w:rPr>
        <w:t>相关</w:t>
      </w:r>
      <w:r>
        <w:rPr>
          <w:rFonts w:ascii="仿宋_GB2312" w:hAnsi="宋体" w:eastAsia="仿宋_GB2312" w:cs="宋体"/>
          <w:snapToGrid/>
          <w:color w:val="333333"/>
          <w:sz w:val="32"/>
          <w:szCs w:val="32"/>
        </w:rPr>
        <w:t>从业人员的合法权益，</w:t>
      </w:r>
      <w:r>
        <w:rPr>
          <w:rFonts w:hint="eastAsia" w:ascii="仿宋_GB2312" w:hAnsi="宋体" w:eastAsia="仿宋_GB2312" w:cs="宋体"/>
          <w:snapToGrid/>
          <w:color w:val="333333"/>
          <w:sz w:val="32"/>
          <w:szCs w:val="32"/>
        </w:rPr>
        <w:t>实现</w:t>
      </w:r>
      <w:r>
        <w:rPr>
          <w:rFonts w:ascii="仿宋_GB2312" w:hAnsi="宋体" w:eastAsia="仿宋_GB2312" w:cs="宋体"/>
          <w:snapToGrid/>
          <w:color w:val="333333"/>
          <w:sz w:val="32"/>
          <w:szCs w:val="32"/>
        </w:rPr>
        <w:t>电竞</w:t>
      </w:r>
      <w:r>
        <w:rPr>
          <w:rFonts w:hint="eastAsia" w:ascii="仿宋_GB2312" w:hAnsi="宋体" w:eastAsia="仿宋_GB2312" w:cs="宋体"/>
          <w:snapToGrid/>
          <w:color w:val="333333"/>
          <w:sz w:val="32"/>
          <w:szCs w:val="32"/>
        </w:rPr>
        <w:t>产业的</w:t>
      </w:r>
      <w:r>
        <w:rPr>
          <w:rFonts w:ascii="仿宋_GB2312" w:hAnsi="宋体" w:eastAsia="仿宋_GB2312" w:cs="宋体"/>
          <w:snapToGrid/>
          <w:color w:val="333333"/>
          <w:sz w:val="32"/>
          <w:szCs w:val="32"/>
        </w:rPr>
        <w:t>持续健康高质量发展。根据</w:t>
      </w:r>
      <w:r>
        <w:rPr>
          <w:rFonts w:hint="eastAsia" w:ascii="仿宋_GB2312" w:hAnsi="宋体" w:eastAsia="仿宋_GB2312" w:cs="宋体"/>
          <w:snapToGrid/>
          <w:color w:val="333333"/>
          <w:sz w:val="32"/>
          <w:szCs w:val="32"/>
        </w:rPr>
        <w:t>《中华人民共和国民法典》</w:t>
      </w:r>
      <w:r>
        <w:rPr>
          <w:rFonts w:ascii="仿宋_GB2312" w:hAnsi="宋体" w:eastAsia="仿宋_GB2312" w:cs="宋体"/>
          <w:snapToGrid/>
          <w:color w:val="333333"/>
          <w:sz w:val="32"/>
          <w:szCs w:val="32"/>
        </w:rPr>
        <w:t>《中华人民共和国刑法》《中华人民共和国行政处罚法》《</w:t>
      </w:r>
      <w:r>
        <w:rPr>
          <w:rFonts w:hint="eastAsia" w:ascii="仿宋_GB2312" w:hAnsi="宋体" w:eastAsia="仿宋_GB2312" w:cs="宋体"/>
          <w:snapToGrid/>
          <w:color w:val="333333"/>
          <w:sz w:val="32"/>
          <w:szCs w:val="32"/>
        </w:rPr>
        <w:t>中华人民共和国网络安全法</w:t>
      </w:r>
      <w:r>
        <w:rPr>
          <w:rFonts w:ascii="仿宋_GB2312" w:hAnsi="宋体" w:eastAsia="仿宋_GB2312" w:cs="宋体"/>
          <w:snapToGrid/>
          <w:color w:val="333333"/>
          <w:sz w:val="32"/>
          <w:szCs w:val="32"/>
        </w:rPr>
        <w:t>》《中华人民共和国数据安全法》《中华人民共和国个人信息保护法》</w:t>
      </w:r>
      <w:r>
        <w:rPr>
          <w:rFonts w:hint="eastAsia" w:ascii="仿宋_GB2312" w:hAnsi="宋体" w:eastAsia="仿宋_GB2312" w:cs="宋体"/>
          <w:snapToGrid/>
          <w:color w:val="333333"/>
          <w:sz w:val="32"/>
          <w:szCs w:val="32"/>
        </w:rPr>
        <w:t>《中华人民共和国体育法》</w:t>
      </w:r>
      <w:r>
        <w:rPr>
          <w:rFonts w:ascii="仿宋_GB2312" w:hAnsi="宋体" w:eastAsia="仿宋_GB2312" w:cs="宋体"/>
          <w:snapToGrid/>
          <w:color w:val="333333"/>
          <w:sz w:val="32"/>
          <w:szCs w:val="32"/>
        </w:rPr>
        <w:t>《浙江省</w:t>
      </w:r>
      <w:r>
        <w:rPr>
          <w:rFonts w:hint="eastAsia" w:ascii="仿宋_GB2312" w:hAnsi="宋体" w:eastAsia="仿宋_GB2312" w:cs="宋体"/>
          <w:snapToGrid/>
          <w:color w:val="333333"/>
          <w:sz w:val="32"/>
          <w:szCs w:val="32"/>
        </w:rPr>
        <w:t>数字经济</w:t>
      </w:r>
      <w:r>
        <w:rPr>
          <w:rFonts w:ascii="仿宋_GB2312" w:hAnsi="宋体" w:eastAsia="仿宋_GB2312" w:cs="宋体"/>
          <w:snapToGrid/>
          <w:color w:val="333333"/>
          <w:sz w:val="32"/>
          <w:szCs w:val="32"/>
        </w:rPr>
        <w:t>促进条例》</w:t>
      </w:r>
      <w:r>
        <w:rPr>
          <w:rFonts w:hint="eastAsia" w:ascii="仿宋_GB2312" w:hAnsi="宋体" w:eastAsia="仿宋_GB2312" w:cs="宋体"/>
          <w:snapToGrid/>
          <w:color w:val="333333"/>
          <w:sz w:val="32"/>
          <w:szCs w:val="32"/>
        </w:rPr>
        <w:t>《未成年人网络保护条例》</w:t>
      </w:r>
      <w:r>
        <w:rPr>
          <w:rFonts w:ascii="仿宋_GB2312" w:hAnsi="宋体" w:eastAsia="仿宋_GB2312" w:cs="宋体"/>
          <w:snapToGrid/>
          <w:color w:val="333333"/>
          <w:sz w:val="32"/>
          <w:szCs w:val="32"/>
        </w:rPr>
        <w:t>等</w:t>
      </w:r>
      <w:r>
        <w:rPr>
          <w:rFonts w:hint="eastAsia" w:ascii="仿宋_GB2312" w:hAnsi="宋体" w:eastAsia="仿宋_GB2312" w:cs="宋体"/>
          <w:snapToGrid/>
          <w:color w:val="333333"/>
          <w:sz w:val="32"/>
          <w:szCs w:val="32"/>
        </w:rPr>
        <w:t>法律法规</w:t>
      </w:r>
      <w:r>
        <w:rPr>
          <w:rFonts w:ascii="仿宋_GB2312" w:hAnsi="宋体" w:eastAsia="仿宋_GB2312" w:cs="宋体"/>
          <w:snapToGrid/>
          <w:color w:val="333333"/>
          <w:sz w:val="32"/>
          <w:szCs w:val="32"/>
        </w:rPr>
        <w:t>和</w:t>
      </w:r>
      <w:r>
        <w:rPr>
          <w:rFonts w:hint="eastAsia" w:ascii="仿宋_GB2312" w:hAnsi="宋体" w:eastAsia="仿宋_GB2312" w:cs="宋体"/>
          <w:snapToGrid/>
          <w:color w:val="333333"/>
          <w:sz w:val="32"/>
          <w:szCs w:val="32"/>
        </w:rPr>
        <w:t>中共杭州市委办公厅 杭州市人民政府办公厅印发《关于推进新时代杭州动漫游戏和电竞产业高质量发展的若干意见》的通知等</w:t>
      </w:r>
      <w:r>
        <w:rPr>
          <w:rFonts w:ascii="仿宋_GB2312" w:hAnsi="宋体" w:eastAsia="仿宋_GB2312" w:cs="宋体"/>
          <w:snapToGrid/>
          <w:color w:val="333333"/>
          <w:sz w:val="32"/>
          <w:szCs w:val="32"/>
        </w:rPr>
        <w:t>其他规范性文件，结合电竞</w:t>
      </w:r>
      <w:r>
        <w:rPr>
          <w:rFonts w:hint="eastAsia" w:ascii="仿宋_GB2312" w:hAnsi="宋体" w:eastAsia="仿宋_GB2312" w:cs="宋体"/>
          <w:snapToGrid/>
          <w:color w:val="333333"/>
          <w:sz w:val="32"/>
          <w:szCs w:val="32"/>
        </w:rPr>
        <w:t>产业发展实际及电竞企业</w:t>
      </w:r>
      <w:r>
        <w:rPr>
          <w:rFonts w:ascii="仿宋_GB2312" w:hAnsi="宋体" w:eastAsia="仿宋_GB2312" w:cs="宋体"/>
          <w:snapToGrid/>
          <w:color w:val="333333"/>
          <w:sz w:val="32"/>
          <w:szCs w:val="32"/>
        </w:rPr>
        <w:t>经营</w:t>
      </w:r>
      <w:r>
        <w:rPr>
          <w:rFonts w:hint="eastAsia" w:ascii="仿宋_GB2312" w:hAnsi="宋体" w:eastAsia="仿宋_GB2312" w:cs="宋体"/>
          <w:snapToGrid/>
          <w:color w:val="333333"/>
          <w:sz w:val="32"/>
          <w:szCs w:val="32"/>
        </w:rPr>
        <w:t>情况</w:t>
      </w:r>
      <w:r>
        <w:rPr>
          <w:rFonts w:ascii="仿宋_GB2312" w:hAnsi="宋体" w:eastAsia="仿宋_GB2312" w:cs="宋体"/>
          <w:snapToGrid/>
          <w:color w:val="333333"/>
          <w:sz w:val="32"/>
          <w:szCs w:val="32"/>
        </w:rPr>
        <w:t>，制定本指引。</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第二条【适用范围】</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本指引适用于在</w:t>
      </w:r>
      <w:r>
        <w:rPr>
          <w:rFonts w:hint="eastAsia" w:ascii="仿宋_GB2312" w:hAnsi="宋体" w:eastAsia="仿宋_GB2312" w:cs="宋体"/>
          <w:snapToGrid/>
          <w:color w:val="333333"/>
          <w:sz w:val="32"/>
          <w:szCs w:val="32"/>
          <w:lang w:eastAsia="zh-Hans"/>
        </w:rPr>
        <w:t>本区域</w:t>
      </w:r>
      <w:r>
        <w:rPr>
          <w:rFonts w:hint="eastAsia" w:ascii="仿宋_GB2312" w:hAnsi="宋体" w:eastAsia="仿宋_GB2312" w:cs="宋体"/>
          <w:snapToGrid/>
          <w:color w:val="333333"/>
          <w:sz w:val="32"/>
          <w:szCs w:val="32"/>
        </w:rPr>
        <w:t>从事电竞产品研发</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电竞赛事组织</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电竞俱乐部运营</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电竞直播等电竞产业活动的</w:t>
      </w:r>
      <w:r>
        <w:rPr>
          <w:rFonts w:hint="eastAsia" w:ascii="仿宋_GB2312" w:hAnsi="宋体" w:eastAsia="仿宋_GB2312" w:cs="宋体"/>
          <w:snapToGrid/>
          <w:color w:val="333333"/>
          <w:sz w:val="32"/>
          <w:szCs w:val="32"/>
          <w:lang w:eastAsia="zh-Hans"/>
        </w:rPr>
        <w:t>个人</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法人和其他组织</w:t>
      </w:r>
      <w:r>
        <w:rPr>
          <w:rFonts w:ascii="仿宋_GB2312" w:hAnsi="宋体" w:eastAsia="仿宋_GB2312" w:cs="宋体"/>
          <w:snapToGrid/>
          <w:color w:val="333333"/>
          <w:sz w:val="32"/>
          <w:szCs w:val="32"/>
        </w:rPr>
        <w:t>。</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本指引不具有强制性，法律法规及国家、行业标准</w:t>
      </w:r>
      <w:r>
        <w:rPr>
          <w:rFonts w:hint="eastAsia" w:ascii="仿宋_GB2312" w:hAnsi="宋体" w:eastAsia="仿宋_GB2312" w:cs="宋体"/>
          <w:snapToGrid/>
          <w:color w:val="333333"/>
          <w:sz w:val="32"/>
          <w:szCs w:val="32"/>
          <w:lang w:eastAsia="zh-Hans"/>
        </w:rPr>
        <w:t>等</w:t>
      </w:r>
      <w:r>
        <w:rPr>
          <w:rFonts w:hint="eastAsia" w:ascii="仿宋_GB2312" w:hAnsi="宋体" w:eastAsia="仿宋_GB2312" w:cs="宋体"/>
          <w:snapToGrid/>
          <w:color w:val="333333"/>
          <w:sz w:val="32"/>
          <w:szCs w:val="32"/>
        </w:rPr>
        <w:t>另有专门规定的，从其规定。</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第三条【基本概念】</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本指引所称电子竞技或电竞（</w:t>
      </w:r>
      <w:r>
        <w:rPr>
          <w:rFonts w:hint="default" w:ascii="仿宋_GB2312" w:hAnsi="宋体" w:eastAsia="仿宋_GB2312" w:cs="宋体"/>
          <w:snapToGrid/>
          <w:color w:val="333333"/>
          <w:sz w:val="32"/>
          <w:szCs w:val="32"/>
          <w:lang w:val="en-US"/>
        </w:rPr>
        <w:t>Es</w:t>
      </w:r>
      <w:r>
        <w:rPr>
          <w:rFonts w:hint="eastAsia" w:ascii="仿宋_GB2312" w:hAnsi="宋体" w:eastAsia="仿宋_GB2312" w:cs="宋体"/>
          <w:snapToGrid/>
          <w:color w:val="333333"/>
          <w:sz w:val="32"/>
          <w:szCs w:val="32"/>
        </w:rPr>
        <w:t>ports），是电子游戏比赛达到“竞技”层面的体育项目，亦为电子和体育的结合，即使用电子设备作为竞技活动的平台和载体，包含电子系统、无人机、无人航空载具、机器人、模拟、虚拟现实、增强现实等其他电子平台或物体。</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本指引所称电竞企业，是指从事电竞产品研发、电竞赛事组织、电竞俱乐部运营、电竞直播等产业活动并取得经营资质的</w:t>
      </w:r>
      <w:r>
        <w:rPr>
          <w:rFonts w:hint="eastAsia" w:ascii="仿宋_GB2312" w:hAnsi="宋体" w:eastAsia="仿宋_GB2312" w:cs="宋体"/>
          <w:snapToGrid/>
          <w:color w:val="333333"/>
          <w:sz w:val="32"/>
          <w:szCs w:val="32"/>
          <w:lang w:eastAsia="zh-Hans"/>
        </w:rPr>
        <w:t>法人和其他组织</w:t>
      </w:r>
      <w:r>
        <w:rPr>
          <w:rFonts w:hint="eastAsia" w:ascii="仿宋_GB2312" w:hAnsi="宋体" w:eastAsia="仿宋_GB2312" w:cs="宋体"/>
          <w:snapToGrid/>
          <w:color w:val="333333"/>
          <w:sz w:val="32"/>
          <w:szCs w:val="32"/>
        </w:rPr>
        <w:t xml:space="preserve">。 </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本指引所称电竞俱乐部，是指以企业法人为经营主体，由职业电竞选手组成，具备参加职业电子联赛资格的俱乐部。</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本指引所称电竞选手，是指以职业选手身份专职参加职业电竞赛事且年满十八周岁的自然人。</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本指引所称电竞赛事，是指由游戏开发商、其他组织者主办或合办的以一款电子游戏为竞赛内容或使用电子设备作为竞技活动的平台和载体的综合性或单项竞赛活动。</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本指引所称电竞直播，</w:t>
      </w:r>
      <w:r>
        <w:rPr>
          <w:rFonts w:hint="eastAsia" w:ascii="仿宋_GB2312" w:hAnsi="宋体" w:eastAsia="仿宋_GB2312" w:cs="宋体"/>
          <w:snapToGrid/>
          <w:color w:val="333333"/>
          <w:sz w:val="32"/>
          <w:szCs w:val="32"/>
          <w:lang w:eastAsia="zh-Hans"/>
        </w:rPr>
        <w:t>包括电竞赛事直播和电竞游戏直播</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电竞赛事直播是指将电竞比赛的实况或比赛内容作为直播内容</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通过互联网或者电视等媒体进行播放</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以供观众进行观看的直播行为</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电竞游戏直播</w:t>
      </w:r>
      <w:r>
        <w:rPr>
          <w:rFonts w:hint="eastAsia" w:ascii="仿宋_GB2312" w:hAnsi="宋体" w:eastAsia="仿宋_GB2312" w:cs="宋体"/>
          <w:snapToGrid/>
          <w:color w:val="333333"/>
          <w:sz w:val="32"/>
          <w:szCs w:val="32"/>
        </w:rPr>
        <w:t>是指</w:t>
      </w:r>
      <w:r>
        <w:rPr>
          <w:rFonts w:hint="eastAsia" w:ascii="仿宋_GB2312" w:hAnsi="宋体" w:eastAsia="仿宋_GB2312" w:cs="宋体"/>
          <w:snapToGrid/>
          <w:color w:val="333333"/>
          <w:sz w:val="32"/>
          <w:szCs w:val="32"/>
          <w:lang w:eastAsia="zh-Hans"/>
        </w:rPr>
        <w:t>以电竞游戏内容为载体</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以主播或</w:t>
      </w:r>
      <w:r>
        <w:rPr>
          <w:rFonts w:hint="eastAsia" w:ascii="仿宋_GB2312" w:hAnsi="宋体" w:eastAsia="仿宋_GB2312" w:cs="宋体"/>
          <w:snapToGrid/>
          <w:color w:val="333333"/>
          <w:sz w:val="32"/>
          <w:szCs w:val="32"/>
        </w:rPr>
        <w:t>电竞</w:t>
      </w:r>
      <w:r>
        <w:rPr>
          <w:rFonts w:ascii="仿宋_GB2312" w:hAnsi="宋体" w:eastAsia="仿宋_GB2312" w:cs="宋体"/>
          <w:snapToGrid/>
          <w:color w:val="333333"/>
          <w:sz w:val="32"/>
          <w:szCs w:val="32"/>
        </w:rPr>
        <w:t>选手</w:t>
      </w:r>
      <w:r>
        <w:rPr>
          <w:rFonts w:hint="eastAsia" w:ascii="仿宋_GB2312" w:hAnsi="宋体" w:eastAsia="仿宋_GB2312" w:cs="宋体"/>
          <w:snapToGrid/>
          <w:color w:val="333333"/>
          <w:sz w:val="32"/>
          <w:szCs w:val="32"/>
          <w:lang w:eastAsia="zh-Hans"/>
        </w:rPr>
        <w:t>在游戏过程中的操作技术和解说</w:t>
      </w:r>
      <w:r>
        <w:rPr>
          <w:rFonts w:hint="eastAsia" w:ascii="仿宋_GB2312" w:hAnsi="宋体" w:eastAsia="仿宋_GB2312" w:cs="宋体"/>
          <w:snapToGrid/>
          <w:color w:val="333333"/>
          <w:sz w:val="32"/>
          <w:szCs w:val="32"/>
        </w:rPr>
        <w:t>为主要直播内容</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lang w:eastAsia="zh-Hans"/>
        </w:rPr>
        <w:t>通过互联网站</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应用程序等以视频直播</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音频直播</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图文直播等形式开展的直播行为</w:t>
      </w:r>
      <w:r>
        <w:rPr>
          <w:rFonts w:hint="eastAsia" w:ascii="仿宋_GB2312" w:hAnsi="宋体" w:eastAsia="仿宋_GB2312" w:cs="宋体"/>
          <w:snapToGrid/>
          <w:color w:val="333333"/>
          <w:sz w:val="32"/>
          <w:szCs w:val="32"/>
        </w:rPr>
        <w:t>。</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本指引所称电竞衍生品，是指以电竞</w:t>
      </w:r>
      <w:r>
        <w:rPr>
          <w:rFonts w:hint="eastAsia" w:ascii="仿宋_GB2312" w:hAnsi="宋体" w:eastAsia="仿宋_GB2312" w:cs="宋体"/>
          <w:snapToGrid/>
          <w:color w:val="333333"/>
          <w:sz w:val="32"/>
          <w:szCs w:val="32"/>
          <w:lang w:eastAsia="zh-Hans"/>
        </w:rPr>
        <w:t>游戏产品</w:t>
      </w:r>
      <w:r>
        <w:rPr>
          <w:rFonts w:hint="eastAsia" w:ascii="仿宋_GB2312" w:hAnsi="宋体" w:eastAsia="仿宋_GB2312" w:cs="宋体"/>
          <w:snapToGrid/>
          <w:color w:val="333333"/>
          <w:sz w:val="32"/>
          <w:szCs w:val="32"/>
        </w:rPr>
        <w:t>、电竞赛事或电竞俱乐部等为原型，所设计开发的一系列可供售卖的产品或服务。</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ascii="仿宋_GB2312" w:hAnsi="宋体" w:eastAsia="仿宋_GB2312" w:cs="宋体"/>
          <w:snapToGrid/>
          <w:color w:val="333333"/>
          <w:sz w:val="32"/>
          <w:szCs w:val="32"/>
        </w:rPr>
        <w:t>本指引所称合规，是指电竞企业及</w:t>
      </w:r>
      <w:r>
        <w:rPr>
          <w:rFonts w:hint="eastAsia" w:ascii="仿宋_GB2312" w:hAnsi="宋体" w:eastAsia="仿宋_GB2312" w:cs="宋体"/>
          <w:snapToGrid/>
          <w:color w:val="333333"/>
          <w:sz w:val="32"/>
          <w:szCs w:val="32"/>
        </w:rPr>
        <w:t>相关</w:t>
      </w:r>
      <w:r>
        <w:rPr>
          <w:rFonts w:ascii="仿宋_GB2312" w:hAnsi="宋体" w:eastAsia="仿宋_GB2312" w:cs="宋体"/>
          <w:snapToGrid/>
          <w:color w:val="333333"/>
          <w:sz w:val="32"/>
          <w:szCs w:val="32"/>
        </w:rPr>
        <w:t>从业人员的经营、管理</w:t>
      </w:r>
      <w:r>
        <w:rPr>
          <w:rFonts w:hint="eastAsia" w:ascii="仿宋_GB2312" w:hAnsi="宋体" w:eastAsia="仿宋_GB2312" w:cs="宋体"/>
          <w:snapToGrid/>
          <w:color w:val="333333"/>
          <w:sz w:val="32"/>
          <w:szCs w:val="32"/>
        </w:rPr>
        <w:t>、</w:t>
      </w:r>
      <w:r>
        <w:rPr>
          <w:rFonts w:ascii="仿宋_GB2312" w:hAnsi="宋体" w:eastAsia="仿宋_GB2312" w:cs="宋体"/>
          <w:snapToGrid/>
          <w:color w:val="333333"/>
          <w:sz w:val="32"/>
          <w:szCs w:val="32"/>
        </w:rPr>
        <w:t>行为符合</w:t>
      </w:r>
      <w:r>
        <w:rPr>
          <w:rFonts w:hint="eastAsia" w:ascii="仿宋_GB2312" w:hAnsi="宋体" w:eastAsia="仿宋_GB2312" w:cs="宋体"/>
          <w:snapToGrid/>
          <w:color w:val="333333"/>
          <w:sz w:val="32"/>
          <w:szCs w:val="32"/>
        </w:rPr>
        <w:t>法律法规</w:t>
      </w:r>
      <w:r>
        <w:rPr>
          <w:rFonts w:ascii="仿宋_GB2312" w:hAnsi="宋体" w:eastAsia="仿宋_GB2312" w:cs="宋体"/>
          <w:snapToGrid/>
          <w:color w:val="333333"/>
          <w:sz w:val="32"/>
          <w:szCs w:val="32"/>
        </w:rPr>
        <w:t>、行业准则和企业</w:t>
      </w:r>
      <w:r>
        <w:rPr>
          <w:rFonts w:hint="eastAsia" w:ascii="仿宋_GB2312" w:hAnsi="宋体" w:eastAsia="仿宋_GB2312" w:cs="宋体"/>
          <w:snapToGrid/>
          <w:color w:val="333333"/>
          <w:sz w:val="32"/>
          <w:szCs w:val="32"/>
          <w:lang w:eastAsia="zh-Hans"/>
        </w:rPr>
        <w:t>内部规章制度</w:t>
      </w:r>
      <w:r>
        <w:rPr>
          <w:rFonts w:ascii="仿宋_GB2312" w:hAnsi="宋体" w:eastAsia="仿宋_GB2312" w:cs="宋体"/>
          <w:snapToGrid/>
          <w:color w:val="333333"/>
          <w:sz w:val="32"/>
          <w:szCs w:val="32"/>
        </w:rPr>
        <w:t>等要求。</w:t>
      </w:r>
    </w:p>
    <w:p>
      <w:pPr>
        <w:pageBreakBefore w:val="0"/>
        <w:kinsoku/>
        <w:wordWrap/>
        <w:topLinePunct w:val="0"/>
        <w:autoSpaceDE/>
        <w:autoSpaceDN/>
        <w:bidi w:val="0"/>
        <w:adjustRightInd/>
        <w:snapToGrid w:val="0"/>
        <w:spacing w:line="560" w:lineRule="exact"/>
        <w:ind w:firstLine="645"/>
        <w:jc w:val="both"/>
        <w:textAlignment w:val="auto"/>
        <w:rPr>
          <w:rFonts w:ascii="仿宋_GB2312" w:hAnsi="宋体" w:eastAsia="仿宋_GB2312" w:cs="宋体"/>
          <w:snapToGrid/>
          <w:color w:val="333333"/>
          <w:sz w:val="32"/>
          <w:szCs w:val="32"/>
        </w:rPr>
      </w:pPr>
      <w:r>
        <w:rPr>
          <w:rFonts w:ascii="仿宋_GB2312" w:hAnsi="宋体" w:eastAsia="仿宋_GB2312" w:cs="宋体"/>
          <w:snapToGrid/>
          <w:color w:val="333333"/>
          <w:sz w:val="32"/>
          <w:szCs w:val="32"/>
        </w:rPr>
        <w:t>本指引所称合规风险，是指电竞企业及</w:t>
      </w:r>
      <w:r>
        <w:rPr>
          <w:rFonts w:hint="eastAsia" w:ascii="仿宋_GB2312" w:hAnsi="宋体" w:eastAsia="仿宋_GB2312" w:cs="宋体"/>
          <w:snapToGrid/>
          <w:color w:val="333333"/>
          <w:sz w:val="32"/>
          <w:szCs w:val="32"/>
        </w:rPr>
        <w:t>相关</w:t>
      </w:r>
      <w:r>
        <w:rPr>
          <w:rFonts w:ascii="仿宋_GB2312" w:hAnsi="宋体" w:eastAsia="仿宋_GB2312" w:cs="宋体"/>
          <w:snapToGrid/>
          <w:color w:val="333333"/>
          <w:sz w:val="32"/>
          <w:szCs w:val="32"/>
        </w:rPr>
        <w:t>从业人员</w:t>
      </w:r>
      <w:r>
        <w:rPr>
          <w:rFonts w:hint="eastAsia" w:ascii="仿宋_GB2312" w:hAnsi="宋体" w:eastAsia="仿宋_GB2312" w:cs="宋体"/>
          <w:snapToGrid/>
          <w:color w:val="333333"/>
          <w:sz w:val="32"/>
          <w:szCs w:val="32"/>
        </w:rPr>
        <w:t>在从事电竞产业活动中</w:t>
      </w:r>
      <w:r>
        <w:rPr>
          <w:rFonts w:ascii="仿宋_GB2312" w:hAnsi="宋体" w:eastAsia="仿宋_GB2312" w:cs="宋体"/>
          <w:snapToGrid/>
          <w:color w:val="333333"/>
          <w:sz w:val="32"/>
          <w:szCs w:val="32"/>
        </w:rPr>
        <w:t>，因不合规行为</w:t>
      </w:r>
      <w:r>
        <w:rPr>
          <w:rFonts w:hint="eastAsia" w:ascii="仿宋_GB2312" w:hAnsi="宋体" w:eastAsia="仿宋_GB2312" w:cs="宋体"/>
          <w:snapToGrid/>
          <w:color w:val="333333"/>
          <w:sz w:val="32"/>
          <w:szCs w:val="32"/>
        </w:rPr>
        <w:t>所产生的民事</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行政</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刑事等</w:t>
      </w:r>
      <w:r>
        <w:rPr>
          <w:rFonts w:ascii="仿宋_GB2312" w:hAnsi="宋体" w:eastAsia="仿宋_GB2312" w:cs="宋体"/>
          <w:snapToGrid/>
          <w:color w:val="333333"/>
          <w:sz w:val="32"/>
          <w:szCs w:val="32"/>
        </w:rPr>
        <w:t>法律责任，</w:t>
      </w:r>
      <w:r>
        <w:rPr>
          <w:rFonts w:hint="eastAsia" w:ascii="仿宋_GB2312" w:hAnsi="宋体" w:eastAsia="仿宋_GB2312" w:cs="宋体"/>
          <w:snapToGrid/>
          <w:color w:val="333333"/>
          <w:sz w:val="32"/>
          <w:szCs w:val="32"/>
        </w:rPr>
        <w:t>因此遭到相关损失或受到相关处罚或造成</w:t>
      </w:r>
      <w:r>
        <w:rPr>
          <w:rFonts w:ascii="仿宋_GB2312" w:hAnsi="宋体" w:eastAsia="仿宋_GB2312" w:cs="宋体"/>
          <w:snapToGrid/>
          <w:color w:val="333333"/>
          <w:sz w:val="32"/>
          <w:szCs w:val="32"/>
        </w:rPr>
        <w:t>其他负面影响的可能性。</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四</w:t>
      </w:r>
      <w:r>
        <w:rPr>
          <w:rFonts w:hint="eastAsia" w:ascii="黑体" w:hAnsi="黑体" w:eastAsia="黑体" w:cs="仿宋"/>
          <w:spacing w:val="-10"/>
          <w:sz w:val="32"/>
          <w:szCs w:val="32"/>
        </w:rPr>
        <w:t>条【涉案企业合规从宽】</w:t>
      </w:r>
    </w:p>
    <w:p>
      <w:pPr>
        <w:pageBreakBefore w:val="0"/>
        <w:widowControl w:val="0"/>
        <w:kinsoku/>
        <w:wordWrap/>
        <w:overflowPunct w:val="0"/>
        <w:topLinePunct w:val="0"/>
        <w:autoSpaceDE/>
        <w:autoSpaceDN/>
        <w:bidi w:val="0"/>
        <w:snapToGrid w:val="0"/>
        <w:spacing w:line="560" w:lineRule="exact"/>
        <w:ind w:right="16" w:firstLine="65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lang w:eastAsia="zh-Hans"/>
        </w:rPr>
        <w:t>电竞企业从事电竞产业活动</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应遵守国家法律法规</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eastAsia="zh-Hans"/>
        </w:rPr>
        <w:t>维护国家利益和社会公共利益</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eastAsia="zh-Hans"/>
        </w:rPr>
        <w:t>遵守商业道德</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不得违背公序良俗</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eastAsia="zh-Hans"/>
        </w:rPr>
        <w:t>损害他人合法权益</w:t>
      </w:r>
      <w:r>
        <w:rPr>
          <w:rFonts w:ascii="仿宋_GB2312" w:hAnsi="宋体" w:eastAsia="仿宋_GB2312" w:cs="宋体"/>
          <w:snapToGrid/>
          <w:color w:val="333333"/>
          <w:sz w:val="32"/>
          <w:szCs w:val="32"/>
          <w:lang w:eastAsia="zh-Hans"/>
        </w:rPr>
        <w:t>。</w:t>
      </w:r>
    </w:p>
    <w:p>
      <w:pPr>
        <w:pageBreakBefore w:val="0"/>
        <w:widowControl w:val="0"/>
        <w:kinsoku/>
        <w:wordWrap/>
        <w:overflowPunct w:val="0"/>
        <w:topLinePunct w:val="0"/>
        <w:autoSpaceDE/>
        <w:autoSpaceDN/>
        <w:bidi w:val="0"/>
        <w:snapToGrid w:val="0"/>
        <w:spacing w:line="560" w:lineRule="exact"/>
        <w:ind w:right="16" w:firstLine="65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lang w:eastAsia="zh-Hans"/>
        </w:rPr>
        <w:t>电竞企业参照本指引并严格实施电竞企业合规管理制度，履行合规管理义务，积极配合监管，主动采取措施有效减轻、消除危害后果，符合</w:t>
      </w:r>
      <w:r>
        <w:rPr>
          <w:rFonts w:ascii="仿宋_GB2312" w:hAnsi="宋体" w:eastAsia="仿宋_GB2312" w:cs="宋体"/>
          <w:snapToGrid/>
          <w:color w:val="333333"/>
          <w:sz w:val="32"/>
          <w:szCs w:val="32"/>
          <w:lang w:eastAsia="zh-Hans" w:bidi="ar"/>
        </w:rPr>
        <w:t>《关于建立涉案企业合规第三方监督评估机制的指导意见（试行）》</w:t>
      </w:r>
      <w:r>
        <w:rPr>
          <w:rFonts w:hint="eastAsia" w:ascii="仿宋_GB2312" w:hAnsi="宋体" w:eastAsia="仿宋_GB2312" w:cs="宋体"/>
          <w:snapToGrid/>
          <w:color w:val="333333"/>
          <w:sz w:val="32"/>
          <w:szCs w:val="32"/>
          <w:lang w:eastAsia="zh-Hans" w:bidi="ar"/>
        </w:rPr>
        <w:t>等法律规定的</w:t>
      </w:r>
      <w:r>
        <w:rPr>
          <w:rFonts w:hint="eastAsia" w:ascii="仿宋_GB2312" w:hAnsi="宋体" w:eastAsia="仿宋_GB2312" w:cs="宋体"/>
          <w:snapToGrid/>
          <w:color w:val="333333"/>
          <w:sz w:val="32"/>
          <w:szCs w:val="32"/>
          <w:lang w:eastAsia="zh-Hans"/>
        </w:rPr>
        <w:t>，适用涉案企业合规从宽制度。</w:t>
      </w:r>
    </w:p>
    <w:p>
      <w:pPr>
        <w:pageBreakBefore w:val="0"/>
        <w:widowControl w:val="0"/>
        <w:kinsoku/>
        <w:wordWrap/>
        <w:overflowPunct w:val="0"/>
        <w:topLinePunct w:val="0"/>
        <w:autoSpaceDE/>
        <w:autoSpaceDN/>
        <w:bidi w:val="0"/>
        <w:snapToGrid w:val="0"/>
        <w:spacing w:line="560" w:lineRule="exact"/>
        <w:jc w:val="both"/>
        <w:rPr>
          <w:rFonts w:eastAsia="等线"/>
        </w:rPr>
      </w:pPr>
    </w:p>
    <w:p>
      <w:pPr>
        <w:pStyle w:val="3"/>
        <w:pageBreakBefore w:val="0"/>
        <w:wordWrap/>
        <w:topLinePunct w:val="0"/>
        <w:bidi w:val="0"/>
        <w:snapToGrid w:val="0"/>
        <w:spacing w:before="0" w:after="0" w:line="560" w:lineRule="exact"/>
        <w:rPr>
          <w:snapToGrid/>
        </w:rPr>
      </w:pPr>
      <w:bookmarkStart w:id="2" w:name="_Toc149119726"/>
      <w:r>
        <w:rPr>
          <w:snapToGrid/>
        </w:rPr>
        <w:t>第二章 合规</w:t>
      </w:r>
      <w:r>
        <w:rPr>
          <w:rFonts w:hint="eastAsia"/>
          <w:snapToGrid/>
        </w:rPr>
        <w:t>标准与要求</w:t>
      </w:r>
      <w:bookmarkEnd w:id="2"/>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3" w:name="_Toc149119727"/>
      <w:r>
        <w:rPr>
          <w:rFonts w:eastAsia="楷体_GB2312"/>
          <w:bCs/>
          <w:snapToGrid/>
          <w:sz w:val="32"/>
          <w:szCs w:val="32"/>
        </w:rPr>
        <w:t xml:space="preserve">第一节 </w:t>
      </w:r>
      <w:r>
        <w:rPr>
          <w:rFonts w:hint="eastAsia" w:eastAsia="楷体_GB2312"/>
          <w:bCs/>
          <w:snapToGrid/>
          <w:sz w:val="32"/>
          <w:szCs w:val="32"/>
        </w:rPr>
        <w:t>电竞产品研发合规</w:t>
      </w:r>
      <w:bookmarkEnd w:id="3"/>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第五条【产品内容合规】</w:t>
      </w:r>
      <w:r>
        <w:rPr>
          <w:rStyle w:val="23"/>
          <w:rFonts w:hint="eastAsia" w:ascii="黑体" w:hAnsi="黑体" w:eastAsia="黑体" w:cs="仿宋"/>
          <w:spacing w:val="-10"/>
          <w:sz w:val="32"/>
          <w:szCs w:val="32"/>
        </w:rPr>
        <w:footnoteReference w:id="0"/>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产品研发、设计应遵循合法性、创新性、可持续性等原则。产品中不得含有危害国家统一、危害国家安全、破坏民族团结、散布谣言扰乱社会秩序、宣扬邪教、迷信、淫秽、色情、赌博、暴力等法律法规和国家规定禁止的内容。</w:t>
      </w:r>
    </w:p>
    <w:p>
      <w:pPr>
        <w:pageBreakBefore w:val="0"/>
        <w:widowControl w:val="0"/>
        <w:kinsoku/>
        <w:wordWrap/>
        <w:overflowPunct w:val="0"/>
        <w:topLinePunct w:val="0"/>
        <w:autoSpaceDE/>
        <w:autoSpaceDN/>
        <w:bidi w:val="0"/>
        <w:snapToGrid w:val="0"/>
        <w:spacing w:line="560" w:lineRule="exact"/>
        <w:ind w:firstLine="640" w:firstLineChars="200"/>
        <w:jc w:val="both"/>
        <w:rPr>
          <w:rFonts w:ascii="黑体" w:hAnsi="黑体" w:eastAsia="黑体" w:cs="仿宋"/>
          <w:spacing w:val="-10"/>
          <w:sz w:val="32"/>
          <w:szCs w:val="32"/>
          <w:lang w:eastAsia="zh-Hans"/>
        </w:rPr>
      </w:pPr>
      <w:r>
        <w:rPr>
          <w:rFonts w:hint="eastAsia" w:ascii="仿宋_GB2312" w:hAnsi="宋体" w:eastAsia="仿宋_GB2312" w:cs="宋体"/>
          <w:snapToGrid/>
          <w:color w:val="333333"/>
          <w:sz w:val="32"/>
          <w:szCs w:val="32"/>
        </w:rPr>
        <w:t>电竞产品研发、设计应注重保护未成年人的合法权益，电竞产品中不得含有恐怖、残酷等妨害未成年人身心健康的内容，不得含有披露未成年人个人隐私的内容，不得含有诱发未成年人模仿违反社会公德和违法犯罪行为的内容。</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六</w:t>
      </w:r>
      <w:r>
        <w:rPr>
          <w:rFonts w:hint="eastAsia" w:ascii="黑体" w:hAnsi="黑体" w:eastAsia="黑体" w:cs="仿宋"/>
          <w:spacing w:val="-10"/>
          <w:sz w:val="32"/>
          <w:szCs w:val="32"/>
        </w:rPr>
        <w:t>条【</w:t>
      </w:r>
      <w:r>
        <w:rPr>
          <w:rFonts w:hint="eastAsia" w:ascii="黑体" w:hAnsi="黑体" w:eastAsia="黑体" w:cs="仿宋"/>
          <w:spacing w:val="-10"/>
          <w:sz w:val="32"/>
          <w:szCs w:val="32"/>
          <w:lang w:eastAsia="zh-Hans"/>
        </w:rPr>
        <w:t>产品</w:t>
      </w:r>
      <w:r>
        <w:rPr>
          <w:rFonts w:hint="eastAsia" w:ascii="黑体" w:hAnsi="黑体" w:eastAsia="黑体" w:cs="仿宋"/>
          <w:spacing w:val="-10"/>
          <w:sz w:val="32"/>
          <w:szCs w:val="32"/>
        </w:rPr>
        <w:t>出版</w:t>
      </w:r>
      <w:r>
        <w:rPr>
          <w:rFonts w:hint="eastAsia" w:ascii="黑体" w:hAnsi="黑体" w:eastAsia="黑体" w:cs="仿宋"/>
          <w:spacing w:val="-10"/>
          <w:sz w:val="32"/>
          <w:szCs w:val="32"/>
          <w:lang w:eastAsia="zh-Hans"/>
        </w:rPr>
        <w:t>及</w:t>
      </w:r>
      <w:r>
        <w:rPr>
          <w:rFonts w:hint="eastAsia" w:ascii="黑体" w:hAnsi="黑体" w:eastAsia="黑体" w:cs="仿宋"/>
          <w:spacing w:val="-10"/>
          <w:sz w:val="32"/>
          <w:szCs w:val="32"/>
        </w:rPr>
        <w:t>审批】</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lang w:val="en-US" w:eastAsia="zh-Hans"/>
        </w:rPr>
        <w:t>电竞产品出版前</w:t>
      </w:r>
      <w:r>
        <w:rPr>
          <w:rFonts w:hint="default"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val="en-US" w:eastAsia="zh-Hans"/>
        </w:rPr>
        <w:t>应</w:t>
      </w:r>
      <w:r>
        <w:rPr>
          <w:rFonts w:hint="eastAsia" w:ascii="仿宋_GB2312" w:hAnsi="宋体" w:eastAsia="仿宋_GB2312" w:cs="宋体"/>
          <w:snapToGrid/>
          <w:color w:val="333333"/>
          <w:sz w:val="32"/>
          <w:szCs w:val="32"/>
          <w:lang w:eastAsia="zh-Hans"/>
        </w:rPr>
        <w:t>办理著作权登记</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val="en-US" w:eastAsia="zh-CN"/>
        </w:rPr>
        <w:t>公证</w:t>
      </w:r>
      <w:r>
        <w:rPr>
          <w:rFonts w:hint="eastAsia" w:ascii="仿宋_GB2312" w:hAnsi="宋体" w:eastAsia="仿宋_GB2312" w:cs="宋体"/>
          <w:snapToGrid/>
          <w:color w:val="333333"/>
          <w:sz w:val="32"/>
          <w:szCs w:val="32"/>
          <w:lang w:eastAsia="zh-Hans"/>
        </w:rPr>
        <w:t>手续</w:t>
      </w:r>
      <w:r>
        <w:rPr>
          <w:rFonts w:hint="eastAsia" w:ascii="仿宋_GB2312" w:hAnsi="宋体" w:eastAsia="仿宋_GB2312" w:cs="宋体"/>
          <w:snapToGrid/>
          <w:color w:val="333333"/>
          <w:sz w:val="32"/>
          <w:szCs w:val="32"/>
          <w:lang w:val="en-US" w:eastAsia="zh-CN"/>
        </w:rPr>
        <w:t>或</w:t>
      </w:r>
      <w:r>
        <w:rPr>
          <w:rFonts w:hint="eastAsia" w:ascii="仿宋_GB2312" w:hAnsi="宋体" w:eastAsia="仿宋_GB2312" w:cs="宋体"/>
          <w:snapToGrid/>
          <w:color w:val="333333"/>
          <w:sz w:val="32"/>
          <w:szCs w:val="32"/>
          <w:lang w:eastAsia="zh-Hans"/>
        </w:rPr>
        <w:t>取得著作权人许可及申明</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eastAsia="zh-Hans"/>
        </w:rPr>
        <w:t>电竞产品</w:t>
      </w:r>
      <w:r>
        <w:rPr>
          <w:rFonts w:hint="eastAsia" w:ascii="仿宋_GB2312" w:hAnsi="宋体" w:eastAsia="仿宋_GB2312" w:cs="宋体"/>
          <w:snapToGrid/>
          <w:color w:val="333333"/>
          <w:sz w:val="32"/>
          <w:szCs w:val="32"/>
          <w:lang w:val="en-US" w:eastAsia="zh-CN"/>
        </w:rPr>
        <w:t>应</w:t>
      </w:r>
      <w:r>
        <w:rPr>
          <w:rFonts w:hint="eastAsia" w:ascii="仿宋_GB2312" w:hAnsi="宋体" w:eastAsia="仿宋_GB2312" w:cs="宋体"/>
          <w:snapToGrid/>
          <w:color w:val="333333"/>
          <w:sz w:val="32"/>
          <w:szCs w:val="32"/>
          <w:lang w:eastAsia="zh-Hans"/>
        </w:rPr>
        <w:t>符合</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出版管理条例</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互联网信息服务管理办法</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网络出版服务管理规定</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等法律法规规章</w:t>
      </w:r>
      <w:r>
        <w:rPr>
          <w:rFonts w:hint="eastAsia" w:ascii="仿宋_GB2312" w:hAnsi="宋体" w:eastAsia="仿宋_GB2312" w:cs="宋体"/>
          <w:snapToGrid/>
          <w:color w:val="333333"/>
          <w:sz w:val="32"/>
          <w:szCs w:val="32"/>
          <w:lang w:val="en-US" w:eastAsia="zh-CN"/>
        </w:rPr>
        <w:t>的</w:t>
      </w:r>
      <w:r>
        <w:rPr>
          <w:rFonts w:hint="eastAsia" w:ascii="仿宋_GB2312" w:hAnsi="宋体" w:eastAsia="仿宋_GB2312" w:cs="宋体"/>
          <w:snapToGrid/>
          <w:color w:val="333333"/>
          <w:sz w:val="32"/>
          <w:szCs w:val="32"/>
          <w:lang w:eastAsia="zh-Hans"/>
        </w:rPr>
        <w:t>规定</w:t>
      </w:r>
      <w:r>
        <w:rPr>
          <w:rFonts w:ascii="仿宋_GB2312" w:hAnsi="宋体" w:eastAsia="仿宋_GB2312" w:cs="宋体"/>
          <w:snapToGrid/>
          <w:color w:val="333333"/>
          <w:sz w:val="32"/>
          <w:szCs w:val="32"/>
          <w:lang w:eastAsia="zh-Hans"/>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w:t>
      </w:r>
      <w:r>
        <w:rPr>
          <w:rFonts w:hint="eastAsia" w:ascii="仿宋_GB2312" w:hAnsi="宋体" w:eastAsia="仿宋_GB2312" w:cs="宋体"/>
          <w:snapToGrid/>
          <w:color w:val="333333"/>
          <w:sz w:val="32"/>
          <w:szCs w:val="32"/>
          <w:lang w:eastAsia="zh-Hans"/>
        </w:rPr>
        <w:t>在电竞产品出版</w:t>
      </w:r>
      <w:r>
        <w:rPr>
          <w:rFonts w:hint="eastAsia" w:ascii="仿宋_GB2312" w:hAnsi="宋体" w:eastAsia="仿宋_GB2312" w:cs="宋体"/>
          <w:snapToGrid/>
          <w:color w:val="333333"/>
          <w:sz w:val="32"/>
          <w:szCs w:val="32"/>
        </w:rPr>
        <w:t>前，应向所在地省、自治区、直辖市出版行政主管部门提出申请，经审核同意后，报</w:t>
      </w:r>
      <w:r>
        <w:rPr>
          <w:rFonts w:hint="eastAsia" w:ascii="仿宋_GB2312" w:hAnsi="宋体" w:eastAsia="仿宋_GB2312" w:cs="宋体"/>
          <w:snapToGrid/>
          <w:color w:val="333333"/>
          <w:sz w:val="32"/>
          <w:szCs w:val="32"/>
          <w:lang w:eastAsia="zh-Hans"/>
        </w:rPr>
        <w:t>国家新闻出版署</w:t>
      </w:r>
      <w:r>
        <w:rPr>
          <w:rFonts w:hint="eastAsia" w:ascii="仿宋_GB2312" w:hAnsi="宋体" w:eastAsia="仿宋_GB2312" w:cs="宋体"/>
          <w:snapToGrid/>
          <w:color w:val="333333"/>
          <w:sz w:val="32"/>
          <w:szCs w:val="32"/>
        </w:rPr>
        <w:t>进行审批</w:t>
      </w:r>
      <w:r>
        <w:rPr>
          <w:rFonts w:hint="eastAsia" w:ascii="仿宋_GB2312" w:hAnsi="宋体" w:eastAsia="仿宋_GB2312" w:cs="宋体"/>
          <w:snapToGrid/>
          <w:color w:val="333333"/>
          <w:sz w:val="32"/>
          <w:szCs w:val="32"/>
          <w:lang w:eastAsia="zh-CN"/>
        </w:rPr>
        <w:t>。</w:t>
      </w:r>
      <w:r>
        <w:rPr>
          <w:rStyle w:val="23"/>
          <w:rFonts w:ascii="仿宋_GB2312" w:hAnsi="宋体" w:eastAsia="仿宋_GB2312" w:cs="宋体"/>
          <w:snapToGrid/>
          <w:color w:val="333333"/>
          <w:sz w:val="32"/>
          <w:szCs w:val="32"/>
        </w:rPr>
        <w:footnoteReference w:id="1"/>
      </w:r>
      <w:r>
        <w:rPr>
          <w:rFonts w:hint="eastAsia" w:ascii="仿宋_GB2312" w:hAnsi="宋体" w:eastAsia="仿宋_GB2312" w:cs="宋体"/>
          <w:snapToGrid/>
          <w:color w:val="333333"/>
          <w:sz w:val="32"/>
          <w:szCs w:val="32"/>
          <w:lang w:val="en-US" w:eastAsia="zh-Hans"/>
        </w:rPr>
        <w:t>未经审批通过的</w:t>
      </w:r>
      <w:r>
        <w:rPr>
          <w:rFonts w:hint="default"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rPr>
        <w:t>不得擅自</w:t>
      </w:r>
      <w:r>
        <w:rPr>
          <w:rFonts w:hint="eastAsia" w:ascii="仿宋_GB2312" w:hAnsi="宋体" w:eastAsia="仿宋_GB2312" w:cs="宋体"/>
          <w:snapToGrid/>
          <w:color w:val="333333"/>
          <w:sz w:val="32"/>
          <w:szCs w:val="32"/>
          <w:lang w:eastAsia="zh-Hans"/>
        </w:rPr>
        <w:t>出版</w:t>
      </w:r>
      <w:r>
        <w:rPr>
          <w:rFonts w:hint="eastAsia" w:ascii="仿宋_GB2312" w:hAnsi="宋体" w:eastAsia="仿宋_GB2312" w:cs="宋体"/>
          <w:snapToGrid/>
          <w:color w:val="333333"/>
          <w:sz w:val="32"/>
          <w:szCs w:val="32"/>
        </w:rPr>
        <w:t>、运营电竞产品</w:t>
      </w:r>
      <w:r>
        <w:rPr>
          <w:rFonts w:ascii="仿宋_GB2312" w:hAnsi="宋体" w:eastAsia="仿宋_GB2312" w:cs="宋体"/>
          <w:snapToGrid/>
          <w:color w:val="333333"/>
          <w:sz w:val="32"/>
          <w:szCs w:val="32"/>
        </w:rPr>
        <w:t>。</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lang w:eastAsia="zh-Hans"/>
        </w:rPr>
        <w:t>第七条</w:t>
      </w:r>
      <w:r>
        <w:rPr>
          <w:rFonts w:ascii="黑体" w:hAnsi="黑体" w:eastAsia="黑体" w:cs="仿宋"/>
          <w:spacing w:val="-10"/>
          <w:sz w:val="32"/>
          <w:szCs w:val="32"/>
          <w:lang w:eastAsia="zh-Hans"/>
        </w:rPr>
        <w:t>【</w:t>
      </w:r>
      <w:r>
        <w:rPr>
          <w:rFonts w:hint="eastAsia" w:ascii="黑体" w:hAnsi="黑体" w:eastAsia="黑体" w:cs="仿宋"/>
          <w:spacing w:val="-10"/>
          <w:sz w:val="32"/>
          <w:szCs w:val="32"/>
        </w:rPr>
        <w:t>防沉迷设置】</w:t>
      </w:r>
      <w:r>
        <w:rPr>
          <w:rStyle w:val="23"/>
          <w:rFonts w:ascii="黑体" w:hAnsi="黑体" w:eastAsia="黑体" w:cs="仿宋"/>
          <w:spacing w:val="-10"/>
          <w:sz w:val="32"/>
          <w:szCs w:val="32"/>
        </w:rPr>
        <w:footnoteReference w:id="2"/>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严格按照《未成年人网络保护条例》《网络游戏防沉迷系统开发标准》《网络游戏防沉迷系统实名认证方案》的规定建立健全防沉迷制度，不得向未成年人提供诱导其沉迷的产品和服务，及时修改可能造成未成年人沉迷的内容、功能和规则。通过统一的未成年人网络游戏电子身份认证系统验证未成年人用户真实身份信息，对未成年人提供服务的时段、时长、消费上限予以技术限制和严格控制</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rPr>
        <w:t>对异常账号进行处置监控。</w:t>
      </w:r>
    </w:p>
    <w:p>
      <w:pPr>
        <w:pageBreakBefore w:val="0"/>
        <w:widowControl w:val="0"/>
        <w:kinsoku/>
        <w:wordWrap/>
        <w:overflowPunct w:val="0"/>
        <w:topLinePunct w:val="0"/>
        <w:autoSpaceDE/>
        <w:autoSpaceDN/>
        <w:bidi w:val="0"/>
        <w:snapToGrid w:val="0"/>
        <w:spacing w:line="560" w:lineRule="exact"/>
        <w:ind w:firstLine="600" w:firstLineChars="200"/>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八</w:t>
      </w:r>
      <w:r>
        <w:rPr>
          <w:rFonts w:hint="eastAsia" w:ascii="黑体" w:hAnsi="黑体" w:eastAsia="黑体" w:cs="仿宋"/>
          <w:spacing w:val="-10"/>
          <w:sz w:val="32"/>
          <w:szCs w:val="32"/>
        </w:rPr>
        <w:t>条【实名认证设置】</w:t>
      </w:r>
      <w:r>
        <w:rPr>
          <w:rStyle w:val="23"/>
          <w:rFonts w:ascii="黑体" w:hAnsi="黑体" w:eastAsia="黑体" w:cs="仿宋"/>
          <w:spacing w:val="-10"/>
          <w:sz w:val="32"/>
          <w:szCs w:val="32"/>
        </w:rPr>
        <w:footnoteReference w:id="3"/>
      </w:r>
      <w:r>
        <w:rPr>
          <w:rFonts w:ascii="黑体" w:hAnsi="黑体" w:eastAsia="黑体" w:cs="仿宋"/>
          <w:spacing w:val="-10"/>
          <w:sz w:val="32"/>
          <w:szCs w:val="32"/>
        </w:rPr>
        <w:t xml:space="preserve"> </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严格按照《网络游戏防沉迷系统开发标准》和《网络游戏防沉迷系统实名认证方案》的规定开发和接入实名验证系统，规范实名认证系统和认证方式，严禁扩大或缩小系统功能权限。电竞企业可通过技术手段开发人脸识别等方式完善实名认证机制，加强用户管理和维护工作。电竞企业未建立或未接入实名认证系统或私自更改系统功能的，</w:t>
      </w:r>
      <w:r>
        <w:rPr>
          <w:rFonts w:hint="eastAsia" w:ascii="仿宋_GB2312" w:hAnsi="宋体" w:eastAsia="仿宋_GB2312" w:cs="宋体"/>
          <w:snapToGrid/>
          <w:color w:val="333333"/>
          <w:sz w:val="32"/>
          <w:szCs w:val="32"/>
          <w:lang w:val="en-US" w:eastAsia="zh-CN"/>
        </w:rPr>
        <w:t>应</w:t>
      </w:r>
      <w:r>
        <w:rPr>
          <w:rFonts w:hint="eastAsia" w:ascii="仿宋_GB2312" w:hAnsi="宋体" w:eastAsia="仿宋_GB2312" w:cs="宋体"/>
          <w:snapToGrid/>
          <w:color w:val="333333"/>
          <w:sz w:val="32"/>
          <w:szCs w:val="32"/>
        </w:rPr>
        <w:t>承担相应行政责任。</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九</w:t>
      </w:r>
      <w:r>
        <w:rPr>
          <w:rFonts w:hint="eastAsia" w:ascii="黑体" w:hAnsi="黑体" w:eastAsia="黑体" w:cs="仿宋"/>
          <w:spacing w:val="-10"/>
          <w:sz w:val="32"/>
          <w:szCs w:val="32"/>
        </w:rPr>
        <w:t>条【聊天室管理】</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电竞企业应依法制定并公开网络聊天管理规则，履行管理责任。</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（一）电竞企业应加强对聊天内容的巡查管理。对聊天内容中含有危害国家安全</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色情</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赌博等违法违规信息的，及时采取处置措施，并依法向有关主管部门报告。</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（二）电竞企业应加强对用户的审核管理工作。对存在违法违规行为的用户采取警告、禁言</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冻结账号等措施，以降低危害后果。</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（三）电竞企业应加强对用户的服务管理工作。对部分用户通过聊天室内信息、链接等跳转</w:t>
      </w:r>
      <w:r>
        <w:rPr>
          <w:rFonts w:hint="eastAsia" w:ascii="仿宋_GB2312" w:hAnsi="宋体" w:eastAsia="仿宋_GB2312" w:cs="宋体"/>
          <w:snapToGrid/>
          <w:color w:val="333333"/>
          <w:sz w:val="32"/>
          <w:szCs w:val="32"/>
          <w:lang w:val="en-US" w:eastAsia="zh-CN"/>
        </w:rPr>
        <w:t>至</w:t>
      </w:r>
      <w:r>
        <w:rPr>
          <w:rFonts w:hint="eastAsia" w:ascii="仿宋_GB2312" w:hAnsi="宋体" w:eastAsia="仿宋_GB2312" w:cs="宋体"/>
          <w:snapToGrid/>
          <w:color w:val="333333"/>
          <w:sz w:val="32"/>
          <w:szCs w:val="32"/>
        </w:rPr>
        <w:t>其他平台购买产品、服务或接受服务产生争议的，应积极协助用户</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val="en-US" w:eastAsia="zh-CN"/>
        </w:rPr>
        <w:t>并为</w:t>
      </w:r>
      <w:r>
        <w:rPr>
          <w:rFonts w:hint="eastAsia" w:ascii="仿宋_GB2312" w:hAnsi="宋体" w:eastAsia="仿宋_GB2312" w:cs="宋体"/>
          <w:snapToGrid/>
          <w:color w:val="333333"/>
          <w:sz w:val="32"/>
          <w:szCs w:val="32"/>
        </w:rPr>
        <w:t>主管部门维护用户合法权益提供必要证据支持。</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十</w:t>
      </w:r>
      <w:r>
        <w:rPr>
          <w:rFonts w:hint="eastAsia" w:ascii="黑体" w:hAnsi="黑体" w:eastAsia="黑体" w:cs="仿宋"/>
          <w:spacing w:val="-10"/>
          <w:sz w:val="32"/>
          <w:szCs w:val="32"/>
        </w:rPr>
        <w:t>条【知识产权保护】</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产品研发应尊重和保护知识产权。电竞企业应建立并完善知识产权保护体系，加强著作权、商标权等权利的申请和管理，规范知识产权实施许可和转让。电竞企业被第三方侵犯知识产权的，应及时取证并采取法律手段维护自身合法权益。</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第十</w:t>
      </w:r>
      <w:r>
        <w:rPr>
          <w:rFonts w:hint="eastAsia" w:ascii="黑体" w:hAnsi="黑体" w:eastAsia="黑体" w:cs="仿宋"/>
          <w:spacing w:val="-10"/>
          <w:sz w:val="32"/>
          <w:szCs w:val="32"/>
          <w:lang w:eastAsia="zh-Hans"/>
        </w:rPr>
        <w:t>一</w:t>
      </w:r>
      <w:r>
        <w:rPr>
          <w:rFonts w:hint="eastAsia" w:ascii="黑体" w:hAnsi="黑体" w:eastAsia="黑体" w:cs="仿宋"/>
          <w:spacing w:val="-10"/>
          <w:sz w:val="32"/>
          <w:szCs w:val="32"/>
        </w:rPr>
        <w:t>条</w:t>
      </w:r>
      <w:r>
        <w:rPr>
          <w:rFonts w:ascii="黑体" w:hAnsi="黑体" w:eastAsia="黑体" w:cs="仿宋"/>
          <w:spacing w:val="-10"/>
          <w:sz w:val="32"/>
          <w:szCs w:val="32"/>
        </w:rPr>
        <w:t xml:space="preserve"> </w:t>
      </w:r>
      <w:r>
        <w:rPr>
          <w:rFonts w:hint="eastAsia" w:ascii="黑体" w:hAnsi="黑体" w:eastAsia="黑体" w:cs="仿宋"/>
          <w:spacing w:val="-10"/>
          <w:sz w:val="32"/>
          <w:szCs w:val="32"/>
        </w:rPr>
        <w:t>【个人信息保护】</w:t>
      </w:r>
      <w:r>
        <w:rPr>
          <w:rStyle w:val="23"/>
          <w:rFonts w:ascii="黑体" w:hAnsi="黑体" w:eastAsia="黑体" w:cs="仿宋"/>
          <w:spacing w:val="-10"/>
          <w:sz w:val="32"/>
          <w:szCs w:val="32"/>
        </w:rPr>
        <w:footnoteReference w:id="4"/>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在运营过程中应注重个人信息管理和保护工作。电竞企业收集用户个人信息应坚持合法、正当、必要原则，收集前需征得用户同意，应公开个人信息收集规则，明示收集使用个人信息的目的、方式和范围，公布投诉、举报方式。</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电竞企业不得泄露、篡改毁损收集的个人信息，并采取技术手段和其他必要措施，确保收集的个人信息安全</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rPr>
        <w:t>不得非法向他人提供个人信息。</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4" w:name="_Toc149119728"/>
      <w:r>
        <w:rPr>
          <w:rFonts w:hint="eastAsia" w:eastAsia="楷体_GB2312"/>
          <w:bCs/>
          <w:snapToGrid/>
          <w:sz w:val="32"/>
          <w:szCs w:val="32"/>
        </w:rPr>
        <w:t>第二节</w:t>
      </w:r>
      <w:r>
        <w:rPr>
          <w:rFonts w:eastAsia="楷体_GB2312"/>
          <w:bCs/>
          <w:snapToGrid/>
          <w:sz w:val="32"/>
          <w:szCs w:val="32"/>
        </w:rPr>
        <w:t xml:space="preserve"> </w:t>
      </w:r>
      <w:r>
        <w:rPr>
          <w:rFonts w:hint="eastAsia" w:eastAsia="楷体_GB2312"/>
          <w:bCs/>
          <w:snapToGrid/>
          <w:sz w:val="32"/>
          <w:szCs w:val="32"/>
        </w:rPr>
        <w:t>电竞赛事合规</w:t>
      </w:r>
      <w:bookmarkEnd w:id="4"/>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第十二条【电竞赛事组织合规</w:t>
      </w:r>
      <w:r>
        <w:rPr>
          <w:rFonts w:ascii="黑体" w:hAnsi="黑体" w:eastAsia="黑体" w:cs="仿宋"/>
          <w:spacing w:val="-10"/>
          <w:sz w:val="32"/>
          <w:szCs w:val="32"/>
        </w:rPr>
        <w:t>】</w:t>
      </w:r>
      <w:r>
        <w:rPr>
          <w:rStyle w:val="23"/>
          <w:rFonts w:ascii="黑体" w:hAnsi="黑体" w:eastAsia="黑体" w:cs="仿宋"/>
          <w:spacing w:val="-10"/>
          <w:sz w:val="32"/>
          <w:szCs w:val="32"/>
        </w:rPr>
        <w:footnoteReference w:id="5"/>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电竞赛事主办方应遵循合法、安全、公开、公平、公正、诚信、文明、绿色、简约、廉洁的原则组织电竞赛事。严格遵守《全国电子竞技赛事管理办法</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试行</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》《体育赛事活动管理办法》《</w:t>
      </w:r>
      <w:r>
        <w:rPr>
          <w:rFonts w:hint="eastAsia" w:ascii="仿宋_GB2312" w:hAnsi="宋体" w:eastAsia="仿宋_GB2312" w:cs="宋体"/>
          <w:snapToGrid/>
          <w:color w:val="333333"/>
          <w:sz w:val="32"/>
          <w:szCs w:val="32"/>
          <w:lang w:eastAsia="zh-Hans"/>
        </w:rPr>
        <w:t>电子竞技赛事管理暂行规定</w:t>
      </w:r>
      <w:r>
        <w:rPr>
          <w:rFonts w:hint="eastAsia" w:ascii="仿宋_GB2312" w:hAnsi="宋体" w:eastAsia="仿宋_GB2312" w:cs="宋体"/>
          <w:snapToGrid/>
          <w:color w:val="333333"/>
          <w:sz w:val="32"/>
          <w:szCs w:val="32"/>
        </w:rPr>
        <w:t>》等相关法律法规规定，依据赛事的规模和性质，办理赛事审批手续。</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（一）由国家体育总局体育信息中心主办或合办的国际性或全国性电竞项目的综合性或单项竞赛活动，以及接受信息中心指导的其他电竞赛事活动，实行ABC分类管理，并需要事先按程序报相关部门办理手续。</w:t>
      </w:r>
      <w:r>
        <w:rPr>
          <w:rStyle w:val="23"/>
          <w:rFonts w:ascii="仿宋_GB2312" w:hAnsi="宋体" w:eastAsia="仿宋_GB2312" w:cs="宋体"/>
          <w:snapToGrid/>
          <w:color w:val="333333"/>
          <w:sz w:val="32"/>
          <w:szCs w:val="32"/>
        </w:rPr>
        <w:footnoteReference w:id="6"/>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A类国际电子竞技赛事按照现行规定由国家体育总局或国务院审批。B类国际电子竞技赛事需列入国家体育总局年度外事活动计划，由地方体育主管部门会商信息中心后，报地方人民政府或有关部门审批。C类国际电子竞技赛事实行报备制，由承办方所在省级或与地方有外事审批权单位同级的体育主管部门会商信息中心后，由地方体育主管部门报地方人民政府或有关部门审批。</w:t>
      </w:r>
      <w:r>
        <w:rPr>
          <w:rStyle w:val="23"/>
          <w:rFonts w:ascii="仿宋_GB2312" w:hAnsi="宋体" w:eastAsia="仿宋_GB2312" w:cs="宋体"/>
          <w:snapToGrid/>
          <w:color w:val="333333"/>
          <w:sz w:val="32"/>
          <w:szCs w:val="32"/>
        </w:rPr>
        <w:footnoteReference w:id="7"/>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（三）在</w:t>
      </w:r>
      <w:r>
        <w:rPr>
          <w:rFonts w:hint="eastAsia" w:ascii="仿宋_GB2312" w:hAnsi="宋体" w:eastAsia="仿宋_GB2312" w:cs="宋体"/>
          <w:snapToGrid/>
          <w:color w:val="333333"/>
          <w:sz w:val="32"/>
          <w:szCs w:val="32"/>
          <w:lang w:eastAsia="zh-Hans"/>
        </w:rPr>
        <w:t>浙江省</w:t>
      </w:r>
      <w:r>
        <w:rPr>
          <w:rFonts w:hint="eastAsia" w:ascii="仿宋_GB2312" w:hAnsi="宋体" w:eastAsia="仿宋_GB2312" w:cs="宋体"/>
          <w:snapToGrid/>
          <w:color w:val="333333"/>
          <w:sz w:val="32"/>
          <w:szCs w:val="32"/>
        </w:rPr>
        <w:t>行政区域内举办的面向社会的体育赛事，按照</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lang w:eastAsia="zh-Hans"/>
        </w:rPr>
        <w:t>浙江省体育赛事管理办法</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lang w:eastAsia="zh-Hans"/>
        </w:rPr>
        <w:t>浙江省体育赛事活动社会风险评估工作实施细则</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lang w:eastAsia="zh-Hans"/>
        </w:rPr>
        <w:t>等</w:t>
      </w:r>
      <w:r>
        <w:rPr>
          <w:rFonts w:hint="eastAsia" w:ascii="仿宋_GB2312" w:hAnsi="宋体" w:eastAsia="仿宋_GB2312" w:cs="宋体"/>
          <w:snapToGrid/>
          <w:color w:val="333333"/>
          <w:sz w:val="32"/>
          <w:szCs w:val="32"/>
        </w:rPr>
        <w:t>相关规定执行</w:t>
      </w:r>
      <w:r>
        <w:rPr>
          <w:rFonts w:hint="eastAsia" w:ascii="黑体" w:hAnsi="黑体" w:eastAsia="黑体" w:cs="仿宋"/>
          <w:spacing w:val="-10"/>
          <w:sz w:val="32"/>
          <w:szCs w:val="32"/>
        </w:rPr>
        <w:t>。</w:t>
      </w:r>
      <w:r>
        <w:rPr>
          <w:rStyle w:val="23"/>
          <w:rFonts w:hint="eastAsia" w:ascii="仿宋_GB2312" w:hAnsi="宋体" w:eastAsia="仿宋_GB2312" w:cs="宋体"/>
          <w:snapToGrid/>
          <w:color w:val="333333"/>
          <w:sz w:val="32"/>
          <w:szCs w:val="32"/>
        </w:rPr>
        <w:footnoteReference w:id="8"/>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第十三条</w:t>
      </w:r>
      <w:r>
        <w:rPr>
          <w:rFonts w:ascii="黑体" w:hAnsi="黑体" w:eastAsia="黑体" w:cs="仿宋"/>
          <w:spacing w:val="-10"/>
          <w:sz w:val="32"/>
          <w:szCs w:val="32"/>
        </w:rPr>
        <w:t>【</w:t>
      </w:r>
      <w:r>
        <w:rPr>
          <w:rFonts w:hint="eastAsia" w:ascii="黑体" w:hAnsi="黑体" w:eastAsia="黑体" w:cs="仿宋"/>
          <w:spacing w:val="-10"/>
          <w:sz w:val="32"/>
          <w:szCs w:val="32"/>
        </w:rPr>
        <w:t>电竞赛事名称合规】</w:t>
      </w:r>
      <w:r>
        <w:rPr>
          <w:rStyle w:val="23"/>
          <w:rFonts w:ascii="黑体" w:hAnsi="黑体" w:eastAsia="黑体" w:cs="仿宋"/>
          <w:spacing w:val="-10"/>
          <w:sz w:val="32"/>
          <w:szCs w:val="32"/>
        </w:rPr>
        <w:footnoteReference w:id="9"/>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电竞赛事主办方应依照《体育赛事活动管理办法》《电子竞技赛事管理暂行规定》等相关法律法规的规定，结合赛事规模与性质设置赛事名称。</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由国家体育总局体育信息中心主办或联合主办的国内赛事，其名称可以使用“中国”“全国”“国家”“中华”字样或具有类似含义的词汇。未经相关部门确认，其他赛事名称不得使用以上字样或具有类似含义的词汇。</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由国际电子竞技组织、国家体育总局体育信息中心举办的国际赛事，其名称可以使用“世界”“亚洲”字样或具有类似含义的词汇。未经相关部门确认，其他赛事名称不得使用以上字样或具有类似含义的词汇。</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十四</w:t>
      </w:r>
      <w:r>
        <w:rPr>
          <w:rFonts w:ascii="黑体" w:hAnsi="黑体" w:eastAsia="黑体" w:cs="仿宋"/>
          <w:spacing w:val="-10"/>
          <w:sz w:val="32"/>
          <w:szCs w:val="32"/>
        </w:rPr>
        <w:t>条【</w:t>
      </w:r>
      <w:r>
        <w:rPr>
          <w:rFonts w:hint="eastAsia" w:ascii="黑体" w:hAnsi="黑体" w:eastAsia="黑体" w:cs="仿宋"/>
          <w:spacing w:val="-10"/>
          <w:sz w:val="32"/>
          <w:szCs w:val="32"/>
        </w:rPr>
        <w:t>电竞赛事产品合规</w:t>
      </w:r>
      <w:r>
        <w:rPr>
          <w:rFonts w:ascii="黑体" w:hAnsi="黑体" w:eastAsia="黑体" w:cs="仿宋"/>
          <w:spacing w:val="-10"/>
          <w:sz w:val="32"/>
          <w:szCs w:val="32"/>
        </w:rPr>
        <w:t>】</w:t>
      </w:r>
      <w:r>
        <w:rPr>
          <w:rStyle w:val="23"/>
          <w:rFonts w:ascii="黑体" w:hAnsi="黑体" w:eastAsia="黑体" w:cs="仿宋"/>
          <w:spacing w:val="-10"/>
          <w:sz w:val="32"/>
          <w:szCs w:val="32"/>
        </w:rPr>
        <w:footnoteReference w:id="10"/>
      </w:r>
    </w:p>
    <w:p>
      <w:pPr>
        <w:pageBreakBefore w:val="0"/>
        <w:widowControl w:val="0"/>
        <w:kinsoku/>
        <w:wordWrap/>
        <w:overflowPunct w:val="0"/>
        <w:topLinePunct w:val="0"/>
        <w:autoSpaceDE/>
        <w:autoSpaceDN/>
        <w:bidi w:val="0"/>
        <w:snapToGrid w:val="0"/>
        <w:spacing w:line="560" w:lineRule="exact"/>
        <w:ind w:right="36" w:firstLine="67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电竞赛事产品应符合国家法律法规和公序良俗，电竞赛事主办方不得使用未经出版的电竞产品进行比赛或用于表演。电竞</w:t>
      </w:r>
      <w:r>
        <w:rPr>
          <w:rFonts w:ascii="仿宋_GB2312" w:hAnsi="宋体" w:eastAsia="仿宋_GB2312" w:cs="宋体"/>
          <w:snapToGrid/>
          <w:color w:val="333333"/>
          <w:sz w:val="32"/>
          <w:szCs w:val="32"/>
        </w:rPr>
        <w:t>赛事</w:t>
      </w:r>
      <w:r>
        <w:rPr>
          <w:rFonts w:hint="eastAsia" w:ascii="仿宋_GB2312" w:hAnsi="宋体" w:eastAsia="仿宋_GB2312" w:cs="宋体"/>
          <w:snapToGrid/>
          <w:color w:val="333333"/>
          <w:sz w:val="32"/>
          <w:szCs w:val="32"/>
        </w:rPr>
        <w:t>主办方应</w:t>
      </w:r>
      <w:r>
        <w:rPr>
          <w:rFonts w:ascii="仿宋_GB2312" w:hAnsi="宋体" w:eastAsia="仿宋_GB2312" w:cs="宋体"/>
          <w:snapToGrid/>
          <w:color w:val="333333"/>
          <w:sz w:val="32"/>
          <w:szCs w:val="32"/>
        </w:rPr>
        <w:t>尊重和保护知识产权，</w:t>
      </w:r>
      <w:r>
        <w:rPr>
          <w:rFonts w:hint="eastAsia" w:ascii="仿宋_GB2312" w:hAnsi="宋体" w:eastAsia="仿宋_GB2312" w:cs="宋体"/>
          <w:snapToGrid/>
          <w:color w:val="333333"/>
          <w:sz w:val="32"/>
          <w:szCs w:val="32"/>
        </w:rPr>
        <w:t>不得在电竞赛事中使用未获得权利人</w:t>
      </w:r>
      <w:r>
        <w:rPr>
          <w:rFonts w:ascii="仿宋_GB2312" w:hAnsi="宋体" w:eastAsia="仿宋_GB2312" w:cs="宋体"/>
          <w:snapToGrid/>
          <w:color w:val="333333"/>
          <w:sz w:val="32"/>
          <w:szCs w:val="32"/>
        </w:rPr>
        <w:t>授权</w:t>
      </w:r>
      <w:r>
        <w:rPr>
          <w:rFonts w:hint="eastAsia" w:ascii="仿宋_GB2312" w:hAnsi="宋体" w:eastAsia="仿宋_GB2312" w:cs="宋体"/>
          <w:snapToGrid/>
          <w:color w:val="333333"/>
          <w:sz w:val="32"/>
          <w:szCs w:val="32"/>
        </w:rPr>
        <w:t>的电竞产品</w:t>
      </w:r>
      <w:r>
        <w:rPr>
          <w:rFonts w:ascii="仿宋_GB2312" w:hAnsi="宋体" w:eastAsia="仿宋_GB2312" w:cs="宋体"/>
          <w:snapToGrid/>
          <w:color w:val="333333"/>
          <w:sz w:val="32"/>
          <w:szCs w:val="32"/>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（一）主办方拥有独立自主知识产权的电竞产品，未取得版号的不得在中国境内上线运营，也不得作为电竞项目的比赛或表演。</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（二）主办方未拥有独立知识产权的电竞产品，电竞企业在运营前须取得权利人的许可并签订相应书面授权合同。电竞企业在签订授权合同时，应重点审查权利人的权利证明材料以及授权合同约定的授权范围。</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第十五条【电竞选手合规】</w:t>
      </w:r>
      <w:r>
        <w:rPr>
          <w:rStyle w:val="23"/>
          <w:rFonts w:ascii="黑体" w:hAnsi="黑体" w:eastAsia="黑体" w:cs="仿宋"/>
          <w:spacing w:val="-10"/>
          <w:sz w:val="32"/>
          <w:szCs w:val="32"/>
        </w:rPr>
        <w:footnoteReference w:id="11"/>
      </w:r>
      <w:r>
        <w:rPr>
          <w:rFonts w:ascii="黑体" w:hAnsi="黑体" w:eastAsia="黑体" w:cs="仿宋"/>
          <w:spacing w:val="-10"/>
          <w:sz w:val="32"/>
          <w:szCs w:val="32"/>
        </w:rPr>
        <w:t xml:space="preserve"> </w:t>
      </w:r>
    </w:p>
    <w:p>
      <w:pPr>
        <w:pageBreakBefore w:val="0"/>
        <w:widowControl w:val="0"/>
        <w:kinsoku/>
        <w:wordWrap/>
        <w:overflowPunct w:val="0"/>
        <w:topLinePunct w:val="0"/>
        <w:autoSpaceDE/>
        <w:autoSpaceDN/>
        <w:bidi w:val="0"/>
        <w:snapToGrid w:val="0"/>
        <w:spacing w:line="560" w:lineRule="exact"/>
        <w:ind w:right="36" w:firstLine="67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在培养电竞参赛选手过程中，应注重爱国主义、集体主义和社会主义的教育，根据杭州市电子竞技协会《杭州市电子竞技运动员管理办法（试行）》相关要求管理培养电竞选手，同时做好参赛选手的合规性审查工作。</w:t>
      </w:r>
    </w:p>
    <w:p>
      <w:pPr>
        <w:pageBreakBefore w:val="0"/>
        <w:widowControl w:val="0"/>
        <w:kinsoku/>
        <w:wordWrap/>
        <w:overflowPunct w:val="0"/>
        <w:topLinePunct w:val="0"/>
        <w:autoSpaceDE/>
        <w:autoSpaceDN/>
        <w:bidi w:val="0"/>
        <w:snapToGrid w:val="0"/>
        <w:spacing w:line="560" w:lineRule="exact"/>
        <w:ind w:right="36" w:firstLine="67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（一）参赛选手须年满</w:t>
      </w:r>
      <w:r>
        <w:rPr>
          <w:rFonts w:ascii="仿宋_GB2312" w:hAnsi="宋体" w:eastAsia="仿宋_GB2312" w:cs="宋体"/>
          <w:snapToGrid/>
          <w:color w:val="333333"/>
          <w:sz w:val="32"/>
          <w:szCs w:val="32"/>
        </w:rPr>
        <w:t>18</w:t>
      </w:r>
      <w:r>
        <w:rPr>
          <w:rFonts w:hint="eastAsia" w:ascii="仿宋_GB2312" w:hAnsi="宋体" w:eastAsia="仿宋_GB2312" w:cs="宋体"/>
          <w:snapToGrid/>
          <w:color w:val="333333"/>
          <w:sz w:val="32"/>
          <w:szCs w:val="32"/>
        </w:rPr>
        <w:t>周岁，具备完全民事行为能力，拥护我国宪法，具有良好的职业素养。</w:t>
      </w:r>
      <w:r>
        <w:rPr>
          <w:rStyle w:val="23"/>
          <w:rFonts w:hint="eastAsia" w:ascii="仿宋_GB2312" w:hAnsi="宋体" w:eastAsia="仿宋_GB2312" w:cs="宋体"/>
          <w:snapToGrid/>
          <w:color w:val="333333"/>
          <w:sz w:val="32"/>
          <w:szCs w:val="32"/>
        </w:rPr>
        <w:footnoteReference w:id="12"/>
      </w:r>
    </w:p>
    <w:p>
      <w:pPr>
        <w:pageBreakBefore w:val="0"/>
        <w:widowControl w:val="0"/>
        <w:kinsoku/>
        <w:wordWrap/>
        <w:overflowPunct w:val="0"/>
        <w:topLinePunct w:val="0"/>
        <w:autoSpaceDE/>
        <w:autoSpaceDN/>
        <w:bidi w:val="0"/>
        <w:snapToGrid w:val="0"/>
        <w:spacing w:line="560" w:lineRule="exact"/>
        <w:ind w:right="36" w:firstLine="67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（二）参赛选手参加经各级体育主管部门审批的电竞比赛前应持有全国体育总局秘书处认可的有效证件。</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第十六条【电竞赛事服务合规】</w:t>
      </w:r>
      <w:r>
        <w:rPr>
          <w:rStyle w:val="23"/>
          <w:rFonts w:ascii="黑体" w:hAnsi="黑体" w:eastAsia="黑体" w:cs="仿宋"/>
          <w:spacing w:val="-10"/>
          <w:sz w:val="32"/>
          <w:szCs w:val="32"/>
        </w:rPr>
        <w:footnoteReference w:id="13"/>
      </w:r>
    </w:p>
    <w:p>
      <w:pPr>
        <w:pageBreakBefore w:val="0"/>
        <w:widowControl w:val="0"/>
        <w:kinsoku/>
        <w:wordWrap/>
        <w:overflowPunct w:val="0"/>
        <w:topLinePunct w:val="0"/>
        <w:autoSpaceDE/>
        <w:autoSpaceDN/>
        <w:bidi w:val="0"/>
        <w:snapToGrid w:val="0"/>
        <w:spacing w:line="560" w:lineRule="exact"/>
        <w:ind w:right="57" w:firstLine="659"/>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电竞赛事主办方应营造公平、公正、公开的赛事氛围，维护电竞参赛选手的合法权益。</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（一）电竞赛事主办方应制定并公布赛事参赛规则和条件，明确参赛资格、比赛流程、评分标准、处罚方式。电竞赛事主办方不得因选手性别、种族、宗教信仰、年龄、残疾状态等因素而对其</w:t>
      </w:r>
      <w:r>
        <w:rPr>
          <w:rFonts w:hint="eastAsia" w:ascii="仿宋_GB2312" w:hAnsi="宋体" w:eastAsia="仿宋_GB2312" w:cs="宋体"/>
          <w:snapToGrid/>
          <w:color w:val="333333"/>
          <w:sz w:val="32"/>
          <w:szCs w:val="32"/>
          <w:lang w:val="en-US" w:eastAsia="zh-CN"/>
        </w:rPr>
        <w:t>区别</w:t>
      </w:r>
      <w:r>
        <w:rPr>
          <w:rFonts w:hint="eastAsia" w:ascii="仿宋_GB2312" w:hAnsi="宋体" w:eastAsia="仿宋_GB2312" w:cs="宋体"/>
          <w:snapToGrid/>
          <w:color w:val="333333"/>
          <w:sz w:val="32"/>
          <w:szCs w:val="32"/>
        </w:rPr>
        <w:t>对待。</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（二）电竞赛事主办方应建立</w:t>
      </w:r>
      <w:r>
        <w:rPr>
          <w:rFonts w:hint="eastAsia" w:ascii="仿宋_GB2312" w:hAnsi="宋体" w:eastAsia="仿宋_GB2312" w:cs="宋体"/>
          <w:snapToGrid/>
          <w:color w:val="333333"/>
          <w:sz w:val="32"/>
          <w:szCs w:val="32"/>
          <w:lang w:val="en-US" w:eastAsia="zh-CN"/>
        </w:rPr>
        <w:t>并</w:t>
      </w:r>
      <w:r>
        <w:rPr>
          <w:rFonts w:hint="eastAsia" w:ascii="仿宋_GB2312" w:hAnsi="宋体" w:eastAsia="仿宋_GB2312" w:cs="宋体"/>
          <w:snapToGrid/>
          <w:color w:val="333333"/>
          <w:sz w:val="32"/>
          <w:szCs w:val="32"/>
        </w:rPr>
        <w:t>完善监督机制，确保</w:t>
      </w:r>
      <w:r>
        <w:rPr>
          <w:rFonts w:hint="eastAsia" w:ascii="仿宋_GB2312" w:hAnsi="宋体" w:eastAsia="仿宋_GB2312" w:cs="宋体"/>
          <w:snapToGrid/>
          <w:color w:val="333333"/>
          <w:sz w:val="32"/>
          <w:szCs w:val="32"/>
          <w:lang w:val="en-US" w:eastAsia="zh-CN"/>
        </w:rPr>
        <w:t>赛事</w:t>
      </w:r>
      <w:r>
        <w:rPr>
          <w:rFonts w:hint="eastAsia" w:ascii="仿宋_GB2312" w:hAnsi="宋体" w:eastAsia="仿宋_GB2312" w:cs="宋体"/>
          <w:snapToGrid/>
          <w:color w:val="333333"/>
          <w:sz w:val="32"/>
          <w:szCs w:val="32"/>
        </w:rPr>
        <w:t>公平、公正、公开。电竞赛事主办方应建立有效的申诉机制，确保申诉处理的及时性和公正性，保护电竞选手的隐私和声誉。</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十七</w:t>
      </w:r>
      <w:r>
        <w:rPr>
          <w:rFonts w:ascii="黑体" w:hAnsi="黑体" w:eastAsia="黑体" w:cs="仿宋"/>
          <w:spacing w:val="-10"/>
          <w:sz w:val="32"/>
          <w:szCs w:val="32"/>
        </w:rPr>
        <w:t>条【</w:t>
      </w:r>
      <w:r>
        <w:rPr>
          <w:rFonts w:hint="eastAsia" w:ascii="黑体" w:hAnsi="黑体" w:eastAsia="黑体" w:cs="仿宋"/>
          <w:spacing w:val="-10"/>
          <w:sz w:val="32"/>
          <w:szCs w:val="32"/>
        </w:rPr>
        <w:t>电竞赛事传播合规</w:t>
      </w:r>
      <w:r>
        <w:rPr>
          <w:rFonts w:ascii="黑体" w:hAnsi="黑体" w:eastAsia="黑体" w:cs="仿宋"/>
          <w:spacing w:val="-10"/>
          <w:sz w:val="32"/>
          <w:szCs w:val="32"/>
        </w:rPr>
        <w:t>】</w:t>
      </w:r>
      <w:r>
        <w:rPr>
          <w:rStyle w:val="23"/>
          <w:rFonts w:ascii="黑体" w:hAnsi="黑体" w:eastAsia="黑体" w:cs="仿宋"/>
          <w:spacing w:val="-10"/>
          <w:sz w:val="32"/>
          <w:szCs w:val="32"/>
        </w:rPr>
        <w:footnoteReference w:id="14"/>
      </w:r>
    </w:p>
    <w:p>
      <w:pPr>
        <w:pageBreakBefore w:val="0"/>
        <w:widowControl w:val="0"/>
        <w:kinsoku/>
        <w:wordWrap/>
        <w:overflowPunct w:val="0"/>
        <w:topLinePunct w:val="0"/>
        <w:autoSpaceDE/>
        <w:autoSpaceDN/>
        <w:bidi w:val="0"/>
        <w:snapToGrid w:val="0"/>
        <w:spacing w:line="560" w:lineRule="exact"/>
        <w:ind w:right="57"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 xml:space="preserve">电竞赛事主办方应通过合法、合规的渠道进行赛事宣传，确保赛事合规传播。电竞赛事主办方通过大型活动传播的，应严格履行报备和审批流程。 </w:t>
      </w:r>
    </w:p>
    <w:p>
      <w:pPr>
        <w:pageBreakBefore w:val="0"/>
        <w:widowControl w:val="0"/>
        <w:kinsoku/>
        <w:wordWrap/>
        <w:overflowPunct w:val="0"/>
        <w:topLinePunct w:val="0"/>
        <w:autoSpaceDE/>
        <w:autoSpaceDN/>
        <w:bidi w:val="0"/>
        <w:snapToGrid w:val="0"/>
        <w:spacing w:line="560" w:lineRule="exact"/>
        <w:ind w:right="57" w:firstLine="600" w:firstLineChars="200"/>
        <w:jc w:val="both"/>
        <w:rPr>
          <w:rFonts w:ascii="黑体" w:hAnsi="黑体" w:eastAsia="黑体" w:cs="仿宋"/>
          <w:spacing w:val="-10"/>
          <w:sz w:val="32"/>
          <w:szCs w:val="32"/>
        </w:rPr>
      </w:pPr>
      <w:r>
        <w:rPr>
          <w:rFonts w:hint="eastAsia" w:ascii="黑体" w:hAnsi="黑体" w:eastAsia="黑体" w:cs="仿宋"/>
          <w:spacing w:val="-10"/>
          <w:sz w:val="32"/>
          <w:szCs w:val="32"/>
        </w:rPr>
        <w:t>第十八条【电竞赛事运营合规】</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电竞赛事主办方在运营赛事过程中应严格遵守法律法规，严格审查各参赛主体间可能存在的商业性权益冲突，避免法律风险及商业纠纷。</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（一）电竞赛事主办方经审查存在商业性权益冲突的，应及时组织合同相关方及第三方共同协商解决方案。</w:t>
      </w:r>
    </w:p>
    <w:p>
      <w:pPr>
        <w:pageBreakBefore w:val="0"/>
        <w:widowControl w:val="0"/>
        <w:kinsoku/>
        <w:wordWrap/>
        <w:overflowPunct w:val="0"/>
        <w:topLinePunct w:val="0"/>
        <w:autoSpaceDE/>
        <w:autoSpaceDN/>
        <w:bidi w:val="0"/>
        <w:snapToGrid w:val="0"/>
        <w:spacing w:line="560" w:lineRule="exact"/>
        <w:ind w:firstLine="640" w:firstLineChars="200"/>
        <w:jc w:val="both"/>
        <w:rPr>
          <w:rFonts w:ascii="黑体" w:hAnsi="黑体" w:eastAsia="黑体" w:cs="仿宋"/>
          <w:spacing w:val="-10"/>
          <w:sz w:val="32"/>
          <w:szCs w:val="32"/>
        </w:rPr>
      </w:pPr>
      <w:r>
        <w:rPr>
          <w:rFonts w:hint="eastAsia" w:ascii="仿宋_GB2312" w:hAnsi="宋体" w:eastAsia="仿宋_GB2312" w:cs="宋体"/>
          <w:snapToGrid/>
          <w:color w:val="333333"/>
          <w:sz w:val="32"/>
          <w:szCs w:val="32"/>
        </w:rPr>
        <w:t>（二）电竞赛事招募赞助商的，</w:t>
      </w:r>
      <w:r>
        <w:rPr>
          <w:rFonts w:hint="eastAsia" w:ascii="仿宋_GB2312" w:hAnsi="宋体" w:eastAsia="仿宋_GB2312" w:cs="宋体"/>
          <w:snapToGrid/>
          <w:color w:val="333333"/>
          <w:sz w:val="32"/>
          <w:szCs w:val="32"/>
          <w:lang w:val="en-US" w:eastAsia="zh-CN"/>
        </w:rPr>
        <w:t>为维护双方利益，电竞主办方应</w:t>
      </w:r>
      <w:r>
        <w:rPr>
          <w:rFonts w:hint="eastAsia" w:ascii="仿宋_GB2312" w:hAnsi="宋体" w:eastAsia="仿宋_GB2312" w:cs="宋体"/>
          <w:snapToGrid/>
          <w:color w:val="333333"/>
          <w:sz w:val="32"/>
          <w:szCs w:val="32"/>
        </w:rPr>
        <w:t>与赞助商签订书面赞助合同</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lang w:val="en-US" w:eastAsia="zh-CN"/>
        </w:rPr>
        <w:t>电竞主办方同时</w:t>
      </w:r>
      <w:r>
        <w:rPr>
          <w:rFonts w:hint="eastAsia" w:ascii="仿宋_GB2312" w:hAnsi="宋体" w:eastAsia="仿宋_GB2312" w:cs="宋体"/>
          <w:snapToGrid/>
          <w:color w:val="333333"/>
          <w:sz w:val="32"/>
          <w:szCs w:val="32"/>
        </w:rPr>
        <w:t>应</w:t>
      </w:r>
      <w:r>
        <w:rPr>
          <w:rFonts w:hint="eastAsia" w:ascii="仿宋_GB2312" w:hAnsi="宋体" w:eastAsia="仿宋_GB2312" w:cs="宋体"/>
          <w:snapToGrid/>
          <w:color w:val="333333"/>
          <w:sz w:val="32"/>
          <w:szCs w:val="32"/>
          <w:lang w:val="en-US" w:eastAsia="zh-CN"/>
        </w:rPr>
        <w:t>积极维护</w:t>
      </w:r>
      <w:r>
        <w:rPr>
          <w:rFonts w:hint="eastAsia" w:ascii="仿宋_GB2312" w:hAnsi="宋体" w:eastAsia="仿宋_GB2312" w:cs="宋体"/>
          <w:snapToGrid/>
          <w:color w:val="333333"/>
          <w:sz w:val="32"/>
          <w:szCs w:val="32"/>
        </w:rPr>
        <w:t>电竞赛事的商誉，避免因赞助商原因导致不良社会影响</w:t>
      </w:r>
      <w:r>
        <w:rPr>
          <w:rFonts w:hint="eastAsia" w:ascii="仿宋_GB2312" w:hAnsi="宋体" w:eastAsia="仿宋_GB2312" w:cs="宋体"/>
          <w:snapToGrid/>
          <w:color w:val="333333"/>
          <w:sz w:val="32"/>
          <w:szCs w:val="32"/>
          <w:lang w:val="en-US" w:eastAsia="zh-CN"/>
        </w:rPr>
        <w:t>和</w:t>
      </w:r>
      <w:r>
        <w:rPr>
          <w:rFonts w:hint="eastAsia" w:ascii="仿宋_GB2312" w:hAnsi="宋体" w:eastAsia="仿宋_GB2312" w:cs="宋体"/>
          <w:snapToGrid/>
          <w:color w:val="333333"/>
          <w:sz w:val="32"/>
          <w:szCs w:val="32"/>
        </w:rPr>
        <w:t>商业纠纷。</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第十九条【电竞竞猜管理】</w:t>
      </w:r>
      <w:r>
        <w:rPr>
          <w:rStyle w:val="23"/>
          <w:rFonts w:ascii="黑体" w:hAnsi="黑体" w:eastAsia="黑体" w:cs="仿宋"/>
          <w:spacing w:val="-10"/>
          <w:sz w:val="32"/>
          <w:szCs w:val="32"/>
        </w:rPr>
        <w:footnoteReference w:id="15"/>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电竞企业在电竞赛事中设置竞猜活动，应合法、合规运行，严禁提供电竞赌博服务，规范设置电竞竞猜规则和方式，避免电竞竞猜行为转化为电竞赌博行为。</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（一）应重点审查电竞竞猜活动设置规则。在竞猜环节上限制单局投注上限及每日每户投注上限，杜绝用户产生赌博动机；不得通过收取或以“虚拟货币”等变相收取与电竞竞猜输赢相关的佣金。</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（二）应重点审查电竞竞猜活动的兑换方式。不得提供用户间电竞竞猜积分的赠予、转让等积分交易服务；不得提供电竞竞猜积分兑换或以“虚拟货币”等变相兑换现金、财物服务。</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二</w:t>
      </w:r>
      <w:r>
        <w:rPr>
          <w:rFonts w:hint="eastAsia" w:ascii="黑体" w:hAnsi="黑体" w:eastAsia="黑体" w:cs="仿宋"/>
          <w:spacing w:val="-10"/>
          <w:sz w:val="32"/>
          <w:szCs w:val="32"/>
        </w:rPr>
        <w:t>十条【电竞假赛管理】</w:t>
      </w:r>
      <w:r>
        <w:rPr>
          <w:rStyle w:val="23"/>
          <w:rFonts w:ascii="黑体" w:hAnsi="黑体" w:eastAsia="黑体" w:cs="仿宋"/>
          <w:spacing w:val="-10"/>
          <w:sz w:val="32"/>
          <w:szCs w:val="32"/>
        </w:rPr>
        <w:footnoteReference w:id="16"/>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电竞企业及相关人员应发扬公平、公正、公开的体育竞赛精神，严格遵循电竞赛事规则，展现良好的竞技风貌，不得在电竞比赛中相互勾结、弄虚作假、操纵赛事结果，损害赛事形象，侵犯他人合法权益。</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（一）电竞企业及相关人员收受他人财物，在电竞比赛中弄虚作假，为他人谋取利益的，应承担相应行政责任或刑事责任。</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（二）电竞企业及相关人员在电竞比赛中相互勾结，操控比赛结果以非法获利的，应承担相应行政责任或刑事责任。</w:t>
      </w:r>
    </w:p>
    <w:p>
      <w:pPr>
        <w:pageBreakBefore w:val="0"/>
        <w:widowControl w:val="0"/>
        <w:kinsoku/>
        <w:wordWrap/>
        <w:overflowPunct w:val="0"/>
        <w:topLinePunct w:val="0"/>
        <w:autoSpaceDE/>
        <w:autoSpaceDN/>
        <w:bidi w:val="0"/>
        <w:snapToGrid w:val="0"/>
        <w:spacing w:line="560" w:lineRule="exact"/>
        <w:rPr>
          <w:rFonts w:ascii="仿宋" w:hAnsi="仿宋" w:eastAsia="仿宋" w:cs="仿宋"/>
          <w:spacing w:val="-13"/>
          <w:sz w:val="32"/>
          <w:szCs w:val="32"/>
        </w:rPr>
      </w:pPr>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5" w:name="_Toc149119729"/>
      <w:r>
        <w:rPr>
          <w:rFonts w:hint="eastAsia" w:eastAsia="楷体_GB2312"/>
          <w:bCs/>
          <w:snapToGrid/>
          <w:sz w:val="32"/>
          <w:szCs w:val="32"/>
        </w:rPr>
        <w:t>第三节 电竞俱乐部合规</w:t>
      </w:r>
      <w:bookmarkEnd w:id="5"/>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二十一</w:t>
      </w:r>
      <w:r>
        <w:rPr>
          <w:rFonts w:hint="eastAsia" w:ascii="黑体" w:hAnsi="黑体" w:eastAsia="黑体" w:cs="仿宋"/>
          <w:spacing w:val="-10"/>
          <w:sz w:val="32"/>
          <w:szCs w:val="32"/>
        </w:rPr>
        <w:t>条【电竞俱乐部设立合规】</w:t>
      </w:r>
      <w:r>
        <w:rPr>
          <w:rStyle w:val="23"/>
          <w:rFonts w:ascii="黑体" w:hAnsi="黑体" w:eastAsia="黑体" w:cs="仿宋"/>
          <w:spacing w:val="-10"/>
          <w:sz w:val="32"/>
          <w:szCs w:val="32"/>
        </w:rPr>
        <w:footnoteReference w:id="17"/>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rPr>
        <w:t>电竞俱乐部须至</w:t>
      </w:r>
      <w:r>
        <w:rPr>
          <w:rFonts w:hint="eastAsia" w:ascii="仿宋_GB2312" w:hAnsi="宋体" w:eastAsia="仿宋_GB2312" w:cs="宋体"/>
          <w:snapToGrid/>
          <w:color w:val="333333"/>
          <w:sz w:val="32"/>
          <w:szCs w:val="32"/>
          <w:lang w:eastAsia="zh-Hans"/>
        </w:rPr>
        <w:t>所在地体育主管部门申请注册</w:t>
      </w:r>
      <w:r>
        <w:rPr>
          <w:rFonts w:hint="eastAsia"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lang w:eastAsia="zh-Hans"/>
        </w:rPr>
        <w:t>未经注册的俱乐部不得以俱乐部名义报名参加经各级体育主管部门批准的全部电子竞技赛事</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电竞俱乐部不得适用未经注册的运动员代表报名参赛</w:t>
      </w:r>
      <w:r>
        <w:rPr>
          <w:rFonts w:ascii="仿宋_GB2312" w:hAnsi="宋体" w:eastAsia="仿宋_GB2312" w:cs="宋体"/>
          <w:snapToGrid/>
          <w:color w:val="333333"/>
          <w:sz w:val="32"/>
          <w:szCs w:val="32"/>
          <w:lang w:eastAsia="zh-Hans"/>
        </w:rPr>
        <w:t>。</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第二十</w:t>
      </w:r>
      <w:r>
        <w:rPr>
          <w:rFonts w:hint="eastAsia" w:ascii="黑体" w:hAnsi="黑体" w:eastAsia="黑体" w:cs="仿宋"/>
          <w:spacing w:val="-10"/>
          <w:sz w:val="32"/>
          <w:szCs w:val="32"/>
          <w:lang w:eastAsia="zh-Hans"/>
        </w:rPr>
        <w:t>二</w:t>
      </w:r>
      <w:r>
        <w:rPr>
          <w:rFonts w:hint="eastAsia" w:ascii="黑体" w:hAnsi="黑体" w:eastAsia="黑体" w:cs="仿宋"/>
          <w:spacing w:val="-10"/>
          <w:sz w:val="32"/>
          <w:szCs w:val="32"/>
        </w:rPr>
        <w:t>条</w:t>
      </w:r>
      <w:r>
        <w:rPr>
          <w:rFonts w:ascii="黑体" w:hAnsi="黑体" w:eastAsia="黑体" w:cs="仿宋"/>
          <w:spacing w:val="-10"/>
          <w:sz w:val="32"/>
          <w:szCs w:val="32"/>
        </w:rPr>
        <w:t>【</w:t>
      </w:r>
      <w:r>
        <w:rPr>
          <w:rFonts w:hint="eastAsia" w:ascii="黑体" w:hAnsi="黑体" w:eastAsia="黑体" w:cs="仿宋"/>
          <w:spacing w:val="-10"/>
          <w:sz w:val="32"/>
          <w:szCs w:val="32"/>
        </w:rPr>
        <w:t>电竞俱乐部签约合规】</w:t>
      </w:r>
    </w:p>
    <w:p>
      <w:pPr>
        <w:pageBreakBefore w:val="0"/>
        <w:widowControl w:val="0"/>
        <w:numPr>
          <w:ilvl w:val="255"/>
          <w:numId w:val="0"/>
        </w:numPr>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电竞俱乐部签约电竞选手时，应严格遵守《中华人民共和国劳动法》及《中华人民共和国劳动合同法》的相关规定，确保双方合法权益得到保障。</w:t>
      </w:r>
    </w:p>
    <w:p>
      <w:pPr>
        <w:pageBreakBefore w:val="0"/>
        <w:widowControl w:val="0"/>
        <w:numPr>
          <w:ilvl w:val="255"/>
          <w:numId w:val="0"/>
        </w:numPr>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电竞俱乐部与电竞选手签订劳动合同的，劳动关系自用工之日起建立；除因不可抗力等法定事由，应按时足额缴纳社会保险费；电竞俱乐部应重点关注劳动合同的期限、工作时间、薪酬待遇等条款的约定及履行情况。</w:t>
      </w:r>
      <w:r>
        <w:rPr>
          <w:rStyle w:val="23"/>
          <w:rFonts w:ascii="仿宋_GB2312" w:hAnsi="宋体" w:eastAsia="仿宋_GB2312" w:cs="宋体"/>
          <w:snapToGrid/>
          <w:color w:val="333333"/>
          <w:sz w:val="32"/>
          <w:szCs w:val="32"/>
        </w:rPr>
        <w:footnoteReference w:id="18"/>
      </w:r>
    </w:p>
    <w:p>
      <w:pPr>
        <w:pageBreakBefore w:val="0"/>
        <w:widowControl w:val="0"/>
        <w:numPr>
          <w:ilvl w:val="255"/>
          <w:numId w:val="0"/>
        </w:numPr>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电竞俱乐部与电竞选手以平等民事主体的身份签订民商事合同的，应对双方权利义务、违约责任等关键条款进行明确约定；向电竞选手进行充分的信息披露和说明，特殊条款应采取加粗字体、下划线等方式进行充分的提示。</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（三）赛事联盟有相关规定的，电竞俱乐部与电竞选手应严格遵守所在赛事联盟的签约规定和要求。</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第二十</w:t>
      </w:r>
      <w:r>
        <w:rPr>
          <w:rFonts w:hint="eastAsia" w:ascii="黑体" w:hAnsi="黑体" w:eastAsia="黑体" w:cs="仿宋"/>
          <w:spacing w:val="-10"/>
          <w:sz w:val="32"/>
          <w:szCs w:val="32"/>
          <w:lang w:eastAsia="zh-Hans"/>
        </w:rPr>
        <w:t>三</w:t>
      </w:r>
      <w:r>
        <w:rPr>
          <w:rFonts w:hint="eastAsia" w:ascii="黑体" w:hAnsi="黑体" w:eastAsia="黑体" w:cs="仿宋"/>
          <w:spacing w:val="-10"/>
          <w:sz w:val="32"/>
          <w:szCs w:val="32"/>
        </w:rPr>
        <w:t>条</w:t>
      </w:r>
      <w:r>
        <w:rPr>
          <w:rFonts w:ascii="黑体" w:hAnsi="黑体" w:eastAsia="黑体" w:cs="仿宋"/>
          <w:spacing w:val="-10"/>
          <w:sz w:val="32"/>
          <w:szCs w:val="32"/>
        </w:rPr>
        <w:t xml:space="preserve"> </w:t>
      </w:r>
      <w:r>
        <w:rPr>
          <w:rFonts w:hint="eastAsia" w:ascii="黑体" w:hAnsi="黑体" w:eastAsia="黑体" w:cs="仿宋"/>
          <w:spacing w:val="-10"/>
          <w:sz w:val="32"/>
          <w:szCs w:val="32"/>
        </w:rPr>
        <w:t>【电竞俱乐部选手管理合规】</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电竞俱乐部应注重电竞选手的管理工作，通过制定规章制度等方式对电竞选手进行管理和规范，降低违规行为造成的不良影响，有效防范法律风险。</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电竞俱乐部对新签约的电竞选手，须至</w:t>
      </w:r>
      <w:r>
        <w:rPr>
          <w:rFonts w:hint="eastAsia" w:ascii="仿宋_GB2312" w:hAnsi="宋体" w:eastAsia="仿宋_GB2312" w:cs="宋体"/>
          <w:snapToGrid/>
          <w:color w:val="333333"/>
          <w:sz w:val="32"/>
          <w:szCs w:val="32"/>
          <w:lang w:eastAsia="zh-Hans"/>
        </w:rPr>
        <w:t>所在地体育主管部门</w:t>
      </w:r>
      <w:r>
        <w:rPr>
          <w:rFonts w:hint="eastAsia" w:ascii="仿宋_GB2312" w:hAnsi="宋体" w:eastAsia="仿宋_GB2312" w:cs="宋体"/>
          <w:snapToGrid/>
          <w:color w:val="333333"/>
          <w:sz w:val="32"/>
          <w:szCs w:val="32"/>
        </w:rPr>
        <w:t>完成运动员注册管理。</w:t>
      </w:r>
      <w:r>
        <w:rPr>
          <w:rStyle w:val="23"/>
          <w:rFonts w:ascii="仿宋_GB2312" w:hAnsi="宋体" w:eastAsia="仿宋_GB2312" w:cs="宋体"/>
          <w:snapToGrid/>
          <w:color w:val="333333"/>
          <w:sz w:val="32"/>
          <w:szCs w:val="32"/>
        </w:rPr>
        <w:footnoteReference w:id="19"/>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电竞俱乐部及电竞选手在使用经认证的社交媒体平台账户开展交流活动时，应遵守法律法规，尊重社会公序良俗，积极营造健康向上、和谐文明的互动氛围。</w:t>
      </w:r>
      <w:r>
        <w:rPr>
          <w:rStyle w:val="23"/>
          <w:rFonts w:ascii="仿宋_GB2312" w:hAnsi="宋体" w:eastAsia="仿宋_GB2312" w:cs="宋体"/>
          <w:snapToGrid/>
          <w:color w:val="333333"/>
          <w:sz w:val="32"/>
          <w:szCs w:val="32"/>
        </w:rPr>
        <w:footnoteReference w:id="20"/>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第二十</w:t>
      </w:r>
      <w:r>
        <w:rPr>
          <w:rFonts w:hint="eastAsia" w:ascii="黑体" w:hAnsi="黑体" w:eastAsia="黑体" w:cs="仿宋"/>
          <w:spacing w:val="-10"/>
          <w:sz w:val="32"/>
          <w:szCs w:val="32"/>
          <w:lang w:eastAsia="zh-Hans"/>
        </w:rPr>
        <w:t>四</w:t>
      </w:r>
      <w:r>
        <w:rPr>
          <w:rFonts w:hint="eastAsia" w:ascii="黑体" w:hAnsi="黑体" w:eastAsia="黑体" w:cs="仿宋"/>
          <w:spacing w:val="-10"/>
          <w:sz w:val="32"/>
          <w:szCs w:val="32"/>
        </w:rPr>
        <w:t>条</w:t>
      </w:r>
      <w:r>
        <w:rPr>
          <w:rFonts w:ascii="黑体" w:hAnsi="黑体" w:eastAsia="黑体" w:cs="仿宋"/>
          <w:spacing w:val="-10"/>
          <w:sz w:val="32"/>
          <w:szCs w:val="32"/>
        </w:rPr>
        <w:t xml:space="preserve"> </w:t>
      </w:r>
      <w:r>
        <w:rPr>
          <w:rFonts w:hint="eastAsia" w:ascii="黑体" w:hAnsi="黑体" w:eastAsia="黑体" w:cs="仿宋"/>
          <w:spacing w:val="-10"/>
          <w:sz w:val="32"/>
          <w:szCs w:val="32"/>
        </w:rPr>
        <w:t>【电竞俱乐部转会合规】</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电竞俱乐部在办理选手转会过程中，应签订书面转会合同，根据相关赛事规定办理选手签约工作，确保双方合法权益得到有效保障。</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电竞俱乐部在签约过程中应重点审查合同有效期、合同商务条款、合同商业性权益冲突、转会限制，降低选手转会风险。</w:t>
      </w:r>
    </w:p>
    <w:p>
      <w:pPr>
        <w:pageBreakBefore w:val="0"/>
        <w:widowControl w:val="0"/>
        <w:kinsoku/>
        <w:wordWrap/>
        <w:overflowPunct w:val="0"/>
        <w:topLinePunct w:val="0"/>
        <w:autoSpaceDE/>
        <w:autoSpaceDN/>
        <w:bidi w:val="0"/>
        <w:snapToGrid w:val="0"/>
        <w:spacing w:line="560" w:lineRule="exact"/>
        <w:jc w:val="both"/>
        <w:rPr>
          <w:rFonts w:eastAsia="等线"/>
        </w:rPr>
      </w:pPr>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6" w:name="_Toc149119730"/>
      <w:r>
        <w:rPr>
          <w:rFonts w:hint="eastAsia" w:eastAsia="楷体_GB2312"/>
          <w:bCs/>
          <w:snapToGrid/>
          <w:sz w:val="32"/>
          <w:szCs w:val="32"/>
        </w:rPr>
        <w:t>第四节</w:t>
      </w:r>
      <w:r>
        <w:rPr>
          <w:rFonts w:eastAsia="楷体_GB2312"/>
          <w:bCs/>
          <w:snapToGrid/>
          <w:sz w:val="32"/>
          <w:szCs w:val="32"/>
        </w:rPr>
        <w:t xml:space="preserve"> </w:t>
      </w:r>
      <w:r>
        <w:rPr>
          <w:rFonts w:hint="eastAsia" w:eastAsia="楷体_GB2312"/>
          <w:bCs/>
          <w:snapToGrid/>
          <w:sz w:val="32"/>
          <w:szCs w:val="32"/>
        </w:rPr>
        <w:t>电竞直播合规</w:t>
      </w:r>
      <w:bookmarkEnd w:id="6"/>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第二十</w:t>
      </w:r>
      <w:r>
        <w:rPr>
          <w:rFonts w:hint="eastAsia" w:ascii="黑体" w:hAnsi="黑体" w:eastAsia="黑体" w:cs="仿宋"/>
          <w:spacing w:val="-10"/>
          <w:sz w:val="32"/>
          <w:szCs w:val="32"/>
          <w:lang w:eastAsia="zh-Hans"/>
        </w:rPr>
        <w:t>五</w:t>
      </w:r>
      <w:r>
        <w:rPr>
          <w:rFonts w:hint="eastAsia" w:ascii="黑体" w:hAnsi="黑体" w:eastAsia="黑体" w:cs="仿宋"/>
          <w:spacing w:val="-10"/>
          <w:sz w:val="32"/>
          <w:szCs w:val="32"/>
        </w:rPr>
        <w:t>条</w:t>
      </w:r>
      <w:r>
        <w:rPr>
          <w:rFonts w:ascii="黑体" w:hAnsi="黑体" w:eastAsia="黑体" w:cs="仿宋"/>
          <w:spacing w:val="-10"/>
          <w:sz w:val="32"/>
          <w:szCs w:val="32"/>
        </w:rPr>
        <w:t xml:space="preserve"> </w:t>
      </w:r>
      <w:r>
        <w:rPr>
          <w:rFonts w:hint="eastAsia" w:ascii="黑体" w:hAnsi="黑体" w:eastAsia="黑体" w:cs="仿宋"/>
          <w:spacing w:val="-10"/>
          <w:sz w:val="32"/>
          <w:szCs w:val="32"/>
        </w:rPr>
        <w:t>【电竞直播签约合规】</w:t>
      </w:r>
      <w:r>
        <w:rPr>
          <w:rStyle w:val="23"/>
          <w:rFonts w:ascii="黑体" w:hAnsi="黑体" w:eastAsia="黑体" w:cs="仿宋"/>
          <w:spacing w:val="-10"/>
          <w:sz w:val="32"/>
          <w:szCs w:val="32"/>
        </w:rPr>
        <w:footnoteReference w:id="21"/>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电竞主播应与直播平台签订书面合作协议，约定双方权利义务，保障双方合法权益。电竞主播在签约过程中应重点审查商务条款、直播要求、独家排他性约定、优先续约权，降低商业风险，避免法律纠纷。</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第二十</w:t>
      </w:r>
      <w:r>
        <w:rPr>
          <w:rFonts w:hint="eastAsia" w:ascii="黑体" w:hAnsi="黑体" w:eastAsia="黑体" w:cs="仿宋"/>
          <w:spacing w:val="-10"/>
          <w:sz w:val="32"/>
          <w:szCs w:val="32"/>
          <w:lang w:eastAsia="zh-Hans"/>
        </w:rPr>
        <w:t>六</w:t>
      </w:r>
      <w:r>
        <w:rPr>
          <w:rFonts w:hint="eastAsia" w:ascii="黑体" w:hAnsi="黑体" w:eastAsia="黑体" w:cs="仿宋"/>
          <w:spacing w:val="-10"/>
          <w:sz w:val="32"/>
          <w:szCs w:val="32"/>
        </w:rPr>
        <w:t>条【直播平台选择合规】</w:t>
      </w:r>
      <w:r>
        <w:rPr>
          <w:rStyle w:val="23"/>
          <w:rFonts w:ascii="黑体" w:hAnsi="黑体" w:eastAsia="黑体" w:cs="仿宋"/>
          <w:spacing w:val="-10"/>
          <w:sz w:val="32"/>
          <w:szCs w:val="32"/>
        </w:rPr>
        <w:footnoteReference w:id="22"/>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w:t>
      </w:r>
      <w:r>
        <w:rPr>
          <w:rFonts w:hint="eastAsia" w:ascii="仿宋_GB2312" w:hAnsi="宋体" w:eastAsia="仿宋_GB2312" w:cs="宋体"/>
          <w:snapToGrid/>
          <w:color w:val="333333"/>
          <w:sz w:val="32"/>
          <w:szCs w:val="32"/>
          <w:lang w:eastAsia="zh-Hans"/>
        </w:rPr>
        <w:t>主播</w:t>
      </w:r>
      <w:r>
        <w:rPr>
          <w:rFonts w:hint="eastAsia" w:ascii="仿宋_GB2312" w:hAnsi="宋体" w:eastAsia="仿宋_GB2312" w:cs="宋体"/>
          <w:snapToGrid/>
          <w:color w:val="333333"/>
          <w:sz w:val="32"/>
          <w:szCs w:val="32"/>
        </w:rPr>
        <w:t>应</w:t>
      </w:r>
      <w:r>
        <w:rPr>
          <w:rFonts w:hint="eastAsia" w:ascii="仿宋_GB2312" w:hAnsi="宋体" w:eastAsia="仿宋_GB2312" w:cs="宋体"/>
          <w:snapToGrid/>
          <w:color w:val="333333"/>
          <w:sz w:val="32"/>
          <w:szCs w:val="32"/>
          <w:lang w:eastAsia="zh-Hans"/>
        </w:rPr>
        <w:t>根据实际情况</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rPr>
        <w:t>与直播平台</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lang w:eastAsia="zh-Hans"/>
        </w:rPr>
        <w:t>主播服务机构等</w:t>
      </w:r>
      <w:r>
        <w:rPr>
          <w:rFonts w:hint="eastAsia" w:ascii="仿宋_GB2312" w:hAnsi="宋体" w:eastAsia="仿宋_GB2312" w:cs="宋体"/>
          <w:snapToGrid/>
          <w:color w:val="333333"/>
          <w:sz w:val="32"/>
          <w:szCs w:val="32"/>
        </w:rPr>
        <w:t>签订书面合作协议，约定双方权利义务。</w:t>
      </w:r>
      <w:r>
        <w:rPr>
          <w:rFonts w:hint="eastAsia" w:ascii="仿宋_GB2312" w:hAnsi="宋体" w:eastAsia="仿宋_GB2312" w:cs="宋体"/>
          <w:snapToGrid/>
          <w:color w:val="333333"/>
          <w:sz w:val="32"/>
          <w:szCs w:val="32"/>
          <w:lang w:eastAsia="zh-Hans"/>
        </w:rPr>
        <w:t>电竞主播</w:t>
      </w:r>
      <w:r>
        <w:rPr>
          <w:rFonts w:hint="eastAsia" w:ascii="仿宋_GB2312" w:hAnsi="宋体" w:eastAsia="仿宋_GB2312" w:cs="宋体"/>
          <w:snapToGrid/>
          <w:color w:val="333333"/>
          <w:sz w:val="32"/>
          <w:szCs w:val="32"/>
        </w:rPr>
        <w:t>在签约过程中应重点审查</w:t>
      </w:r>
      <w:r>
        <w:rPr>
          <w:rFonts w:hint="eastAsia" w:ascii="仿宋_GB2312" w:hAnsi="宋体" w:eastAsia="仿宋_GB2312" w:cs="宋体"/>
          <w:snapToGrid/>
          <w:color w:val="333333"/>
          <w:sz w:val="32"/>
          <w:szCs w:val="32"/>
          <w:lang w:eastAsia="zh-Hans"/>
        </w:rPr>
        <w:t>直播</w:t>
      </w:r>
      <w:r>
        <w:rPr>
          <w:rFonts w:hint="eastAsia" w:ascii="仿宋_GB2312" w:hAnsi="宋体" w:eastAsia="仿宋_GB2312" w:cs="宋体"/>
          <w:snapToGrid/>
          <w:color w:val="333333"/>
          <w:sz w:val="32"/>
          <w:szCs w:val="32"/>
        </w:rPr>
        <w:t>平台经营资质和直播产品的授权许可，全面评估潜在风险。</w:t>
      </w:r>
    </w:p>
    <w:p>
      <w:pPr>
        <w:pageBreakBefore w:val="0"/>
        <w:widowControl w:val="0"/>
        <w:kinsoku/>
        <w:wordWrap/>
        <w:overflowPunct w:val="0"/>
        <w:topLinePunct w:val="0"/>
        <w:autoSpaceDE/>
        <w:autoSpaceDN/>
        <w:bidi w:val="0"/>
        <w:snapToGrid w:val="0"/>
        <w:spacing w:line="560" w:lineRule="exact"/>
        <w:ind w:left="654"/>
        <w:jc w:val="both"/>
        <w:rPr>
          <w:rFonts w:ascii="仿宋_GB2312" w:hAnsi="宋体" w:eastAsia="仿宋_GB2312" w:cs="宋体"/>
          <w:snapToGrid/>
          <w:color w:val="333333"/>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二十</w:t>
      </w:r>
      <w:r>
        <w:rPr>
          <w:rFonts w:hint="eastAsia" w:ascii="黑体" w:hAnsi="黑体" w:eastAsia="黑体" w:cs="仿宋"/>
          <w:spacing w:val="-10"/>
          <w:sz w:val="32"/>
          <w:szCs w:val="32"/>
          <w:lang w:eastAsia="zh-Hans"/>
        </w:rPr>
        <w:t>七</w:t>
      </w:r>
      <w:r>
        <w:rPr>
          <w:rFonts w:ascii="黑体" w:hAnsi="黑体" w:eastAsia="黑体" w:cs="仿宋"/>
          <w:spacing w:val="-10"/>
          <w:sz w:val="32"/>
          <w:szCs w:val="32"/>
        </w:rPr>
        <w:t>条【</w:t>
      </w:r>
      <w:r>
        <w:rPr>
          <w:rFonts w:hint="eastAsia" w:ascii="黑体" w:hAnsi="黑体" w:eastAsia="黑体" w:cs="仿宋"/>
          <w:spacing w:val="-10"/>
          <w:sz w:val="32"/>
          <w:szCs w:val="32"/>
          <w:lang w:eastAsia="zh-Hans"/>
        </w:rPr>
        <w:t>电竞主播行为规范</w:t>
      </w:r>
      <w:r>
        <w:rPr>
          <w:rFonts w:ascii="黑体" w:hAnsi="黑体" w:eastAsia="黑体" w:cs="仿宋"/>
          <w:spacing w:val="-10"/>
          <w:sz w:val="32"/>
          <w:szCs w:val="32"/>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电竞主播在直播过程中应遵守法律法规，尊重社会公序良俗，营造健康向上、和谐文明的直播氛围。</w:t>
      </w:r>
      <w:r>
        <w:rPr>
          <w:rStyle w:val="23"/>
          <w:rFonts w:ascii="仿宋_GB2312" w:hAnsi="宋体" w:eastAsia="仿宋_GB2312" w:cs="宋体"/>
          <w:snapToGrid/>
          <w:color w:val="333333"/>
          <w:sz w:val="32"/>
          <w:szCs w:val="32"/>
        </w:rPr>
        <w:footnoteReference w:id="23"/>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rPr>
        <w:t>电竞</w:t>
      </w:r>
      <w:r>
        <w:rPr>
          <w:rFonts w:hint="eastAsia" w:ascii="仿宋_GB2312" w:hAnsi="宋体" w:eastAsia="仿宋_GB2312" w:cs="宋体"/>
          <w:snapToGrid/>
          <w:color w:val="333333"/>
          <w:sz w:val="32"/>
          <w:szCs w:val="32"/>
          <w:lang w:eastAsia="zh-Hans"/>
        </w:rPr>
        <w:t>选手从事电竞直播行为</w:t>
      </w:r>
      <w:r>
        <w:rPr>
          <w:rFonts w:hint="eastAsia" w:ascii="仿宋_GB2312" w:hAnsi="宋体" w:eastAsia="仿宋_GB2312" w:cs="宋体"/>
          <w:snapToGrid/>
          <w:color w:val="333333"/>
          <w:sz w:val="32"/>
          <w:szCs w:val="32"/>
        </w:rPr>
        <w:t>的，须年满十八周岁，具有完全民事行为能力。</w:t>
      </w:r>
      <w:r>
        <w:rPr>
          <w:rStyle w:val="23"/>
          <w:rFonts w:ascii="仿宋_GB2312" w:hAnsi="宋体" w:eastAsia="仿宋_GB2312" w:cs="宋体"/>
          <w:snapToGrid/>
          <w:color w:val="333333"/>
          <w:sz w:val="32"/>
          <w:szCs w:val="32"/>
        </w:rPr>
        <w:footnoteReference w:id="24"/>
      </w:r>
      <w:r>
        <w:rPr>
          <w:rFonts w:hint="eastAsia" w:ascii="仿宋_GB2312" w:hAnsi="宋体" w:eastAsia="仿宋_GB2312" w:cs="宋体"/>
          <w:snapToGrid/>
          <w:color w:val="333333"/>
          <w:sz w:val="32"/>
          <w:szCs w:val="32"/>
          <w:lang w:eastAsia="zh-Hans"/>
        </w:rPr>
        <w:t>非电竞选手从事电竞直播行为的</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须年满十六周岁</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十六周岁以上但不满十八周岁的自然人申请成为主播的</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应经过监护人同意</w:t>
      </w:r>
      <w:r>
        <w:rPr>
          <w:rFonts w:ascii="仿宋_GB2312" w:hAnsi="宋体" w:eastAsia="仿宋_GB2312" w:cs="宋体"/>
          <w:snapToGrid/>
          <w:color w:val="333333"/>
          <w:sz w:val="32"/>
          <w:szCs w:val="32"/>
          <w:lang w:eastAsia="zh-Hans"/>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lang w:eastAsia="zh-Hans"/>
        </w:rPr>
        <w:t>电竞主播</w:t>
      </w:r>
      <w:r>
        <w:rPr>
          <w:rFonts w:ascii="仿宋_GB2312" w:hAnsi="宋体" w:eastAsia="仿宋_GB2312" w:cs="宋体"/>
          <w:snapToGrid/>
          <w:color w:val="333333"/>
          <w:sz w:val="32"/>
          <w:szCs w:val="32"/>
          <w:lang w:eastAsia="zh-Hans" w:bidi="ar"/>
        </w:rPr>
        <w:t>在直播营销中应坚持社会主义核心价值观，遵守社会公德</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电竞</w:t>
      </w:r>
      <w:r>
        <w:rPr>
          <w:rFonts w:ascii="仿宋_GB2312" w:hAnsi="宋体" w:eastAsia="仿宋_GB2312" w:cs="宋体"/>
          <w:snapToGrid/>
          <w:color w:val="333333"/>
          <w:sz w:val="32"/>
          <w:szCs w:val="32"/>
          <w:lang w:eastAsia="zh-Hans" w:bidi="ar"/>
        </w:rPr>
        <w:t>主播应</w:t>
      </w:r>
      <w:r>
        <w:rPr>
          <w:rFonts w:hint="eastAsia" w:ascii="仿宋_GB2312" w:hAnsi="宋体" w:eastAsia="仿宋_GB2312" w:cs="宋体"/>
          <w:snapToGrid/>
          <w:color w:val="333333"/>
          <w:sz w:val="32"/>
          <w:szCs w:val="32"/>
          <w:lang w:val="en-US" w:eastAsia="zh-CN" w:bidi="ar"/>
        </w:rPr>
        <w:t>具备</w:t>
      </w:r>
      <w:r>
        <w:rPr>
          <w:rFonts w:ascii="仿宋_GB2312" w:hAnsi="宋体" w:eastAsia="仿宋_GB2312" w:cs="宋体"/>
          <w:snapToGrid/>
          <w:color w:val="333333"/>
          <w:sz w:val="32"/>
          <w:szCs w:val="32"/>
          <w:lang w:eastAsia="zh-Hans" w:bidi="ar"/>
        </w:rPr>
        <w:t>网络直播营销相关知识，掌握</w:t>
      </w:r>
      <w:r>
        <w:rPr>
          <w:rFonts w:hint="eastAsia" w:ascii="仿宋_GB2312" w:hAnsi="宋体" w:eastAsia="仿宋_GB2312" w:cs="宋体"/>
          <w:snapToGrid/>
          <w:color w:val="333333"/>
          <w:sz w:val="32"/>
          <w:szCs w:val="32"/>
          <w:lang w:val="en-US" w:eastAsia="zh-CN" w:bidi="ar"/>
        </w:rPr>
        <w:t>基本</w:t>
      </w:r>
      <w:r>
        <w:rPr>
          <w:rFonts w:ascii="仿宋_GB2312" w:hAnsi="宋体" w:eastAsia="仿宋_GB2312" w:cs="宋体"/>
          <w:snapToGrid/>
          <w:color w:val="333333"/>
          <w:sz w:val="32"/>
          <w:szCs w:val="32"/>
          <w:lang w:eastAsia="zh-Hans" w:bidi="ar"/>
        </w:rPr>
        <w:t>专业技能，</w:t>
      </w:r>
      <w:r>
        <w:rPr>
          <w:rFonts w:hint="eastAsia" w:ascii="仿宋_GB2312" w:hAnsi="宋体" w:eastAsia="仿宋_GB2312" w:cs="宋体"/>
          <w:snapToGrid/>
          <w:color w:val="333333"/>
          <w:sz w:val="32"/>
          <w:szCs w:val="32"/>
          <w:lang w:val="en-US" w:eastAsia="zh-CN" w:bidi="ar"/>
        </w:rPr>
        <w:t>直播中</w:t>
      </w:r>
      <w:r>
        <w:rPr>
          <w:rFonts w:hint="eastAsia" w:ascii="仿宋_GB2312" w:hAnsi="宋体" w:eastAsia="仿宋_GB2312" w:cs="宋体"/>
          <w:snapToGrid/>
          <w:color w:val="333333"/>
          <w:sz w:val="32"/>
          <w:szCs w:val="32"/>
        </w:rPr>
        <w:t>着装</w:t>
      </w:r>
      <w:r>
        <w:rPr>
          <w:rFonts w:hint="eastAsia" w:ascii="仿宋_GB2312" w:hAnsi="宋体" w:eastAsia="仿宋_GB2312" w:cs="宋体"/>
          <w:snapToGrid/>
          <w:color w:val="333333"/>
          <w:sz w:val="32"/>
          <w:szCs w:val="32"/>
          <w:lang w:val="en-US" w:eastAsia="zh-CN"/>
        </w:rPr>
        <w:t>应</w:t>
      </w:r>
      <w:r>
        <w:rPr>
          <w:rFonts w:hint="eastAsia" w:ascii="仿宋_GB2312" w:hAnsi="宋体" w:eastAsia="仿宋_GB2312" w:cs="宋体"/>
          <w:snapToGrid/>
          <w:color w:val="333333"/>
          <w:sz w:val="32"/>
          <w:szCs w:val="32"/>
        </w:rPr>
        <w:t>符合法律法规、平台管理规定。</w:t>
      </w:r>
      <w:r>
        <w:rPr>
          <w:rStyle w:val="23"/>
          <w:rFonts w:ascii="仿宋_GB2312" w:hAnsi="宋体" w:eastAsia="仿宋_GB2312" w:cs="宋体"/>
          <w:snapToGrid/>
          <w:color w:val="333333"/>
          <w:sz w:val="32"/>
          <w:szCs w:val="32"/>
        </w:rPr>
        <w:footnoteReference w:id="25"/>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电竞主播在直播过程中所使用或采用的产品或服务，应避免与赞助商所赞助的产品、</w:t>
      </w:r>
      <w:r>
        <w:rPr>
          <w:rFonts w:hint="eastAsia" w:ascii="仿宋_GB2312" w:hAnsi="宋体" w:eastAsia="仿宋_GB2312" w:cs="宋体"/>
          <w:snapToGrid/>
          <w:color w:val="333333"/>
          <w:sz w:val="32"/>
          <w:szCs w:val="32"/>
          <w:lang w:val="en-US" w:eastAsia="zh-CN"/>
        </w:rPr>
        <w:t>服务</w:t>
      </w:r>
      <w:r>
        <w:rPr>
          <w:rFonts w:hint="eastAsia" w:ascii="仿宋_GB2312" w:hAnsi="宋体" w:eastAsia="仿宋_GB2312" w:cs="宋体"/>
          <w:snapToGrid/>
          <w:color w:val="333333"/>
          <w:sz w:val="32"/>
          <w:szCs w:val="32"/>
        </w:rPr>
        <w:t>领域存在重叠。</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第二十</w:t>
      </w:r>
      <w:r>
        <w:rPr>
          <w:rFonts w:hint="eastAsia" w:ascii="黑体" w:hAnsi="黑体" w:eastAsia="黑体" w:cs="仿宋"/>
          <w:spacing w:val="-10"/>
          <w:sz w:val="32"/>
          <w:szCs w:val="32"/>
          <w:lang w:eastAsia="zh-Hans"/>
        </w:rPr>
        <w:t>八</w:t>
      </w:r>
      <w:r>
        <w:rPr>
          <w:rFonts w:hint="eastAsia" w:ascii="黑体" w:hAnsi="黑体" w:eastAsia="黑体" w:cs="仿宋"/>
          <w:spacing w:val="-10"/>
          <w:sz w:val="32"/>
          <w:szCs w:val="32"/>
        </w:rPr>
        <w:t>条【直播</w:t>
      </w:r>
      <w:r>
        <w:rPr>
          <w:rFonts w:hint="eastAsia" w:ascii="黑体" w:hAnsi="黑体" w:eastAsia="黑体" w:cs="仿宋"/>
          <w:spacing w:val="-10"/>
          <w:sz w:val="32"/>
          <w:szCs w:val="32"/>
          <w:lang w:eastAsia="zh-Hans"/>
        </w:rPr>
        <w:t>业务</w:t>
      </w:r>
      <w:r>
        <w:rPr>
          <w:rFonts w:hint="eastAsia" w:ascii="黑体" w:hAnsi="黑体" w:eastAsia="黑体" w:cs="仿宋"/>
          <w:spacing w:val="-10"/>
          <w:sz w:val="32"/>
          <w:szCs w:val="32"/>
        </w:rPr>
        <w:t>管理规范】</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w:t>
      </w:r>
      <w:r>
        <w:rPr>
          <w:rFonts w:hint="eastAsia" w:ascii="仿宋_GB2312" w:hAnsi="宋体" w:eastAsia="仿宋_GB2312" w:cs="宋体"/>
          <w:snapToGrid/>
          <w:color w:val="333333"/>
          <w:sz w:val="32"/>
          <w:szCs w:val="32"/>
          <w:lang w:eastAsia="zh-Hans"/>
        </w:rPr>
        <w:t>开展直播业务</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val="en-US" w:eastAsia="zh-CN"/>
        </w:rPr>
        <w:t>应加强对</w:t>
      </w:r>
      <w:r>
        <w:rPr>
          <w:rFonts w:hint="eastAsia" w:ascii="仿宋_GB2312" w:hAnsi="宋体" w:eastAsia="仿宋_GB2312" w:cs="宋体"/>
          <w:snapToGrid/>
          <w:color w:val="333333"/>
          <w:sz w:val="32"/>
          <w:szCs w:val="32"/>
        </w:rPr>
        <w:t>电竞主播</w:t>
      </w:r>
      <w:r>
        <w:rPr>
          <w:rFonts w:hint="eastAsia" w:ascii="仿宋_GB2312" w:hAnsi="宋体" w:eastAsia="仿宋_GB2312" w:cs="宋体"/>
          <w:snapToGrid/>
          <w:color w:val="333333"/>
          <w:sz w:val="32"/>
          <w:szCs w:val="32"/>
          <w:lang w:val="en-US" w:eastAsia="zh-CN"/>
        </w:rPr>
        <w:t>的</w:t>
      </w:r>
      <w:r>
        <w:rPr>
          <w:rFonts w:hint="eastAsia" w:ascii="仿宋_GB2312" w:hAnsi="宋体" w:eastAsia="仿宋_GB2312" w:cs="宋体"/>
          <w:snapToGrid/>
          <w:color w:val="333333"/>
          <w:sz w:val="32"/>
          <w:szCs w:val="32"/>
        </w:rPr>
        <w:t>管理和规范，有效降低</w:t>
      </w:r>
      <w:r>
        <w:rPr>
          <w:rFonts w:hint="eastAsia" w:ascii="仿宋_GB2312" w:hAnsi="宋体" w:eastAsia="仿宋_GB2312" w:cs="宋体"/>
          <w:snapToGrid/>
          <w:color w:val="333333"/>
          <w:sz w:val="32"/>
          <w:szCs w:val="32"/>
          <w:lang w:val="en-US" w:eastAsia="zh-CN"/>
        </w:rPr>
        <w:t>直播</w:t>
      </w:r>
      <w:r>
        <w:rPr>
          <w:rFonts w:hint="eastAsia" w:ascii="仿宋_GB2312" w:hAnsi="宋体" w:eastAsia="仿宋_GB2312" w:cs="宋体"/>
          <w:snapToGrid/>
          <w:color w:val="333333"/>
          <w:sz w:val="32"/>
          <w:szCs w:val="32"/>
        </w:rPr>
        <w:t>违规行为的不良影响，防范法律风险。</w:t>
      </w:r>
    </w:p>
    <w:p>
      <w:pPr>
        <w:pageBreakBefore w:val="0"/>
        <w:widowControl w:val="0"/>
        <w:kinsoku/>
        <w:wordWrap/>
        <w:overflowPunct w:val="0"/>
        <w:topLinePunct w:val="0"/>
        <w:autoSpaceDE/>
        <w:autoSpaceDN/>
        <w:bidi w:val="0"/>
        <w:snapToGrid w:val="0"/>
        <w:spacing w:line="560" w:lineRule="exact"/>
        <w:ind w:firstLine="640" w:firstLineChars="200"/>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电竞企业在组织电竞选手进行直播过程中，应对直播账户、直播商品等</w:t>
      </w:r>
      <w:r>
        <w:rPr>
          <w:rFonts w:hint="eastAsia" w:ascii="仿宋_GB2312" w:hAnsi="宋体" w:eastAsia="仿宋_GB2312" w:cs="宋体"/>
          <w:snapToGrid/>
          <w:color w:val="333333"/>
          <w:sz w:val="32"/>
          <w:szCs w:val="32"/>
          <w:lang w:val="en-US" w:eastAsia="zh-CN"/>
        </w:rPr>
        <w:t>进行</w:t>
      </w:r>
      <w:r>
        <w:rPr>
          <w:rFonts w:hint="eastAsia" w:ascii="仿宋_GB2312" w:hAnsi="宋体" w:eastAsia="仿宋_GB2312" w:cs="宋体"/>
          <w:snapToGrid/>
          <w:color w:val="333333"/>
          <w:sz w:val="32"/>
          <w:szCs w:val="32"/>
        </w:rPr>
        <w:t>管理和规范。</w:t>
      </w:r>
    </w:p>
    <w:p>
      <w:pPr>
        <w:pageBreakBefore w:val="0"/>
        <w:widowControl w:val="0"/>
        <w:kinsoku/>
        <w:wordWrap/>
        <w:overflowPunct w:val="0"/>
        <w:topLinePunct w:val="0"/>
        <w:autoSpaceDE/>
        <w:autoSpaceDN/>
        <w:bidi w:val="0"/>
        <w:snapToGrid w:val="0"/>
        <w:spacing w:line="560" w:lineRule="exact"/>
        <w:ind w:firstLine="640" w:firstLineChars="200"/>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（一）电竞企业与电竞主播应对直播账户的所有权及利益分配等进行明确约定。</w:t>
      </w:r>
    </w:p>
    <w:p>
      <w:pPr>
        <w:pageBreakBefore w:val="0"/>
        <w:widowControl w:val="0"/>
        <w:kinsoku/>
        <w:wordWrap/>
        <w:overflowPunct w:val="0"/>
        <w:topLinePunct w:val="0"/>
        <w:autoSpaceDE/>
        <w:autoSpaceDN/>
        <w:bidi w:val="0"/>
        <w:snapToGrid w:val="0"/>
        <w:spacing w:line="560" w:lineRule="exact"/>
        <w:ind w:firstLine="640" w:firstLineChars="200"/>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（二）电竞企业或电竞主播通过直播行为所取得的全部收益，应依法办理税务登记</w:t>
      </w:r>
      <w:r>
        <w:rPr>
          <w:rFonts w:hint="eastAsia" w:ascii="仿宋_GB2312" w:hAnsi="宋体" w:eastAsia="仿宋_GB2312" w:cs="宋体"/>
          <w:snapToGrid/>
          <w:color w:val="333333"/>
          <w:sz w:val="32"/>
          <w:szCs w:val="32"/>
          <w:lang w:eastAsia="zh-CN"/>
        </w:rPr>
        <w:t>，</w:t>
      </w:r>
      <w:r>
        <w:rPr>
          <w:rFonts w:hint="eastAsia" w:ascii="仿宋_GB2312" w:hAnsi="宋体" w:eastAsia="仿宋_GB2312" w:cs="宋体"/>
          <w:snapToGrid/>
          <w:color w:val="333333"/>
          <w:sz w:val="32"/>
          <w:szCs w:val="32"/>
        </w:rPr>
        <w:t>并依法履行纳税义务。</w:t>
      </w:r>
      <w:r>
        <w:rPr>
          <w:rStyle w:val="23"/>
          <w:rFonts w:ascii="仿宋_GB2312" w:hAnsi="宋体" w:eastAsia="仿宋_GB2312" w:cs="宋体"/>
          <w:snapToGrid/>
          <w:color w:val="333333"/>
          <w:sz w:val="32"/>
          <w:szCs w:val="32"/>
        </w:rPr>
        <w:footnoteReference w:id="26"/>
      </w:r>
    </w:p>
    <w:p>
      <w:pPr>
        <w:pageBreakBefore w:val="0"/>
        <w:widowControl w:val="0"/>
        <w:kinsoku/>
        <w:wordWrap/>
        <w:overflowPunct w:val="0"/>
        <w:topLinePunct w:val="0"/>
        <w:autoSpaceDE/>
        <w:autoSpaceDN/>
        <w:bidi w:val="0"/>
        <w:snapToGrid w:val="0"/>
        <w:spacing w:line="560" w:lineRule="exact"/>
        <w:ind w:firstLine="640" w:firstLineChars="200"/>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（三）电竞主播在直播过程中</w:t>
      </w:r>
      <w:r>
        <w:rPr>
          <w:rFonts w:hint="eastAsia" w:ascii="仿宋_GB2312" w:hAnsi="宋体" w:eastAsia="仿宋_GB2312" w:cs="宋体"/>
          <w:snapToGrid/>
          <w:color w:val="333333"/>
          <w:sz w:val="32"/>
          <w:szCs w:val="32"/>
          <w:lang w:val="en-US" w:eastAsia="zh-CN"/>
        </w:rPr>
        <w:t>出售</w:t>
      </w:r>
      <w:r>
        <w:rPr>
          <w:rFonts w:hint="eastAsia" w:ascii="仿宋_GB2312" w:hAnsi="宋体" w:eastAsia="仿宋_GB2312" w:cs="宋体"/>
          <w:snapToGrid/>
          <w:color w:val="333333"/>
          <w:sz w:val="32"/>
          <w:szCs w:val="32"/>
        </w:rPr>
        <w:t>商品的，应做好商品</w:t>
      </w:r>
      <w:r>
        <w:rPr>
          <w:rFonts w:hint="eastAsia" w:ascii="仿宋_GB2312" w:hAnsi="宋体" w:eastAsia="仿宋_GB2312" w:cs="宋体"/>
          <w:snapToGrid/>
          <w:color w:val="333333"/>
          <w:sz w:val="32"/>
          <w:szCs w:val="32"/>
          <w:lang w:val="en-US" w:eastAsia="zh-CN"/>
        </w:rPr>
        <w:t>的</w:t>
      </w:r>
      <w:r>
        <w:rPr>
          <w:rFonts w:hint="eastAsia" w:ascii="仿宋_GB2312" w:hAnsi="宋体" w:eastAsia="仿宋_GB2312" w:cs="宋体"/>
          <w:snapToGrid/>
          <w:color w:val="333333"/>
          <w:sz w:val="32"/>
          <w:szCs w:val="32"/>
        </w:rPr>
        <w:t>质量</w:t>
      </w:r>
      <w:r>
        <w:rPr>
          <w:rFonts w:hint="eastAsia" w:ascii="仿宋_GB2312" w:hAnsi="宋体" w:eastAsia="仿宋_GB2312" w:cs="宋体"/>
          <w:snapToGrid/>
          <w:color w:val="333333"/>
          <w:sz w:val="32"/>
          <w:szCs w:val="32"/>
          <w:lang w:val="en-US" w:eastAsia="zh-CN"/>
        </w:rPr>
        <w:t>把控</w:t>
      </w:r>
      <w:r>
        <w:rPr>
          <w:rFonts w:hint="eastAsia" w:ascii="仿宋_GB2312" w:hAnsi="宋体" w:eastAsia="仿宋_GB2312" w:cs="宋体"/>
          <w:snapToGrid/>
          <w:color w:val="333333"/>
          <w:sz w:val="32"/>
          <w:szCs w:val="32"/>
        </w:rPr>
        <w:t>和管理</w:t>
      </w:r>
      <w:r>
        <w:rPr>
          <w:rFonts w:hint="eastAsia" w:ascii="仿宋_GB2312" w:hAnsi="宋体" w:eastAsia="仿宋_GB2312" w:cs="宋体"/>
          <w:snapToGrid/>
          <w:color w:val="333333"/>
          <w:sz w:val="32"/>
          <w:szCs w:val="32"/>
          <w:lang w:val="en-US" w:eastAsia="zh-CN"/>
        </w:rPr>
        <w:t>工作</w:t>
      </w:r>
      <w:r>
        <w:rPr>
          <w:rFonts w:hint="eastAsia" w:ascii="仿宋_GB2312" w:hAnsi="宋体" w:eastAsia="仿宋_GB2312" w:cs="宋体"/>
          <w:snapToGrid/>
          <w:color w:val="333333"/>
          <w:sz w:val="32"/>
          <w:szCs w:val="32"/>
        </w:rPr>
        <w:t>，强化售后</w:t>
      </w:r>
      <w:r>
        <w:rPr>
          <w:rFonts w:hint="eastAsia" w:ascii="仿宋_GB2312" w:hAnsi="宋体" w:eastAsia="仿宋_GB2312" w:cs="宋体"/>
          <w:snapToGrid/>
          <w:color w:val="333333"/>
          <w:sz w:val="32"/>
          <w:szCs w:val="32"/>
          <w:lang w:val="en-US" w:eastAsia="zh-CN"/>
        </w:rPr>
        <w:t>服务和监督</w:t>
      </w:r>
      <w:r>
        <w:rPr>
          <w:rFonts w:hint="eastAsia" w:ascii="仿宋_GB2312" w:hAnsi="宋体" w:eastAsia="仿宋_GB2312" w:cs="宋体"/>
          <w:snapToGrid/>
          <w:color w:val="333333"/>
          <w:sz w:val="32"/>
          <w:szCs w:val="32"/>
        </w:rPr>
        <w:t>。</w:t>
      </w:r>
      <w:r>
        <w:rPr>
          <w:rStyle w:val="23"/>
          <w:rFonts w:ascii="仿宋_GB2312" w:hAnsi="宋体" w:eastAsia="仿宋_GB2312" w:cs="宋体"/>
          <w:snapToGrid/>
          <w:color w:val="333333"/>
          <w:sz w:val="32"/>
          <w:szCs w:val="32"/>
        </w:rPr>
        <w:footnoteReference w:id="27"/>
      </w:r>
    </w:p>
    <w:p>
      <w:pPr>
        <w:pageBreakBefore w:val="0"/>
        <w:widowControl w:val="0"/>
        <w:kinsoku/>
        <w:wordWrap/>
        <w:overflowPunct w:val="0"/>
        <w:topLinePunct w:val="0"/>
        <w:autoSpaceDE/>
        <w:autoSpaceDN/>
        <w:bidi w:val="0"/>
        <w:snapToGrid w:val="0"/>
        <w:spacing w:line="560" w:lineRule="exact"/>
        <w:ind w:firstLine="640" w:firstLineChars="200"/>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（四）电竞主播及其他直播人员以自己的名义或形象对商品、服务作推荐、证明，构成广告代言人的，应履行并承担广告代言人的法律责任和义务。</w:t>
      </w:r>
      <w:r>
        <w:rPr>
          <w:rStyle w:val="23"/>
          <w:rFonts w:ascii="仿宋_GB2312" w:hAnsi="宋体" w:eastAsia="仿宋_GB2312" w:cs="宋体"/>
          <w:snapToGrid/>
          <w:color w:val="333333"/>
          <w:sz w:val="32"/>
          <w:szCs w:val="32"/>
        </w:rPr>
        <w:footnoteReference w:id="28"/>
      </w:r>
    </w:p>
    <w:p>
      <w:pPr>
        <w:pageBreakBefore w:val="0"/>
        <w:widowControl w:val="0"/>
        <w:kinsoku/>
        <w:wordWrap/>
        <w:overflowPunct w:val="0"/>
        <w:topLinePunct w:val="0"/>
        <w:autoSpaceDE/>
        <w:autoSpaceDN/>
        <w:bidi w:val="0"/>
        <w:snapToGrid w:val="0"/>
        <w:spacing w:line="560" w:lineRule="exact"/>
        <w:jc w:val="both"/>
        <w:rPr>
          <w:rFonts w:eastAsia="等线"/>
        </w:rPr>
      </w:pPr>
    </w:p>
    <w:p>
      <w:pPr>
        <w:keepNext/>
        <w:keepLines/>
        <w:pageBreakBefore w:val="0"/>
        <w:wordWrap/>
        <w:topLinePunct w:val="0"/>
        <w:bidi w:val="0"/>
        <w:snapToGrid w:val="0"/>
        <w:spacing w:line="560" w:lineRule="exact"/>
        <w:jc w:val="center"/>
        <w:outlineLvl w:val="2"/>
        <w:rPr>
          <w:rFonts w:eastAsia="楷体_GB2312"/>
          <w:bCs/>
          <w:snapToGrid/>
          <w:sz w:val="32"/>
          <w:szCs w:val="32"/>
          <w:lang w:eastAsia="zh-Hans"/>
        </w:rPr>
      </w:pPr>
      <w:bookmarkStart w:id="7" w:name="_Toc149119731"/>
      <w:r>
        <w:rPr>
          <w:rFonts w:eastAsia="楷体_GB2312"/>
          <w:bCs/>
          <w:snapToGrid/>
          <w:sz w:val="32"/>
          <w:szCs w:val="32"/>
        </w:rPr>
        <w:t>第</w:t>
      </w:r>
      <w:r>
        <w:rPr>
          <w:rFonts w:hint="eastAsia" w:eastAsia="楷体_GB2312"/>
          <w:bCs/>
          <w:snapToGrid/>
          <w:sz w:val="32"/>
          <w:szCs w:val="32"/>
        </w:rPr>
        <w:t>五</w:t>
      </w:r>
      <w:r>
        <w:rPr>
          <w:rFonts w:eastAsia="楷体_GB2312"/>
          <w:bCs/>
          <w:snapToGrid/>
          <w:sz w:val="32"/>
          <w:szCs w:val="32"/>
        </w:rPr>
        <w:t xml:space="preserve">节 </w:t>
      </w:r>
      <w:r>
        <w:rPr>
          <w:rFonts w:hint="eastAsia" w:eastAsia="楷体_GB2312"/>
          <w:bCs/>
          <w:snapToGrid/>
          <w:sz w:val="32"/>
          <w:szCs w:val="32"/>
        </w:rPr>
        <w:t>电竞企业</w:t>
      </w:r>
      <w:r>
        <w:rPr>
          <w:rFonts w:hint="eastAsia" w:eastAsia="楷体_GB2312"/>
          <w:bCs/>
          <w:snapToGrid/>
          <w:sz w:val="32"/>
          <w:szCs w:val="32"/>
          <w:lang w:eastAsia="zh-Hans"/>
        </w:rPr>
        <w:t>合规治理</w:t>
      </w:r>
      <w:bookmarkEnd w:id="7"/>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二十九</w:t>
      </w:r>
      <w:r>
        <w:rPr>
          <w:rFonts w:ascii="黑体" w:hAnsi="黑体" w:eastAsia="黑体" w:cs="仿宋"/>
          <w:spacing w:val="-10"/>
          <w:sz w:val="32"/>
          <w:szCs w:val="32"/>
        </w:rPr>
        <w:t>条【</w:t>
      </w:r>
      <w:r>
        <w:rPr>
          <w:rFonts w:hint="eastAsia" w:ascii="黑体" w:hAnsi="黑体" w:eastAsia="黑体" w:cs="仿宋"/>
          <w:spacing w:val="-10"/>
          <w:sz w:val="32"/>
          <w:szCs w:val="32"/>
          <w:lang w:eastAsia="zh-Hans"/>
        </w:rPr>
        <w:t>合法性</w:t>
      </w:r>
      <w:r>
        <w:rPr>
          <w:rFonts w:ascii="黑体" w:hAnsi="黑体" w:eastAsia="黑体" w:cs="仿宋"/>
          <w:spacing w:val="-10"/>
          <w:sz w:val="32"/>
          <w:szCs w:val="32"/>
        </w:rPr>
        <w:t>原则】</w:t>
      </w:r>
    </w:p>
    <w:p>
      <w:pPr>
        <w:pageBreakBefore w:val="0"/>
        <w:widowControl w:val="0"/>
        <w:kinsoku/>
        <w:wordWrap/>
        <w:overflowPunct w:val="0"/>
        <w:topLinePunct w:val="0"/>
        <w:autoSpaceDE/>
        <w:autoSpaceDN/>
        <w:bidi w:val="0"/>
        <w:snapToGrid w:val="0"/>
        <w:spacing w:line="560" w:lineRule="exact"/>
        <w:ind w:right="16"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lang w:eastAsia="zh-Hans"/>
        </w:rPr>
        <w:t>电竞企业</w:t>
      </w:r>
      <w:r>
        <w:rPr>
          <w:rFonts w:ascii="仿宋_GB2312" w:hAnsi="宋体" w:eastAsia="仿宋_GB2312" w:cs="宋体"/>
          <w:snapToGrid/>
          <w:color w:val="333333"/>
          <w:sz w:val="32"/>
          <w:szCs w:val="32"/>
        </w:rPr>
        <w:t>合规工作</w:t>
      </w:r>
      <w:r>
        <w:rPr>
          <w:rFonts w:hint="eastAsia" w:ascii="仿宋_GB2312" w:hAnsi="宋体" w:eastAsia="仿宋_GB2312" w:cs="宋体"/>
          <w:snapToGrid/>
          <w:color w:val="333333"/>
          <w:sz w:val="32"/>
          <w:szCs w:val="32"/>
        </w:rPr>
        <w:t>应</w:t>
      </w:r>
      <w:r>
        <w:rPr>
          <w:rFonts w:ascii="仿宋_GB2312" w:hAnsi="宋体" w:eastAsia="仿宋_GB2312" w:cs="宋体"/>
          <w:snapToGrid/>
          <w:color w:val="333333"/>
          <w:sz w:val="32"/>
          <w:szCs w:val="32"/>
        </w:rPr>
        <w:t>遵循法治原则和法律规定</w:t>
      </w:r>
      <w:r>
        <w:rPr>
          <w:rFonts w:hint="eastAsia" w:ascii="仿宋_GB2312" w:hAnsi="宋体" w:eastAsia="仿宋_GB2312" w:cs="宋体"/>
          <w:snapToGrid/>
          <w:color w:val="333333"/>
          <w:sz w:val="32"/>
          <w:szCs w:val="32"/>
        </w:rPr>
        <w:t>，遵守国家体育总局、国家新闻出版署、浙江省体育局、杭州市电子竞技协会等部门制定的《全国电子竞技竞赛管理办法》《电子竞技赛事管理暂行规定》《浙江省体育赛事活动社会风险评估工作实施细则（试行）》《杭州市电子体育赛事活动管理办法（试行）》等相关规定，维护国家利益和社会公共利益。</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lang w:eastAsia="zh-Hans"/>
        </w:rPr>
        <w:t>三十</w:t>
      </w:r>
      <w:r>
        <w:rPr>
          <w:rFonts w:ascii="黑体" w:hAnsi="黑体" w:eastAsia="黑体" w:cs="仿宋"/>
          <w:spacing w:val="-10"/>
          <w:sz w:val="32"/>
          <w:szCs w:val="32"/>
        </w:rPr>
        <w:t>条【</w:t>
      </w:r>
      <w:r>
        <w:rPr>
          <w:rFonts w:hint="eastAsia" w:ascii="黑体" w:hAnsi="黑体" w:eastAsia="黑体" w:cs="仿宋"/>
          <w:spacing w:val="-10"/>
          <w:sz w:val="32"/>
          <w:szCs w:val="32"/>
          <w:lang w:eastAsia="zh-Hans"/>
        </w:rPr>
        <w:t>独立性</w:t>
      </w:r>
      <w:r>
        <w:rPr>
          <w:rFonts w:ascii="黑体" w:hAnsi="黑体" w:eastAsia="黑体" w:cs="仿宋"/>
          <w:spacing w:val="-10"/>
          <w:sz w:val="32"/>
          <w:szCs w:val="32"/>
        </w:rPr>
        <w:t>原则】</w:t>
      </w:r>
    </w:p>
    <w:p>
      <w:pPr>
        <w:pageBreakBefore w:val="0"/>
        <w:widowControl w:val="0"/>
        <w:kinsoku/>
        <w:wordWrap/>
        <w:overflowPunct w:val="0"/>
        <w:topLinePunct w:val="0"/>
        <w:autoSpaceDE/>
        <w:autoSpaceDN/>
        <w:bidi w:val="0"/>
        <w:snapToGrid w:val="0"/>
        <w:spacing w:line="560" w:lineRule="exact"/>
        <w:ind w:right="16"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lang w:eastAsia="zh-Hans"/>
        </w:rPr>
        <w:t>电竞企业</w:t>
      </w:r>
      <w:r>
        <w:rPr>
          <w:rFonts w:hint="eastAsia" w:ascii="仿宋_GB2312" w:hAnsi="宋体" w:eastAsia="仿宋_GB2312" w:cs="宋体"/>
          <w:snapToGrid/>
          <w:color w:val="333333"/>
          <w:sz w:val="32"/>
          <w:szCs w:val="32"/>
        </w:rPr>
        <w:t>合规工作应遵循独立性原则。</w:t>
      </w:r>
      <w:r>
        <w:rPr>
          <w:rFonts w:hint="eastAsia" w:ascii="仿宋_GB2312" w:hAnsi="宋体" w:eastAsia="仿宋_GB2312" w:cs="宋体"/>
          <w:snapToGrid/>
          <w:color w:val="333333"/>
          <w:sz w:val="32"/>
          <w:szCs w:val="32"/>
          <w:lang w:eastAsia="zh-Hans"/>
        </w:rPr>
        <w:t>电竞</w:t>
      </w:r>
      <w:r>
        <w:rPr>
          <w:rFonts w:hint="eastAsia" w:ascii="仿宋_GB2312" w:hAnsi="宋体" w:eastAsia="仿宋_GB2312" w:cs="宋体"/>
          <w:snapToGrid/>
          <w:color w:val="333333"/>
          <w:sz w:val="32"/>
          <w:szCs w:val="32"/>
        </w:rPr>
        <w:t>企业内部应设置专门的</w:t>
      </w:r>
      <w:r>
        <w:rPr>
          <w:rFonts w:ascii="仿宋_GB2312" w:hAnsi="宋体" w:eastAsia="仿宋_GB2312" w:cs="宋体"/>
          <w:snapToGrid/>
          <w:color w:val="333333"/>
          <w:sz w:val="32"/>
          <w:szCs w:val="32"/>
        </w:rPr>
        <w:t>合规管理部门</w:t>
      </w:r>
      <w:r>
        <w:rPr>
          <w:rFonts w:hint="eastAsia" w:ascii="仿宋_GB2312" w:hAnsi="宋体" w:eastAsia="仿宋_GB2312" w:cs="宋体"/>
          <w:snapToGrid/>
          <w:color w:val="333333"/>
          <w:sz w:val="32"/>
          <w:szCs w:val="32"/>
        </w:rPr>
        <w:t>或合规人员，合规管理部门或合规人员应为企业制定全面明确的合规标准，负责实施有效的合规管理流程，其履职行为</w:t>
      </w:r>
      <w:r>
        <w:rPr>
          <w:rFonts w:ascii="仿宋_GB2312" w:hAnsi="宋体" w:eastAsia="仿宋_GB2312" w:cs="宋体"/>
          <w:snapToGrid/>
          <w:color w:val="333333"/>
          <w:sz w:val="32"/>
          <w:szCs w:val="32"/>
        </w:rPr>
        <w:t>不受其他部门和人员的</w:t>
      </w:r>
      <w:r>
        <w:rPr>
          <w:rFonts w:hint="eastAsia" w:ascii="仿宋_GB2312" w:hAnsi="宋体" w:eastAsia="仿宋_GB2312" w:cs="宋体"/>
          <w:snapToGrid/>
          <w:color w:val="333333"/>
          <w:sz w:val="32"/>
          <w:szCs w:val="32"/>
        </w:rPr>
        <w:t>不当</w:t>
      </w:r>
      <w:r>
        <w:rPr>
          <w:rFonts w:ascii="仿宋_GB2312" w:hAnsi="宋体" w:eastAsia="仿宋_GB2312" w:cs="宋体"/>
          <w:snapToGrid/>
          <w:color w:val="333333"/>
          <w:sz w:val="32"/>
          <w:szCs w:val="32"/>
        </w:rPr>
        <w:t>干涉</w:t>
      </w:r>
      <w:r>
        <w:rPr>
          <w:rFonts w:hint="eastAsia" w:ascii="仿宋_GB2312" w:hAnsi="宋体" w:eastAsia="仿宋_GB2312" w:cs="宋体"/>
          <w:snapToGrid/>
          <w:color w:val="333333"/>
          <w:sz w:val="32"/>
          <w:szCs w:val="32"/>
        </w:rPr>
        <w:t>。</w:t>
      </w:r>
    </w:p>
    <w:p>
      <w:pPr>
        <w:pageBreakBefore w:val="0"/>
        <w:widowControl w:val="0"/>
        <w:kinsoku/>
        <w:wordWrap/>
        <w:overflowPunct w:val="0"/>
        <w:topLinePunct w:val="0"/>
        <w:autoSpaceDE/>
        <w:autoSpaceDN/>
        <w:bidi w:val="0"/>
        <w:snapToGrid w:val="0"/>
        <w:spacing w:line="560" w:lineRule="exact"/>
        <w:ind w:left="654"/>
        <w:jc w:val="both"/>
        <w:rPr>
          <w:rFonts w:ascii="仿宋_GB2312" w:hAnsi="宋体" w:eastAsia="仿宋_GB2312" w:cs="宋体"/>
          <w:snapToGrid/>
          <w:color w:val="333333"/>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三十一</w:t>
      </w:r>
      <w:r>
        <w:rPr>
          <w:rFonts w:ascii="黑体" w:hAnsi="黑体" w:eastAsia="黑体" w:cs="仿宋"/>
          <w:spacing w:val="-10"/>
          <w:sz w:val="32"/>
          <w:szCs w:val="32"/>
        </w:rPr>
        <w:t>条【</w:t>
      </w:r>
      <w:r>
        <w:rPr>
          <w:rFonts w:hint="eastAsia" w:ascii="黑体" w:hAnsi="黑体" w:eastAsia="黑体" w:cs="仿宋"/>
          <w:spacing w:val="-10"/>
          <w:sz w:val="32"/>
          <w:szCs w:val="32"/>
          <w:lang w:eastAsia="zh-Hans"/>
        </w:rPr>
        <w:t>全面性</w:t>
      </w:r>
      <w:r>
        <w:rPr>
          <w:rFonts w:ascii="黑体" w:hAnsi="黑体" w:eastAsia="黑体" w:cs="仿宋"/>
          <w:spacing w:val="-10"/>
          <w:sz w:val="32"/>
          <w:szCs w:val="32"/>
        </w:rPr>
        <w:t>原则】</w:t>
      </w:r>
    </w:p>
    <w:p>
      <w:pPr>
        <w:pageBreakBefore w:val="0"/>
        <w:widowControl w:val="0"/>
        <w:kinsoku/>
        <w:wordWrap/>
        <w:overflowPunct w:val="0"/>
        <w:topLinePunct w:val="0"/>
        <w:autoSpaceDE/>
        <w:autoSpaceDN/>
        <w:bidi w:val="0"/>
        <w:snapToGrid w:val="0"/>
        <w:spacing w:line="560" w:lineRule="exact"/>
        <w:ind w:right="16" w:firstLine="65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lang w:eastAsia="zh-Hans"/>
        </w:rPr>
        <w:t>电竞企业</w:t>
      </w:r>
      <w:r>
        <w:rPr>
          <w:rFonts w:hint="eastAsia" w:ascii="仿宋_GB2312" w:hAnsi="宋体" w:eastAsia="仿宋_GB2312" w:cs="宋体"/>
          <w:snapToGrid/>
          <w:color w:val="333333"/>
          <w:sz w:val="32"/>
          <w:szCs w:val="32"/>
        </w:rPr>
        <w:t>合规工作应遵循全面性原则。</w:t>
      </w:r>
      <w:r>
        <w:rPr>
          <w:rFonts w:ascii="仿宋_GB2312" w:hAnsi="宋体" w:eastAsia="仿宋_GB2312" w:cs="宋体"/>
          <w:snapToGrid/>
          <w:color w:val="333333"/>
          <w:sz w:val="32"/>
          <w:szCs w:val="32"/>
        </w:rPr>
        <w:t>合规要求</w:t>
      </w:r>
      <w:r>
        <w:rPr>
          <w:rFonts w:hint="eastAsia" w:ascii="仿宋_GB2312" w:hAnsi="宋体" w:eastAsia="仿宋_GB2312" w:cs="宋体"/>
          <w:snapToGrid/>
          <w:color w:val="333333"/>
          <w:sz w:val="32"/>
          <w:szCs w:val="32"/>
        </w:rPr>
        <w:t>应</w:t>
      </w:r>
      <w:r>
        <w:rPr>
          <w:rFonts w:ascii="仿宋_GB2312" w:hAnsi="宋体" w:eastAsia="仿宋_GB2312" w:cs="宋体"/>
          <w:snapToGrid/>
          <w:color w:val="333333"/>
          <w:sz w:val="32"/>
          <w:szCs w:val="32"/>
        </w:rPr>
        <w:t>覆盖</w:t>
      </w:r>
      <w:r>
        <w:rPr>
          <w:rFonts w:hint="eastAsia" w:ascii="仿宋_GB2312" w:hAnsi="宋体" w:eastAsia="仿宋_GB2312" w:cs="宋体"/>
          <w:snapToGrid/>
          <w:color w:val="333333"/>
          <w:sz w:val="32"/>
          <w:szCs w:val="32"/>
        </w:rPr>
        <w:t>电竞</w:t>
      </w:r>
      <w:r>
        <w:rPr>
          <w:rFonts w:hint="eastAsia" w:ascii="仿宋_GB2312" w:hAnsi="宋体" w:eastAsia="仿宋_GB2312" w:cs="宋体"/>
          <w:snapToGrid/>
          <w:color w:val="333333"/>
          <w:sz w:val="32"/>
          <w:szCs w:val="32"/>
          <w:lang w:eastAsia="zh-Hans"/>
        </w:rPr>
        <w:t>产业</w:t>
      </w:r>
      <w:r>
        <w:rPr>
          <w:rFonts w:hint="eastAsia" w:ascii="仿宋_GB2312" w:hAnsi="宋体" w:eastAsia="仿宋_GB2312" w:cs="宋体"/>
          <w:snapToGrid/>
          <w:color w:val="333333"/>
          <w:sz w:val="32"/>
          <w:szCs w:val="32"/>
        </w:rPr>
        <w:t>的</w:t>
      </w:r>
      <w:r>
        <w:rPr>
          <w:rFonts w:ascii="仿宋_GB2312" w:hAnsi="宋体" w:eastAsia="仿宋_GB2312" w:cs="宋体"/>
          <w:snapToGrid/>
          <w:color w:val="333333"/>
          <w:sz w:val="32"/>
          <w:szCs w:val="32"/>
        </w:rPr>
        <w:t>各业务领域、各分支机构、全体</w:t>
      </w:r>
      <w:r>
        <w:rPr>
          <w:rFonts w:hint="eastAsia" w:ascii="仿宋_GB2312" w:hAnsi="宋体" w:eastAsia="仿宋_GB2312" w:cs="宋体"/>
          <w:snapToGrid/>
          <w:color w:val="333333"/>
          <w:sz w:val="32"/>
          <w:szCs w:val="32"/>
        </w:rPr>
        <w:t>员工</w:t>
      </w:r>
      <w:r>
        <w:rPr>
          <w:rFonts w:ascii="仿宋_GB2312" w:hAnsi="宋体" w:eastAsia="仿宋_GB2312" w:cs="宋体"/>
          <w:snapToGrid/>
          <w:color w:val="333333"/>
          <w:sz w:val="32"/>
          <w:szCs w:val="32"/>
        </w:rPr>
        <w:t>，贯穿电竞</w:t>
      </w:r>
      <w:r>
        <w:rPr>
          <w:rFonts w:hint="eastAsia" w:ascii="仿宋_GB2312" w:hAnsi="宋体" w:eastAsia="仿宋_GB2312" w:cs="宋体"/>
          <w:snapToGrid/>
          <w:color w:val="333333"/>
          <w:sz w:val="32"/>
          <w:szCs w:val="32"/>
          <w:lang w:eastAsia="zh-Hans"/>
        </w:rPr>
        <w:t>企业运营</w:t>
      </w:r>
      <w:r>
        <w:rPr>
          <w:rFonts w:ascii="仿宋_GB2312" w:hAnsi="宋体" w:eastAsia="仿宋_GB2312" w:cs="宋体"/>
          <w:snapToGrid/>
          <w:color w:val="333333"/>
          <w:sz w:val="32"/>
          <w:szCs w:val="32"/>
        </w:rPr>
        <w:t>管理</w:t>
      </w:r>
      <w:r>
        <w:rPr>
          <w:rFonts w:hint="eastAsia" w:ascii="仿宋_GB2312" w:hAnsi="宋体" w:eastAsia="仿宋_GB2312" w:cs="宋体"/>
          <w:snapToGrid/>
          <w:color w:val="333333"/>
          <w:sz w:val="32"/>
          <w:szCs w:val="32"/>
        </w:rPr>
        <w:t>的</w:t>
      </w:r>
      <w:r>
        <w:rPr>
          <w:rFonts w:ascii="仿宋_GB2312" w:hAnsi="宋体" w:eastAsia="仿宋_GB2312" w:cs="宋体"/>
          <w:snapToGrid/>
          <w:color w:val="333333"/>
          <w:sz w:val="32"/>
          <w:szCs w:val="32"/>
        </w:rPr>
        <w:t>全环节、全流程。</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三十二</w:t>
      </w:r>
      <w:r>
        <w:rPr>
          <w:rFonts w:ascii="黑体" w:hAnsi="黑体" w:eastAsia="黑体" w:cs="仿宋"/>
          <w:spacing w:val="-10"/>
          <w:sz w:val="32"/>
          <w:szCs w:val="32"/>
        </w:rPr>
        <w:t>条【</w:t>
      </w:r>
      <w:r>
        <w:rPr>
          <w:rFonts w:hint="eastAsia" w:ascii="黑体" w:hAnsi="黑体" w:eastAsia="黑体" w:cs="仿宋"/>
          <w:spacing w:val="-10"/>
          <w:sz w:val="32"/>
          <w:szCs w:val="32"/>
          <w:lang w:eastAsia="zh-Hans"/>
        </w:rPr>
        <w:t>实用性</w:t>
      </w:r>
      <w:r>
        <w:rPr>
          <w:rFonts w:ascii="黑体" w:hAnsi="黑体" w:eastAsia="黑体" w:cs="仿宋"/>
          <w:spacing w:val="-10"/>
          <w:sz w:val="32"/>
          <w:szCs w:val="32"/>
        </w:rPr>
        <w:t>原则】</w:t>
      </w:r>
    </w:p>
    <w:p>
      <w:pPr>
        <w:pageBreakBefore w:val="0"/>
        <w:widowControl w:val="0"/>
        <w:kinsoku/>
        <w:wordWrap/>
        <w:overflowPunct w:val="0"/>
        <w:topLinePunct w:val="0"/>
        <w:autoSpaceDE/>
        <w:autoSpaceDN/>
        <w:bidi w:val="0"/>
        <w:snapToGrid w:val="0"/>
        <w:spacing w:line="560" w:lineRule="exact"/>
        <w:ind w:right="16" w:firstLine="650"/>
        <w:jc w:val="both"/>
        <w:rPr>
          <w:rFonts w:ascii="黑体" w:hAnsi="黑体" w:eastAsia="黑体" w:cs="仿宋"/>
          <w:spacing w:val="-10"/>
          <w:sz w:val="32"/>
          <w:szCs w:val="32"/>
        </w:rPr>
      </w:pPr>
      <w:r>
        <w:rPr>
          <w:rFonts w:hint="eastAsia" w:ascii="仿宋_GB2312" w:hAnsi="宋体" w:eastAsia="仿宋_GB2312" w:cs="宋体"/>
          <w:snapToGrid/>
          <w:color w:val="333333"/>
          <w:sz w:val="32"/>
          <w:szCs w:val="32"/>
          <w:lang w:eastAsia="zh-Hans"/>
        </w:rPr>
        <w:t>电竞企业</w:t>
      </w:r>
      <w:r>
        <w:rPr>
          <w:rFonts w:hint="eastAsia" w:ascii="仿宋_GB2312" w:hAnsi="宋体" w:eastAsia="仿宋_GB2312" w:cs="宋体"/>
          <w:snapToGrid/>
          <w:color w:val="333333"/>
          <w:sz w:val="32"/>
          <w:szCs w:val="32"/>
        </w:rPr>
        <w:t>合规工作应遵循实用性原则。</w:t>
      </w:r>
      <w:r>
        <w:rPr>
          <w:rFonts w:ascii="仿宋_GB2312" w:hAnsi="宋体" w:eastAsia="仿宋_GB2312" w:cs="宋体"/>
          <w:snapToGrid/>
          <w:color w:val="333333"/>
          <w:sz w:val="32"/>
          <w:szCs w:val="32"/>
        </w:rPr>
        <w:t>合规工作</w:t>
      </w:r>
      <w:r>
        <w:rPr>
          <w:rFonts w:hint="eastAsia" w:ascii="仿宋_GB2312" w:hAnsi="宋体" w:eastAsia="仿宋_GB2312" w:cs="宋体"/>
          <w:snapToGrid/>
          <w:color w:val="333333"/>
          <w:sz w:val="32"/>
          <w:szCs w:val="32"/>
        </w:rPr>
        <w:t>应根据</w:t>
      </w:r>
      <w:r>
        <w:rPr>
          <w:rFonts w:hint="eastAsia" w:ascii="仿宋_GB2312" w:hAnsi="宋体" w:eastAsia="仿宋_GB2312" w:cs="宋体"/>
          <w:snapToGrid/>
          <w:color w:val="333333"/>
          <w:sz w:val="32"/>
          <w:szCs w:val="32"/>
          <w:lang w:eastAsia="zh-Hans"/>
        </w:rPr>
        <w:t>电竞</w:t>
      </w:r>
      <w:r>
        <w:rPr>
          <w:rFonts w:hint="eastAsia" w:ascii="仿宋_GB2312" w:hAnsi="宋体" w:eastAsia="仿宋_GB2312" w:cs="宋体"/>
          <w:snapToGrid/>
          <w:color w:val="333333"/>
          <w:sz w:val="32"/>
          <w:szCs w:val="32"/>
        </w:rPr>
        <w:t>企业</w:t>
      </w:r>
      <w:r>
        <w:rPr>
          <w:rFonts w:ascii="仿宋_GB2312" w:hAnsi="宋体" w:eastAsia="仿宋_GB2312" w:cs="宋体"/>
          <w:snapToGrid/>
          <w:color w:val="333333"/>
          <w:sz w:val="32"/>
          <w:szCs w:val="32"/>
        </w:rPr>
        <w:t>经营范围、业务规模、发展状况等实际</w:t>
      </w:r>
      <w:r>
        <w:rPr>
          <w:rFonts w:hint="eastAsia" w:ascii="仿宋_GB2312" w:hAnsi="宋体" w:eastAsia="仿宋_GB2312" w:cs="宋体"/>
          <w:snapToGrid/>
          <w:color w:val="333333"/>
          <w:sz w:val="32"/>
          <w:szCs w:val="32"/>
        </w:rPr>
        <w:t>情况，结合电竞产业的发展现状</w:t>
      </w:r>
      <w:r>
        <w:rPr>
          <w:rFonts w:ascii="仿宋_GB2312" w:hAnsi="宋体" w:eastAsia="仿宋_GB2312" w:cs="宋体"/>
          <w:snapToGrid/>
          <w:color w:val="333333"/>
          <w:sz w:val="32"/>
          <w:szCs w:val="32"/>
        </w:rPr>
        <w:t>，完善</w:t>
      </w:r>
      <w:r>
        <w:rPr>
          <w:rFonts w:hint="eastAsia" w:ascii="仿宋_GB2312" w:hAnsi="宋体" w:eastAsia="仿宋_GB2312" w:cs="宋体"/>
          <w:snapToGrid/>
          <w:color w:val="333333"/>
          <w:sz w:val="32"/>
          <w:szCs w:val="32"/>
        </w:rPr>
        <w:t>合规</w:t>
      </w:r>
      <w:r>
        <w:rPr>
          <w:rFonts w:hint="eastAsia" w:ascii="仿宋_GB2312" w:hAnsi="宋体" w:eastAsia="仿宋_GB2312" w:cs="宋体"/>
          <w:snapToGrid/>
          <w:color w:val="333333"/>
          <w:sz w:val="32"/>
          <w:szCs w:val="32"/>
          <w:lang w:eastAsia="zh-Hans"/>
        </w:rPr>
        <w:t>管理</w:t>
      </w:r>
      <w:r>
        <w:rPr>
          <w:rFonts w:ascii="仿宋_GB2312" w:hAnsi="宋体" w:eastAsia="仿宋_GB2312" w:cs="宋体"/>
          <w:snapToGrid/>
          <w:color w:val="333333"/>
          <w:sz w:val="32"/>
          <w:szCs w:val="32"/>
        </w:rPr>
        <w:t>流程和合规</w:t>
      </w:r>
      <w:r>
        <w:rPr>
          <w:rFonts w:hint="eastAsia" w:ascii="仿宋_GB2312" w:hAnsi="宋体" w:eastAsia="仿宋_GB2312" w:cs="宋体"/>
          <w:snapToGrid/>
          <w:color w:val="333333"/>
          <w:sz w:val="32"/>
          <w:szCs w:val="32"/>
          <w:lang w:eastAsia="zh-Hans"/>
        </w:rPr>
        <w:t>治理</w:t>
      </w:r>
      <w:r>
        <w:rPr>
          <w:rFonts w:ascii="仿宋_GB2312" w:hAnsi="宋体" w:eastAsia="仿宋_GB2312" w:cs="宋体"/>
          <w:snapToGrid/>
          <w:color w:val="333333"/>
          <w:sz w:val="32"/>
          <w:szCs w:val="32"/>
        </w:rPr>
        <w:t>制度</w:t>
      </w:r>
      <w:r>
        <w:rPr>
          <w:rFonts w:hint="eastAsia" w:ascii="仿宋_GB2312" w:hAnsi="宋体" w:eastAsia="仿宋_GB2312" w:cs="宋体"/>
          <w:snapToGrid/>
          <w:color w:val="333333"/>
          <w:sz w:val="32"/>
          <w:szCs w:val="32"/>
        </w:rPr>
        <w:t>，</w:t>
      </w:r>
      <w:r>
        <w:rPr>
          <w:rFonts w:ascii="仿宋_GB2312" w:hAnsi="宋体" w:eastAsia="仿宋_GB2312" w:cs="宋体"/>
          <w:snapToGrid/>
          <w:color w:val="333333"/>
          <w:sz w:val="32"/>
          <w:szCs w:val="32"/>
        </w:rPr>
        <w:t>明确合规管理人员和</w:t>
      </w:r>
      <w:r>
        <w:rPr>
          <w:rFonts w:hint="eastAsia" w:ascii="仿宋_GB2312" w:hAnsi="宋体" w:eastAsia="仿宋_GB2312" w:cs="宋体"/>
          <w:snapToGrid/>
          <w:color w:val="333333"/>
          <w:sz w:val="32"/>
          <w:szCs w:val="32"/>
        </w:rPr>
        <w:t>相关</w:t>
      </w:r>
      <w:r>
        <w:rPr>
          <w:rFonts w:ascii="仿宋_GB2312" w:hAnsi="宋体" w:eastAsia="仿宋_GB2312" w:cs="宋体"/>
          <w:snapToGrid/>
          <w:color w:val="333333"/>
          <w:sz w:val="32"/>
          <w:szCs w:val="32"/>
        </w:rPr>
        <w:t>岗位</w:t>
      </w:r>
      <w:r>
        <w:rPr>
          <w:rFonts w:hint="eastAsia" w:ascii="仿宋_GB2312" w:hAnsi="宋体" w:eastAsia="仿宋_GB2312" w:cs="宋体"/>
          <w:snapToGrid/>
          <w:color w:val="333333"/>
          <w:sz w:val="32"/>
          <w:szCs w:val="32"/>
        </w:rPr>
        <w:t>人员</w:t>
      </w:r>
      <w:r>
        <w:rPr>
          <w:rFonts w:ascii="仿宋_GB2312" w:hAnsi="宋体" w:eastAsia="仿宋_GB2312" w:cs="宋体"/>
          <w:snapToGrid/>
          <w:color w:val="333333"/>
          <w:sz w:val="32"/>
          <w:szCs w:val="32"/>
        </w:rPr>
        <w:t>的合规责任。</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三十三</w:t>
      </w:r>
      <w:r>
        <w:rPr>
          <w:rFonts w:hint="eastAsia" w:ascii="黑体" w:hAnsi="黑体" w:eastAsia="黑体" w:cs="仿宋"/>
          <w:spacing w:val="-10"/>
          <w:sz w:val="32"/>
          <w:szCs w:val="32"/>
        </w:rPr>
        <w:t>条【有序竞争】</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电竞企业应采用符合国家法律法规、遵守商业道德、信守诚实信用原则的商业正当手段进行竞争。</w:t>
      </w:r>
      <w:r>
        <w:rPr>
          <w:rFonts w:hint="eastAsia" w:ascii="仿宋_GB2312" w:hAnsi="宋体" w:eastAsia="仿宋_GB2312" w:cs="宋体"/>
          <w:snapToGrid/>
          <w:color w:val="333333"/>
          <w:sz w:val="32"/>
          <w:szCs w:val="32"/>
          <w:lang w:eastAsia="zh-Hans"/>
        </w:rPr>
        <w:t>电竞企业</w:t>
      </w:r>
      <w:r>
        <w:rPr>
          <w:rFonts w:hint="eastAsia" w:ascii="仿宋_GB2312" w:hAnsi="宋体" w:eastAsia="仿宋_GB2312" w:cs="宋体"/>
          <w:snapToGrid/>
          <w:color w:val="333333"/>
          <w:sz w:val="32"/>
          <w:szCs w:val="32"/>
        </w:rPr>
        <w:t>应依靠改进技术、创立品牌、提高信誉、提升服务质量进行有序竞争，不得以排挤对手或独占市场的方式恶意竞争。</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三十四</w:t>
      </w:r>
      <w:r>
        <w:rPr>
          <w:rFonts w:hint="eastAsia" w:ascii="黑体" w:hAnsi="黑体" w:eastAsia="黑体" w:cs="仿宋"/>
          <w:spacing w:val="-10"/>
          <w:sz w:val="32"/>
          <w:szCs w:val="32"/>
        </w:rPr>
        <w:t>条【财税管理】</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电竞企业应建立健全财务内部控制体系，严格执行财务事项操作和审批流程，强化依法纳税意识，严格遵守税收法律规定。</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第三十</w:t>
      </w:r>
      <w:r>
        <w:rPr>
          <w:rFonts w:hint="eastAsia" w:ascii="黑体" w:hAnsi="黑体" w:eastAsia="黑体" w:cs="仿宋"/>
          <w:spacing w:val="-10"/>
          <w:sz w:val="32"/>
          <w:szCs w:val="32"/>
          <w:lang w:eastAsia="zh-Hans"/>
        </w:rPr>
        <w:t>五</w:t>
      </w:r>
      <w:r>
        <w:rPr>
          <w:rFonts w:hint="eastAsia" w:ascii="黑体" w:hAnsi="黑体" w:eastAsia="黑体" w:cs="仿宋"/>
          <w:spacing w:val="-10"/>
          <w:sz w:val="32"/>
          <w:szCs w:val="32"/>
        </w:rPr>
        <w:t>条【信息安全管理】</w:t>
      </w:r>
      <w:r>
        <w:rPr>
          <w:rStyle w:val="23"/>
          <w:rFonts w:ascii="黑体" w:hAnsi="黑体" w:eastAsia="黑体" w:cs="仿宋"/>
          <w:spacing w:val="-10"/>
          <w:sz w:val="32"/>
          <w:szCs w:val="32"/>
        </w:rPr>
        <w:footnoteReference w:id="29"/>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电竞企业应按照国家规定建立健全数据、信息安全保障体系。在电竞赛事中，</w:t>
      </w:r>
      <w:r>
        <w:rPr>
          <w:rFonts w:hint="eastAsia" w:ascii="仿宋_GB2312" w:hAnsi="宋体" w:eastAsia="仿宋_GB2312" w:cs="宋体"/>
          <w:snapToGrid/>
          <w:color w:val="333333"/>
          <w:sz w:val="32"/>
          <w:szCs w:val="32"/>
          <w:lang w:eastAsia="zh-Hans"/>
        </w:rPr>
        <w:t>电竞企业应</w:t>
      </w:r>
      <w:r>
        <w:rPr>
          <w:rFonts w:hint="eastAsia" w:ascii="仿宋_GB2312" w:hAnsi="宋体" w:eastAsia="仿宋_GB2312" w:cs="宋体"/>
          <w:snapToGrid/>
          <w:color w:val="333333"/>
          <w:sz w:val="32"/>
          <w:szCs w:val="32"/>
        </w:rPr>
        <w:t>严格遵守法律法规规定的信息网络安全管理义务，维护赛事秩序。</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三十六</w:t>
      </w:r>
      <w:r>
        <w:rPr>
          <w:rFonts w:hint="eastAsia" w:ascii="黑体" w:hAnsi="黑体" w:eastAsia="黑体" w:cs="仿宋"/>
          <w:spacing w:val="-10"/>
          <w:sz w:val="32"/>
          <w:szCs w:val="32"/>
        </w:rPr>
        <w:t>条</w:t>
      </w:r>
      <w:r>
        <w:rPr>
          <w:rFonts w:ascii="黑体" w:hAnsi="黑体" w:eastAsia="黑体" w:cs="仿宋"/>
          <w:spacing w:val="-10"/>
          <w:sz w:val="32"/>
          <w:szCs w:val="32"/>
        </w:rPr>
        <w:t xml:space="preserve"> </w:t>
      </w:r>
      <w:r>
        <w:rPr>
          <w:rFonts w:hint="eastAsia" w:ascii="黑体" w:hAnsi="黑体" w:eastAsia="黑体" w:cs="仿宋"/>
          <w:spacing w:val="-10"/>
          <w:sz w:val="32"/>
          <w:szCs w:val="32"/>
        </w:rPr>
        <w:t>【对</w:t>
      </w:r>
      <w:r>
        <w:rPr>
          <w:rFonts w:hint="eastAsia" w:ascii="黑体" w:hAnsi="黑体" w:eastAsia="黑体" w:cs="仿宋"/>
          <w:spacing w:val="-10"/>
          <w:sz w:val="32"/>
          <w:szCs w:val="32"/>
          <w:lang w:eastAsia="zh-Hans"/>
        </w:rPr>
        <w:t>外交流规范</w:t>
      </w:r>
      <w:r>
        <w:rPr>
          <w:rFonts w:ascii="黑体" w:hAnsi="黑体" w:eastAsia="黑体" w:cs="仿宋"/>
          <w:spacing w:val="-10"/>
          <w:sz w:val="32"/>
          <w:szCs w:val="32"/>
        </w:rPr>
        <w:t>】</w:t>
      </w:r>
      <w:r>
        <w:rPr>
          <w:rStyle w:val="23"/>
          <w:rFonts w:ascii="黑体" w:hAnsi="黑体" w:eastAsia="黑体" w:cs="仿宋"/>
          <w:spacing w:val="-10"/>
          <w:sz w:val="32"/>
          <w:szCs w:val="32"/>
        </w:rPr>
        <w:footnoteReference w:id="30"/>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rPr>
        <w:t>电竞</w:t>
      </w:r>
      <w:r>
        <w:rPr>
          <w:rFonts w:hint="eastAsia" w:ascii="仿宋_GB2312" w:hAnsi="宋体" w:eastAsia="仿宋_GB2312" w:cs="宋体"/>
          <w:snapToGrid/>
          <w:color w:val="333333"/>
          <w:sz w:val="32"/>
          <w:szCs w:val="32"/>
          <w:lang w:eastAsia="zh-Hans"/>
        </w:rPr>
        <w:t>企业参加国际电子竞技活动或进行对外体育交往的</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应当坚持独立自主、平等互利、相互尊重的原则，维护国家主权、安全、发展利益和尊严，遵守中华人民共和国缔结或者参加的国际条约。</w:t>
      </w:r>
    </w:p>
    <w:p>
      <w:pPr>
        <w:pageBreakBefore w:val="0"/>
        <w:widowControl w:val="0"/>
        <w:kinsoku/>
        <w:wordWrap/>
        <w:overflowPunct w:val="0"/>
        <w:topLinePunct w:val="0"/>
        <w:autoSpaceDE/>
        <w:autoSpaceDN/>
        <w:bidi w:val="0"/>
        <w:snapToGrid w:val="0"/>
        <w:spacing w:line="560" w:lineRule="exact"/>
        <w:jc w:val="both"/>
        <w:rPr>
          <w:rFonts w:ascii="仿宋_GB2312" w:hAnsi="宋体" w:eastAsia="仿宋_GB2312" w:cs="宋体"/>
          <w:snapToGrid/>
          <w:color w:val="333333"/>
          <w:sz w:val="32"/>
          <w:szCs w:val="32"/>
        </w:rPr>
      </w:pPr>
    </w:p>
    <w:p>
      <w:pPr>
        <w:pageBreakBefore w:val="0"/>
        <w:widowControl w:val="0"/>
        <w:kinsoku/>
        <w:wordWrap/>
        <w:overflowPunct w:val="0"/>
        <w:topLinePunct w:val="0"/>
        <w:autoSpaceDE/>
        <w:autoSpaceDN/>
        <w:bidi w:val="0"/>
        <w:snapToGrid w:val="0"/>
        <w:spacing w:line="560" w:lineRule="exact"/>
        <w:jc w:val="both"/>
        <w:rPr>
          <w:rFonts w:ascii="仿宋_GB2312" w:hAnsi="宋体" w:eastAsia="仿宋_GB2312" w:cs="宋体"/>
          <w:snapToGrid/>
          <w:color w:val="333333"/>
          <w:sz w:val="32"/>
          <w:szCs w:val="32"/>
        </w:rPr>
      </w:pPr>
    </w:p>
    <w:p>
      <w:pPr>
        <w:pStyle w:val="3"/>
        <w:pageBreakBefore w:val="0"/>
        <w:wordWrap/>
        <w:topLinePunct w:val="0"/>
        <w:bidi w:val="0"/>
        <w:snapToGrid w:val="0"/>
        <w:spacing w:before="0" w:after="0" w:line="560" w:lineRule="exact"/>
        <w:rPr>
          <w:snapToGrid/>
        </w:rPr>
      </w:pPr>
      <w:bookmarkStart w:id="8" w:name="_Toc149119732"/>
      <w:r>
        <w:rPr>
          <w:snapToGrid/>
        </w:rPr>
        <w:t>第三章  合规管理运行机制</w:t>
      </w:r>
      <w:bookmarkEnd w:id="8"/>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9" w:name="_Toc149119733"/>
      <w:r>
        <w:rPr>
          <w:rFonts w:eastAsia="楷体_GB2312"/>
          <w:bCs/>
          <w:snapToGrid/>
          <w:sz w:val="32"/>
          <w:szCs w:val="32"/>
        </w:rPr>
        <w:t>第一节  合规</w:t>
      </w:r>
      <w:r>
        <w:rPr>
          <w:rFonts w:hint="eastAsia" w:eastAsia="楷体_GB2312"/>
          <w:bCs/>
          <w:snapToGrid/>
          <w:sz w:val="32"/>
          <w:szCs w:val="32"/>
        </w:rPr>
        <w:t>管理主体</w:t>
      </w:r>
      <w:r>
        <w:rPr>
          <w:rFonts w:eastAsia="楷体_GB2312"/>
          <w:bCs/>
          <w:snapToGrid/>
          <w:sz w:val="32"/>
          <w:szCs w:val="32"/>
        </w:rPr>
        <w:t>和</w:t>
      </w:r>
      <w:r>
        <w:rPr>
          <w:rFonts w:hint="eastAsia" w:eastAsia="楷体_GB2312"/>
          <w:bCs/>
          <w:snapToGrid/>
          <w:sz w:val="32"/>
          <w:szCs w:val="32"/>
        </w:rPr>
        <w:t>职责</w:t>
      </w:r>
      <w:bookmarkEnd w:id="9"/>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三</w:t>
      </w:r>
      <w:r>
        <w:rPr>
          <w:rFonts w:ascii="黑体" w:hAnsi="黑体" w:eastAsia="黑体" w:cs="仿宋"/>
          <w:spacing w:val="-10"/>
          <w:sz w:val="32"/>
          <w:szCs w:val="32"/>
        </w:rPr>
        <w:t>十</w:t>
      </w:r>
      <w:r>
        <w:rPr>
          <w:rFonts w:hint="eastAsia" w:ascii="黑体" w:hAnsi="黑体" w:eastAsia="黑体" w:cs="仿宋"/>
          <w:spacing w:val="-10"/>
          <w:sz w:val="32"/>
          <w:szCs w:val="32"/>
          <w:lang w:eastAsia="zh-Hans"/>
        </w:rPr>
        <w:t>七</w:t>
      </w:r>
      <w:r>
        <w:rPr>
          <w:rFonts w:ascii="黑体" w:hAnsi="黑体" w:eastAsia="黑体" w:cs="仿宋"/>
          <w:spacing w:val="-10"/>
          <w:sz w:val="32"/>
          <w:szCs w:val="32"/>
        </w:rPr>
        <w:t>条【合规负责人】</w:t>
      </w:r>
      <w:r>
        <w:rPr>
          <w:rStyle w:val="23"/>
          <w:rFonts w:ascii="黑体" w:hAnsi="黑体" w:eastAsia="黑体" w:cs="仿宋"/>
          <w:spacing w:val="-10"/>
          <w:sz w:val="32"/>
          <w:szCs w:val="32"/>
        </w:rPr>
        <w:footnoteReference w:id="31"/>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电竞企业的法定代表人或主要负责人承担企业合规管理的首要责任，负责制定合规管理计划，负责推进合规管理工作。</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三</w:t>
      </w:r>
      <w:r>
        <w:rPr>
          <w:rFonts w:ascii="黑体" w:hAnsi="黑体" w:eastAsia="黑体" w:cs="仿宋"/>
          <w:spacing w:val="-10"/>
          <w:sz w:val="32"/>
          <w:szCs w:val="32"/>
        </w:rPr>
        <w:t>十</w:t>
      </w:r>
      <w:r>
        <w:rPr>
          <w:rFonts w:hint="eastAsia" w:ascii="黑体" w:hAnsi="黑体" w:eastAsia="黑体" w:cs="仿宋"/>
          <w:spacing w:val="-10"/>
          <w:sz w:val="32"/>
          <w:szCs w:val="32"/>
          <w:lang w:eastAsia="zh-Hans"/>
        </w:rPr>
        <w:t>八</w:t>
      </w:r>
      <w:r>
        <w:rPr>
          <w:rFonts w:ascii="黑体" w:hAnsi="黑体" w:eastAsia="黑体" w:cs="仿宋"/>
          <w:spacing w:val="-10"/>
          <w:sz w:val="32"/>
          <w:szCs w:val="32"/>
        </w:rPr>
        <w:t>条【合规管理</w:t>
      </w:r>
      <w:r>
        <w:rPr>
          <w:rFonts w:hint="eastAsia" w:ascii="黑体" w:hAnsi="黑体" w:eastAsia="黑体" w:cs="仿宋"/>
          <w:spacing w:val="-10"/>
          <w:sz w:val="32"/>
          <w:szCs w:val="32"/>
        </w:rPr>
        <w:t>部门</w:t>
      </w:r>
      <w:r>
        <w:rPr>
          <w:rFonts w:ascii="黑体" w:hAnsi="黑体" w:eastAsia="黑体" w:cs="仿宋"/>
          <w:spacing w:val="-10"/>
          <w:sz w:val="32"/>
          <w:szCs w:val="32"/>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应根据经营规模、发展情况设置合规部门或合规人员。合规部门或合规人员应根据合规负责人制定的合规管理计划，落实企业合规管理，协调和监督企业其他部门的合规工作。合规管理部门或合规人员应及时对不合规的内容提出修改建议，降低企业合规风险。</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三</w:t>
      </w:r>
      <w:r>
        <w:rPr>
          <w:rFonts w:ascii="黑体" w:hAnsi="黑体" w:eastAsia="黑体" w:cs="仿宋"/>
          <w:spacing w:val="-10"/>
          <w:sz w:val="32"/>
          <w:szCs w:val="32"/>
        </w:rPr>
        <w:t>十</w:t>
      </w:r>
      <w:r>
        <w:rPr>
          <w:rFonts w:hint="eastAsia" w:ascii="黑体" w:hAnsi="黑体" w:eastAsia="黑体" w:cs="仿宋"/>
          <w:spacing w:val="-10"/>
          <w:sz w:val="32"/>
          <w:szCs w:val="32"/>
          <w:lang w:eastAsia="zh-Hans"/>
        </w:rPr>
        <w:t>九</w:t>
      </w:r>
      <w:r>
        <w:rPr>
          <w:rFonts w:ascii="黑体" w:hAnsi="黑体" w:eastAsia="黑体" w:cs="仿宋"/>
          <w:spacing w:val="-10"/>
          <w:sz w:val="32"/>
          <w:szCs w:val="32"/>
        </w:rPr>
        <w:t>条 【专委会</w:t>
      </w:r>
      <w:r>
        <w:rPr>
          <w:rFonts w:hint="eastAsia" w:ascii="黑体" w:hAnsi="黑体" w:eastAsia="黑体" w:cs="仿宋"/>
          <w:spacing w:val="-10"/>
          <w:sz w:val="32"/>
          <w:szCs w:val="32"/>
        </w:rPr>
        <w:t>建设</w:t>
      </w:r>
      <w:r>
        <w:rPr>
          <w:rFonts w:ascii="黑体" w:hAnsi="黑体" w:eastAsia="黑体" w:cs="仿宋"/>
          <w:spacing w:val="-10"/>
          <w:sz w:val="32"/>
          <w:szCs w:val="32"/>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鼓励规模较大、条件充分的电竞企业在合规部门之外，依据电竞企业的</w:t>
      </w:r>
      <w:r>
        <w:rPr>
          <w:rFonts w:hint="eastAsia" w:ascii="仿宋_GB2312" w:hAnsi="宋体" w:eastAsia="仿宋_GB2312" w:cs="宋体"/>
          <w:snapToGrid/>
          <w:color w:val="333333"/>
          <w:sz w:val="32"/>
          <w:szCs w:val="32"/>
          <w:lang w:eastAsia="zh-Hans"/>
        </w:rPr>
        <w:t>实际</w:t>
      </w:r>
      <w:r>
        <w:rPr>
          <w:rFonts w:hint="eastAsia" w:ascii="仿宋_GB2312" w:hAnsi="宋体" w:eastAsia="仿宋_GB2312" w:cs="宋体"/>
          <w:snapToGrid/>
          <w:color w:val="333333"/>
          <w:sz w:val="32"/>
          <w:szCs w:val="32"/>
        </w:rPr>
        <w:t xml:space="preserve">法律需求，建立相应的专委会，如网络安全专委会、数据安全专委会、内容安全专委会等。 </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第四十条</w:t>
      </w:r>
      <w:r>
        <w:rPr>
          <w:rFonts w:ascii="黑体" w:hAnsi="黑体" w:eastAsia="黑体" w:cs="仿宋"/>
          <w:spacing w:val="-10"/>
          <w:sz w:val="32"/>
          <w:szCs w:val="32"/>
        </w:rPr>
        <w:t xml:space="preserve"> </w:t>
      </w:r>
      <w:r>
        <w:rPr>
          <w:rFonts w:hint="eastAsia" w:ascii="黑体" w:hAnsi="黑体" w:eastAsia="黑体" w:cs="仿宋"/>
          <w:spacing w:val="-10"/>
          <w:sz w:val="32"/>
          <w:szCs w:val="32"/>
        </w:rPr>
        <w:t>【专委会工作内容】</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电竞企业设立专委会的，可按以下内容开展工作：</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（一）设立主任、副主任等职位，定期召开会议，分析判断近期市场、法律环境变化。</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（二）收集电竞企业监管部门的有关通报，并针对通报问题进行自查。</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（三）及时与监管部门进行沟通，对新的监管要求做到及时发现与反应，并针对企业自身合规问题向监管部门反馈相关情况。</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（四）抽查公司每个项目及相关环节，对接有关专家沟通相关问题。</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（五）协助制定、修改、完善公司合规制度、计划及规定。</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（六）协助设立合规风险评估与相关预警处置机制，定期全面系统地梳理生产和经营管理中存在的合规风险，对评估中发现的相关问题及时预警，提示相关人员改进落实。</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（七）对可能面临的合规风险进行评估，定期更新企业风险评估制度，及时识别和评估原有风险的新变化及新产生的风险。</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（八）其他与电竞企业合规管理相关的事项。</w:t>
      </w:r>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w:t>
      </w:r>
      <w:r>
        <w:rPr>
          <w:rFonts w:hint="eastAsia" w:ascii="黑体" w:hAnsi="黑体" w:eastAsia="黑体" w:cs="仿宋"/>
          <w:spacing w:val="-10"/>
          <w:sz w:val="32"/>
          <w:szCs w:val="32"/>
          <w:lang w:eastAsia="zh-Hans"/>
        </w:rPr>
        <w:t>四十一</w:t>
      </w:r>
      <w:r>
        <w:rPr>
          <w:rFonts w:hint="eastAsia" w:ascii="黑体" w:hAnsi="黑体" w:eastAsia="黑体" w:cs="仿宋"/>
          <w:spacing w:val="-10"/>
          <w:sz w:val="32"/>
          <w:szCs w:val="32"/>
        </w:rPr>
        <w:t>条【从业人员职责】</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lang w:eastAsia="zh-Hans"/>
        </w:rPr>
        <w:t>电竞产业</w:t>
      </w:r>
      <w:r>
        <w:rPr>
          <w:rFonts w:hint="eastAsia" w:ascii="仿宋_GB2312" w:hAnsi="宋体" w:eastAsia="仿宋_GB2312" w:cs="宋体"/>
          <w:snapToGrid/>
          <w:color w:val="333333"/>
          <w:sz w:val="32"/>
          <w:szCs w:val="32"/>
        </w:rPr>
        <w:t>从业人员认真学习、贯彻落实本企业合规计划和规定</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从业人员发现企业合规风险或合规问题</w:t>
      </w:r>
      <w:r>
        <w:rPr>
          <w:rFonts w:ascii="仿宋_GB2312" w:hAnsi="宋体" w:eastAsia="仿宋_GB2312" w:cs="宋体"/>
          <w:snapToGrid/>
          <w:color w:val="333333"/>
          <w:sz w:val="32"/>
          <w:szCs w:val="32"/>
        </w:rPr>
        <w:t>，</w:t>
      </w:r>
      <w:r>
        <w:rPr>
          <w:rFonts w:hint="eastAsia" w:ascii="仿宋_GB2312" w:hAnsi="宋体" w:eastAsia="仿宋_GB2312" w:cs="宋体"/>
          <w:snapToGrid/>
          <w:color w:val="333333"/>
          <w:sz w:val="32"/>
          <w:szCs w:val="32"/>
        </w:rPr>
        <w:t>应及时向合规部门进行反映，共同降低企业合规风险。</w:t>
      </w:r>
    </w:p>
    <w:p>
      <w:pPr>
        <w:pageBreakBefore w:val="0"/>
        <w:widowControl w:val="0"/>
        <w:kinsoku/>
        <w:wordWrap/>
        <w:overflowPunct w:val="0"/>
        <w:topLinePunct w:val="0"/>
        <w:autoSpaceDE/>
        <w:autoSpaceDN/>
        <w:bidi w:val="0"/>
        <w:snapToGrid w:val="0"/>
        <w:spacing w:line="560" w:lineRule="exact"/>
        <w:ind w:left="2819"/>
        <w:jc w:val="both"/>
        <w:rPr>
          <w:rFonts w:ascii="楷体" w:hAnsi="楷体" w:eastAsia="楷体" w:cs="楷体"/>
          <w:spacing w:val="-4"/>
          <w:sz w:val="32"/>
          <w:szCs w:val="32"/>
        </w:rPr>
      </w:pPr>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10" w:name="_Toc149119734"/>
      <w:r>
        <w:rPr>
          <w:rFonts w:eastAsia="楷体_GB2312"/>
          <w:bCs/>
          <w:snapToGrid/>
          <w:sz w:val="32"/>
          <w:szCs w:val="32"/>
        </w:rPr>
        <w:t>第二节 合规风险处置</w:t>
      </w:r>
      <w:bookmarkEnd w:id="10"/>
    </w:p>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lang w:eastAsia="zh-Hans"/>
        </w:rPr>
        <w:t>四十二条</w:t>
      </w:r>
      <w:r>
        <w:rPr>
          <w:rFonts w:ascii="黑体" w:hAnsi="黑体" w:eastAsia="黑体" w:cs="仿宋"/>
          <w:spacing w:val="-10"/>
          <w:sz w:val="32"/>
          <w:szCs w:val="32"/>
        </w:rPr>
        <w:t>【</w:t>
      </w:r>
      <w:r>
        <w:rPr>
          <w:rFonts w:hint="eastAsia" w:ascii="黑体" w:hAnsi="黑体" w:eastAsia="黑体" w:cs="仿宋"/>
          <w:spacing w:val="-10"/>
          <w:sz w:val="32"/>
          <w:szCs w:val="32"/>
        </w:rPr>
        <w:t>合规风险预警与处置</w:t>
      </w:r>
      <w:r>
        <w:rPr>
          <w:rFonts w:ascii="黑体" w:hAnsi="黑体" w:eastAsia="黑体" w:cs="仿宋"/>
          <w:spacing w:val="-10"/>
          <w:sz w:val="32"/>
          <w:szCs w:val="32"/>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从业人员发现合规风险应及时向合规负责人或合规管理部门报告，合规负责人或合规管理部门核实后应及时制定处置方案，查找合规漏洞，消除合规隐患，强化企业合法经营意识，增强企业合规管理能力。</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电竞企业发生较大合规风险事件，合规负责人或合规管理部门应及时向行业监管部门、行业协会以及其他相关部门报告。根据主管部门要求，进行合规风险处置。</w:t>
      </w:r>
    </w:p>
    <w:p>
      <w:pPr>
        <w:pageBreakBefore w:val="0"/>
        <w:widowControl w:val="0"/>
        <w:kinsoku/>
        <w:wordWrap/>
        <w:overflowPunct w:val="0"/>
        <w:topLinePunct w:val="0"/>
        <w:autoSpaceDE/>
        <w:autoSpaceDN/>
        <w:bidi w:val="0"/>
        <w:snapToGrid w:val="0"/>
        <w:spacing w:line="560" w:lineRule="exact"/>
        <w:ind w:left="3179"/>
        <w:jc w:val="both"/>
        <w:rPr>
          <w:rFonts w:ascii="楷体" w:hAnsi="楷体" w:eastAsia="楷体" w:cs="楷体"/>
          <w:spacing w:val="7"/>
          <w:sz w:val="31"/>
          <w:szCs w:val="31"/>
        </w:rPr>
      </w:pPr>
    </w:p>
    <w:p>
      <w:pPr>
        <w:pStyle w:val="3"/>
        <w:pageBreakBefore w:val="0"/>
        <w:wordWrap/>
        <w:topLinePunct w:val="0"/>
        <w:bidi w:val="0"/>
        <w:snapToGrid w:val="0"/>
        <w:spacing w:before="0" w:after="0" w:line="560" w:lineRule="exact"/>
        <w:rPr>
          <w:snapToGrid/>
        </w:rPr>
      </w:pPr>
      <w:bookmarkStart w:id="11" w:name="_Toc149119735"/>
      <w:r>
        <w:rPr>
          <w:snapToGrid/>
        </w:rPr>
        <w:t>第</w:t>
      </w:r>
      <w:r>
        <w:rPr>
          <w:rFonts w:hint="eastAsia"/>
          <w:snapToGrid/>
        </w:rPr>
        <w:t>四</w:t>
      </w:r>
      <w:r>
        <w:rPr>
          <w:snapToGrid/>
        </w:rPr>
        <w:t xml:space="preserve">章  </w:t>
      </w:r>
      <w:r>
        <w:rPr>
          <w:rFonts w:hint="eastAsia"/>
          <w:snapToGrid/>
        </w:rPr>
        <w:t>合规保障措施</w:t>
      </w:r>
      <w:bookmarkEnd w:id="11"/>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12" w:name="_Toc149119736"/>
      <w:bookmarkStart w:id="13" w:name="_Hlk149058462"/>
      <w:r>
        <w:rPr>
          <w:rFonts w:eastAsia="楷体_GB2312"/>
          <w:bCs/>
          <w:snapToGrid/>
          <w:sz w:val="32"/>
          <w:szCs w:val="32"/>
        </w:rPr>
        <w:t>第</w:t>
      </w:r>
      <w:r>
        <w:rPr>
          <w:rFonts w:hint="eastAsia" w:eastAsia="楷体_GB2312"/>
          <w:bCs/>
          <w:snapToGrid/>
          <w:sz w:val="32"/>
          <w:szCs w:val="32"/>
        </w:rPr>
        <w:t>一</w:t>
      </w:r>
      <w:r>
        <w:rPr>
          <w:rFonts w:eastAsia="楷体_GB2312"/>
          <w:bCs/>
          <w:snapToGrid/>
          <w:sz w:val="32"/>
          <w:szCs w:val="32"/>
        </w:rPr>
        <w:t>节  合规文化</w:t>
      </w:r>
      <w:r>
        <w:rPr>
          <w:rFonts w:hint="eastAsia" w:eastAsia="楷体_GB2312"/>
          <w:bCs/>
          <w:snapToGrid/>
          <w:sz w:val="32"/>
          <w:szCs w:val="32"/>
        </w:rPr>
        <w:t>建设</w:t>
      </w:r>
      <w:bookmarkEnd w:id="12"/>
    </w:p>
    <w:bookmarkEnd w:id="13"/>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ascii="黑体" w:hAnsi="黑体" w:eastAsia="黑体" w:cs="仿宋"/>
          <w:spacing w:val="-10"/>
          <w:sz w:val="32"/>
          <w:szCs w:val="32"/>
        </w:rPr>
        <w:t>第</w:t>
      </w:r>
      <w:r>
        <w:rPr>
          <w:rFonts w:hint="eastAsia" w:ascii="黑体" w:hAnsi="黑体" w:eastAsia="黑体" w:cs="仿宋"/>
          <w:spacing w:val="-10"/>
          <w:sz w:val="32"/>
          <w:szCs w:val="32"/>
        </w:rPr>
        <w:t>四十</w:t>
      </w:r>
      <w:r>
        <w:rPr>
          <w:rFonts w:hint="eastAsia" w:ascii="黑体" w:hAnsi="黑体" w:eastAsia="黑体" w:cs="仿宋"/>
          <w:spacing w:val="-10"/>
          <w:sz w:val="32"/>
          <w:szCs w:val="32"/>
          <w:lang w:eastAsia="zh-Hans"/>
        </w:rPr>
        <w:t>三条</w:t>
      </w:r>
      <w:r>
        <w:rPr>
          <w:rFonts w:ascii="黑体" w:hAnsi="黑体" w:eastAsia="黑体" w:cs="仿宋"/>
          <w:spacing w:val="-10"/>
          <w:sz w:val="32"/>
          <w:szCs w:val="32"/>
        </w:rPr>
        <w:t>【</w:t>
      </w:r>
      <w:r>
        <w:rPr>
          <w:rFonts w:hint="eastAsia" w:ascii="黑体" w:hAnsi="黑体" w:eastAsia="黑体" w:cs="仿宋"/>
          <w:spacing w:val="-10"/>
          <w:sz w:val="32"/>
          <w:szCs w:val="32"/>
        </w:rPr>
        <w:t>合规文化培育</w:t>
      </w:r>
      <w:r>
        <w:rPr>
          <w:rFonts w:ascii="黑体" w:hAnsi="黑体" w:eastAsia="黑体" w:cs="仿宋"/>
          <w:spacing w:val="-10"/>
          <w:sz w:val="32"/>
          <w:szCs w:val="32"/>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鼓励电竞企业建立企业合规文化，积极宣传倡导合规理念，践行合规经营的价值观，增强员工合规意识，营造企业合规文化氛围。</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lang w:eastAsia="zh-Hans"/>
        </w:rPr>
      </w:pPr>
      <w:r>
        <w:rPr>
          <w:rFonts w:hint="eastAsia" w:ascii="仿宋_GB2312" w:hAnsi="宋体" w:eastAsia="仿宋_GB2312" w:cs="宋体"/>
          <w:snapToGrid/>
          <w:color w:val="333333"/>
          <w:sz w:val="32"/>
          <w:szCs w:val="32"/>
          <w:lang w:eastAsia="zh-Hans"/>
        </w:rPr>
        <w:t>鼓励从业人员参与电竞产业合规文化建设</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学习电竞产业合规知识</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提升个人合规意识</w:t>
      </w:r>
      <w:r>
        <w:rPr>
          <w:rFonts w:ascii="仿宋_GB2312" w:hAnsi="宋体" w:eastAsia="仿宋_GB2312" w:cs="宋体"/>
          <w:snapToGrid/>
          <w:color w:val="333333"/>
          <w:sz w:val="32"/>
          <w:szCs w:val="32"/>
          <w:lang w:eastAsia="zh-Hans"/>
        </w:rPr>
        <w:t>，</w:t>
      </w:r>
      <w:r>
        <w:rPr>
          <w:rFonts w:hint="eastAsia" w:ascii="仿宋_GB2312" w:hAnsi="宋体" w:eastAsia="仿宋_GB2312" w:cs="宋体"/>
          <w:snapToGrid/>
          <w:color w:val="333333"/>
          <w:sz w:val="32"/>
          <w:szCs w:val="32"/>
          <w:lang w:eastAsia="zh-Hans"/>
        </w:rPr>
        <w:t>推动电竞产业合规发展</w:t>
      </w:r>
      <w:r>
        <w:rPr>
          <w:rFonts w:ascii="仿宋_GB2312" w:hAnsi="宋体" w:eastAsia="仿宋_GB2312" w:cs="宋体"/>
          <w:snapToGrid/>
          <w:color w:val="333333"/>
          <w:sz w:val="32"/>
          <w:szCs w:val="32"/>
          <w:lang w:eastAsia="zh-Hans"/>
        </w:rPr>
        <w:t>。</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lang w:eastAsia="zh-Hans"/>
        </w:rPr>
      </w:pPr>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14" w:name="_Toc149119737"/>
      <w:bookmarkStart w:id="15" w:name="_Hlk149058513"/>
      <w:r>
        <w:rPr>
          <w:rFonts w:eastAsia="楷体_GB2312"/>
          <w:bCs/>
          <w:snapToGrid/>
          <w:sz w:val="32"/>
          <w:szCs w:val="32"/>
        </w:rPr>
        <w:t>第</w:t>
      </w:r>
      <w:r>
        <w:rPr>
          <w:rFonts w:hint="eastAsia" w:eastAsia="楷体_GB2312"/>
          <w:bCs/>
          <w:snapToGrid/>
          <w:sz w:val="32"/>
          <w:szCs w:val="32"/>
        </w:rPr>
        <w:t>二</w:t>
      </w:r>
      <w:r>
        <w:rPr>
          <w:rFonts w:eastAsia="楷体_GB2312"/>
          <w:bCs/>
          <w:snapToGrid/>
          <w:sz w:val="32"/>
          <w:szCs w:val="32"/>
        </w:rPr>
        <w:t>节  合规</w:t>
      </w:r>
      <w:r>
        <w:rPr>
          <w:rFonts w:hint="eastAsia" w:eastAsia="楷体_GB2312"/>
          <w:bCs/>
          <w:snapToGrid/>
          <w:sz w:val="32"/>
          <w:szCs w:val="32"/>
        </w:rPr>
        <w:t>制度建设</w:t>
      </w:r>
      <w:bookmarkEnd w:id="14"/>
    </w:p>
    <w:bookmarkEnd w:id="15"/>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第四十</w:t>
      </w:r>
      <w:r>
        <w:rPr>
          <w:rFonts w:hint="eastAsia" w:ascii="黑体" w:hAnsi="黑体" w:eastAsia="黑体" w:cs="仿宋"/>
          <w:spacing w:val="-10"/>
          <w:sz w:val="32"/>
          <w:szCs w:val="32"/>
          <w:lang w:eastAsia="zh-Hans"/>
        </w:rPr>
        <w:t>四</w:t>
      </w:r>
      <w:r>
        <w:rPr>
          <w:rFonts w:hint="eastAsia" w:ascii="黑体" w:hAnsi="黑体" w:eastAsia="黑体" w:cs="仿宋"/>
          <w:spacing w:val="-10"/>
          <w:sz w:val="32"/>
          <w:szCs w:val="32"/>
        </w:rPr>
        <w:t>条【合规制度建设】</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鼓励电竞企业建立健全合规管理制度，将合规管理贯穿于规章制度制定、重大事项决策、重要合同签署、重大项目运营等经营管理行为全过程。电竞企业依照合规管理流程，明确各项管理流程的责任人、流程步骤、时间节点等，确保各项管理流程的顺利进行。</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p>
    <w:p>
      <w:pPr>
        <w:keepNext/>
        <w:keepLines/>
        <w:pageBreakBefore w:val="0"/>
        <w:wordWrap/>
        <w:topLinePunct w:val="0"/>
        <w:bidi w:val="0"/>
        <w:snapToGrid w:val="0"/>
        <w:spacing w:line="560" w:lineRule="exact"/>
        <w:jc w:val="center"/>
        <w:outlineLvl w:val="2"/>
        <w:rPr>
          <w:rFonts w:eastAsia="楷体_GB2312"/>
          <w:bCs/>
          <w:snapToGrid/>
          <w:sz w:val="32"/>
          <w:szCs w:val="32"/>
        </w:rPr>
      </w:pPr>
      <w:bookmarkStart w:id="16" w:name="_Toc149119738"/>
      <w:bookmarkStart w:id="17" w:name="_Hlk149058543"/>
      <w:r>
        <w:rPr>
          <w:rFonts w:eastAsia="楷体_GB2312"/>
          <w:bCs/>
          <w:snapToGrid/>
          <w:sz w:val="32"/>
          <w:szCs w:val="32"/>
        </w:rPr>
        <w:t>第</w:t>
      </w:r>
      <w:r>
        <w:rPr>
          <w:rFonts w:hint="eastAsia" w:eastAsia="楷体_GB2312"/>
          <w:bCs/>
          <w:snapToGrid/>
          <w:sz w:val="32"/>
          <w:szCs w:val="32"/>
        </w:rPr>
        <w:t>三</w:t>
      </w:r>
      <w:r>
        <w:rPr>
          <w:rFonts w:eastAsia="楷体_GB2312"/>
          <w:bCs/>
          <w:snapToGrid/>
          <w:sz w:val="32"/>
          <w:szCs w:val="32"/>
        </w:rPr>
        <w:t xml:space="preserve">节  </w:t>
      </w:r>
      <w:r>
        <w:rPr>
          <w:rFonts w:hint="eastAsia" w:eastAsia="楷体_GB2312"/>
          <w:bCs/>
          <w:snapToGrid/>
          <w:sz w:val="32"/>
          <w:szCs w:val="32"/>
        </w:rPr>
        <w:t>激励与惩处</w:t>
      </w:r>
      <w:bookmarkEnd w:id="16"/>
    </w:p>
    <w:bookmarkEnd w:id="17"/>
    <w:p>
      <w:pPr>
        <w:pageBreakBefore w:val="0"/>
        <w:widowControl w:val="0"/>
        <w:kinsoku/>
        <w:wordWrap/>
        <w:overflowPunct w:val="0"/>
        <w:topLinePunct w:val="0"/>
        <w:autoSpaceDE/>
        <w:autoSpaceDN/>
        <w:bidi w:val="0"/>
        <w:snapToGrid w:val="0"/>
        <w:spacing w:line="560" w:lineRule="exact"/>
        <w:ind w:left="654"/>
        <w:jc w:val="both"/>
        <w:rPr>
          <w:rFonts w:ascii="黑体" w:hAnsi="黑体" w:eastAsia="黑体" w:cs="仿宋"/>
          <w:spacing w:val="-10"/>
          <w:sz w:val="32"/>
          <w:szCs w:val="32"/>
        </w:rPr>
      </w:pPr>
      <w:r>
        <w:rPr>
          <w:rFonts w:hint="eastAsia" w:ascii="黑体" w:hAnsi="黑体" w:eastAsia="黑体" w:cs="仿宋"/>
          <w:spacing w:val="-10"/>
          <w:sz w:val="32"/>
          <w:szCs w:val="32"/>
        </w:rPr>
        <w:t>第四十</w:t>
      </w:r>
      <w:r>
        <w:rPr>
          <w:rFonts w:hint="eastAsia" w:ascii="黑体" w:hAnsi="黑体" w:eastAsia="黑体" w:cs="仿宋"/>
          <w:spacing w:val="-10"/>
          <w:sz w:val="32"/>
          <w:szCs w:val="32"/>
          <w:lang w:eastAsia="zh-Hans"/>
        </w:rPr>
        <w:t>五</w:t>
      </w:r>
      <w:r>
        <w:rPr>
          <w:rFonts w:hint="eastAsia" w:ascii="黑体" w:hAnsi="黑体" w:eastAsia="黑体" w:cs="仿宋"/>
          <w:spacing w:val="-10"/>
          <w:sz w:val="32"/>
          <w:szCs w:val="32"/>
        </w:rPr>
        <w:t>条【激励与惩处】</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鼓励电竞企业建立合规经营奖惩机制。电竞企业根据自身情况建立合规考核机制，将考核结果作为企业绩效考核的重要依据，作为员工评优评先、职务任免、职务晋升以及薪酬待遇提升的评判要素。</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鼓励电竞企业设立合规奖励制度，从业人员有权向企业提出合规建议，经企业采纳的，建议企业发放相应奖励。</w:t>
      </w:r>
    </w:p>
    <w:p>
      <w:pPr>
        <w:pageBreakBefore w:val="0"/>
        <w:widowControl w:val="0"/>
        <w:kinsoku/>
        <w:wordWrap/>
        <w:overflowPunct w:val="0"/>
        <w:topLinePunct w:val="0"/>
        <w:autoSpaceDE/>
        <w:autoSpaceDN/>
        <w:bidi w:val="0"/>
        <w:snapToGrid w:val="0"/>
        <w:spacing w:line="560" w:lineRule="exact"/>
        <w:ind w:firstLine="640" w:firstLineChars="200"/>
        <w:jc w:val="both"/>
        <w:rPr>
          <w:rFonts w:ascii="仿宋_GB2312" w:hAnsi="宋体" w:eastAsia="仿宋_GB2312" w:cs="宋体"/>
          <w:snapToGrid/>
          <w:color w:val="333333"/>
          <w:sz w:val="32"/>
          <w:szCs w:val="32"/>
        </w:rPr>
      </w:pPr>
      <w:r>
        <w:rPr>
          <w:rFonts w:hint="eastAsia" w:ascii="仿宋_GB2312" w:hAnsi="宋体" w:eastAsia="仿宋_GB2312" w:cs="宋体"/>
          <w:snapToGrid/>
          <w:color w:val="333333"/>
          <w:sz w:val="32"/>
          <w:szCs w:val="32"/>
        </w:rPr>
        <w:t>电竞企业对违反电竞企业合规义务、目标、制度和要求的人员，进行适当的惩处，必要时追究相关责任。</w:t>
      </w:r>
    </w:p>
    <w:sectPr>
      <w:footerReference r:id="rId4" w:type="default"/>
      <w:pgSz w:w="11900" w:h="16840"/>
      <w:pgMar w:top="1440" w:right="1655" w:bottom="1440" w:left="1655" w:header="0" w:footer="125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561069"/>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spacing w:before="1" w:line="183"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4">
    <w:p>
      <w:r>
        <w:separator/>
      </w:r>
    </w:p>
  </w:footnote>
  <w:footnote w:type="continuationSeparator" w:id="65">
    <w:p>
      <w:r>
        <w:continuationSeparator/>
      </w:r>
    </w:p>
  </w:footnote>
  <w:footnote w:id="0">
    <w:p>
      <w:pPr>
        <w:kinsoku/>
        <w:autoSpaceDE/>
        <w:autoSpaceDN/>
        <w:adjustRightInd/>
        <w:snapToGrid/>
        <w:textAlignment w:val="auto"/>
        <w:rPr>
          <w:rFonts w:hint="eastAsia" w:asciiTheme="majorEastAsia" w:hAnsiTheme="majorEastAsia" w:eastAsiaTheme="majorEastAsia" w:cstheme="majorEastAsia"/>
          <w:sz w:val="21"/>
          <w:szCs w:val="21"/>
        </w:rPr>
      </w:pPr>
      <w:r>
        <w:rPr>
          <w:rStyle w:val="23"/>
          <w:rFonts w:hint="eastAsia" w:asciiTheme="majorEastAsia" w:hAnsiTheme="majorEastAsia" w:eastAsiaTheme="majorEastAsia" w:cstheme="majorEastAsia"/>
          <w:sz w:val="21"/>
          <w:szCs w:val="21"/>
        </w:rPr>
        <w:footnoteRef/>
      </w:r>
      <w:r>
        <w:rPr>
          <w:rStyle w:val="23"/>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rPr>
        <w:t xml:space="preserve">参见《中华人民共和国未成年人保护法》第五十条 </w:t>
      </w:r>
      <w:r>
        <w:rPr>
          <w:rFonts w:hint="eastAsia" w:asciiTheme="majorEastAsia" w:hAnsiTheme="majorEastAsia" w:eastAsiaTheme="majorEastAsia" w:cstheme="majorEastAsia"/>
          <w:sz w:val="21"/>
          <w:szCs w:val="21"/>
        </w:rPr>
        <w:t xml:space="preserve"> </w:t>
      </w:r>
    </w:p>
  </w:footnote>
  <w:footnote w:id="1">
    <w:p>
      <w:pPr>
        <w:pStyle w:val="12"/>
        <w:rPr>
          <w:sz w:val="18"/>
          <w:szCs w:val="18"/>
          <w:lang w:eastAsia="zh-Hans"/>
        </w:rPr>
      </w:pPr>
      <w:r>
        <w:rPr>
          <w:rStyle w:val="23"/>
          <w:sz w:val="18"/>
          <w:szCs w:val="18"/>
        </w:rPr>
        <w:footnoteRef/>
      </w:r>
      <w:r>
        <w:rPr>
          <w:rStyle w:val="23"/>
          <w:sz w:val="18"/>
          <w:szCs w:val="18"/>
        </w:rPr>
        <w:t xml:space="preserve"> </w:t>
      </w:r>
      <w:r>
        <w:rPr>
          <w:rFonts w:hint="eastAsia" w:asciiTheme="minorEastAsia" w:hAnsiTheme="minorEastAsia" w:eastAsiaTheme="minorEastAsia" w:cstheme="minorEastAsia"/>
          <w:sz w:val="18"/>
          <w:szCs w:val="18"/>
          <w:lang w:eastAsia="zh-Hans"/>
        </w:rPr>
        <w:t>参见《网络出版服务管理规定》第二十七条</w:t>
      </w:r>
    </w:p>
  </w:footnote>
  <w:footnote w:id="2">
    <w:p>
      <w:pPr>
        <w:pStyle w:val="12"/>
        <w:rPr>
          <w:rFonts w:eastAsiaTheme="minorEastAsia"/>
          <w:sz w:val="18"/>
          <w:szCs w:val="18"/>
        </w:rPr>
      </w:pPr>
      <w:r>
        <w:rPr>
          <w:rStyle w:val="23"/>
          <w:sz w:val="18"/>
          <w:szCs w:val="18"/>
        </w:rPr>
        <w:footnoteRef/>
      </w:r>
      <w:r>
        <w:rPr>
          <w:rStyle w:val="23"/>
          <w:sz w:val="18"/>
          <w:szCs w:val="18"/>
        </w:rPr>
        <w:t xml:space="preserve"> </w:t>
      </w:r>
      <w:r>
        <w:rPr>
          <w:rFonts w:hint="eastAsia" w:ascii="宋体" w:hAnsi="宋体" w:eastAsia="宋体" w:cs="宋体"/>
          <w:sz w:val="18"/>
          <w:szCs w:val="18"/>
        </w:rPr>
        <w:t>参见《未成年人网络保护条例》第四十二条、第四十七条</w:t>
      </w:r>
    </w:p>
  </w:footnote>
  <w:footnote w:id="3">
    <w:p>
      <w:pPr>
        <w:pStyle w:val="12"/>
        <w:rPr>
          <w:rFonts w:eastAsiaTheme="minorEastAsia"/>
        </w:rPr>
      </w:pPr>
      <w:r>
        <w:rPr>
          <w:rStyle w:val="23"/>
        </w:rPr>
        <w:footnoteRef/>
      </w:r>
      <w:r>
        <w:rPr>
          <w:rStyle w:val="23"/>
        </w:rPr>
        <w:t xml:space="preserve"> </w:t>
      </w:r>
      <w:r>
        <w:rPr>
          <w:rFonts w:hint="eastAsia" w:ascii="宋体" w:hAnsi="宋体" w:eastAsia="宋体" w:cs="宋体"/>
        </w:rPr>
        <w:t>参见《未成年人网络保护条例》第四十六条</w:t>
      </w:r>
    </w:p>
  </w:footnote>
  <w:footnote w:id="4">
    <w:p>
      <w:pPr>
        <w:pStyle w:val="12"/>
        <w:rPr>
          <w:rFonts w:eastAsiaTheme="minorEastAsia"/>
        </w:rPr>
      </w:pPr>
      <w:r>
        <w:rPr>
          <w:rStyle w:val="23"/>
        </w:rPr>
        <w:footnoteRef/>
      </w:r>
      <w:r>
        <w:t xml:space="preserve"> </w:t>
      </w:r>
      <w:r>
        <w:rPr>
          <w:rFonts w:hint="eastAsia" w:ascii="宋体" w:hAnsi="宋体" w:eastAsia="宋体" w:cs="宋体"/>
        </w:rPr>
        <w:t>参见《中华人民共和国个人信息保护法》第五条、第九条、第十条</w:t>
      </w:r>
    </w:p>
  </w:footnote>
  <w:footnote w:id="5">
    <w:p>
      <w:pPr>
        <w:pStyle w:val="12"/>
        <w:rPr>
          <w:rFonts w:eastAsia="宋体"/>
          <w:lang w:eastAsia="zh-Hans"/>
        </w:rPr>
      </w:pPr>
      <w:r>
        <w:rPr>
          <w:rStyle w:val="23"/>
        </w:rPr>
        <w:footnoteRef/>
      </w:r>
      <w:r>
        <w:t xml:space="preserve"> </w:t>
      </w:r>
      <w:r>
        <w:rPr>
          <w:rFonts w:hint="eastAsia" w:ascii="宋体" w:hAnsi="宋体" w:eastAsia="宋体" w:cs="宋体"/>
        </w:rPr>
        <w:t>参见《电竞赛事管理暂行规定》第四条、第五条，《</w:t>
      </w:r>
      <w:r>
        <w:rPr>
          <w:rFonts w:hint="eastAsia" w:ascii="宋体" w:hAnsi="宋体" w:eastAsia="宋体" w:cs="宋体"/>
          <w:lang w:eastAsia="zh-Hans"/>
        </w:rPr>
        <w:t>体育赛事活动管理</w:t>
      </w:r>
      <w:r>
        <w:rPr>
          <w:rFonts w:hint="eastAsia" w:ascii="宋体" w:hAnsi="宋体" w:eastAsia="宋体" w:cs="宋体"/>
        </w:rPr>
        <w:t>办法》</w:t>
      </w:r>
      <w:r>
        <w:rPr>
          <w:rFonts w:hint="eastAsia" w:ascii="宋体" w:hAnsi="宋体" w:eastAsia="宋体" w:cs="宋体"/>
          <w:lang w:eastAsia="zh-Hans"/>
        </w:rPr>
        <w:t>第三条</w:t>
      </w:r>
    </w:p>
  </w:footnote>
  <w:footnote w:id="6">
    <w:p>
      <w:pPr>
        <w:pStyle w:val="12"/>
        <w:rPr>
          <w:rFonts w:eastAsiaTheme="minorEastAsia"/>
        </w:rPr>
      </w:pPr>
      <w:r>
        <w:rPr>
          <w:rStyle w:val="23"/>
        </w:rPr>
        <w:footnoteRef/>
      </w:r>
      <w:r>
        <w:t xml:space="preserve"> </w:t>
      </w:r>
      <w:r>
        <w:rPr>
          <w:rFonts w:hint="eastAsia" w:ascii="宋体" w:hAnsi="宋体" w:eastAsia="宋体" w:cs="宋体"/>
        </w:rPr>
        <w:t>参见《电子竞技赛事管理暂行规定》第四条</w:t>
      </w:r>
    </w:p>
  </w:footnote>
  <w:footnote w:id="7">
    <w:p>
      <w:pPr>
        <w:pStyle w:val="12"/>
        <w:rPr>
          <w:rFonts w:eastAsiaTheme="minorEastAsia"/>
        </w:rPr>
      </w:pPr>
      <w:r>
        <w:rPr>
          <w:rStyle w:val="23"/>
        </w:rPr>
        <w:footnoteRef/>
      </w:r>
      <w:r>
        <w:t xml:space="preserve"> </w:t>
      </w:r>
      <w:r>
        <w:rPr>
          <w:rFonts w:hint="eastAsia" w:ascii="宋体" w:hAnsi="宋体" w:eastAsia="宋体" w:cs="宋体"/>
        </w:rPr>
        <w:t>参见《全国电子竞技竞赛管理办法》（试行）第四条</w:t>
      </w:r>
    </w:p>
  </w:footnote>
  <w:footnote w:id="8">
    <w:p>
      <w:pPr>
        <w:pStyle w:val="12"/>
        <w:rPr>
          <w:rFonts w:eastAsiaTheme="minorEastAsia"/>
        </w:rPr>
      </w:pPr>
      <w:r>
        <w:rPr>
          <w:rStyle w:val="23"/>
        </w:rPr>
        <w:footnoteRef/>
      </w:r>
      <w:r>
        <w:t xml:space="preserve"> </w:t>
      </w:r>
      <w:r>
        <w:rPr>
          <w:rFonts w:hint="eastAsia" w:ascii="宋体" w:hAnsi="宋体" w:eastAsia="宋体" w:cs="宋体"/>
        </w:rPr>
        <w:t>参见</w:t>
      </w:r>
      <w:r>
        <w:rPr>
          <w:rFonts w:ascii="宋体" w:hAnsi="宋体" w:eastAsia="宋体" w:cs="宋体"/>
        </w:rPr>
        <w:t>《</w:t>
      </w:r>
      <w:r>
        <w:rPr>
          <w:rFonts w:hint="eastAsia" w:ascii="宋体" w:hAnsi="宋体" w:eastAsia="宋体" w:cs="宋体"/>
          <w:lang w:eastAsia="zh-Hans"/>
        </w:rPr>
        <w:t>浙江省体育赛事管理办法</w:t>
      </w:r>
      <w:r>
        <w:rPr>
          <w:rFonts w:ascii="宋体" w:hAnsi="宋体" w:eastAsia="宋体" w:cs="宋体"/>
        </w:rPr>
        <w:t>》</w:t>
      </w:r>
      <w:r>
        <w:rPr>
          <w:rFonts w:hint="eastAsia" w:ascii="宋体" w:hAnsi="宋体" w:eastAsia="宋体" w:cs="宋体"/>
          <w:lang w:eastAsia="zh-Hans"/>
        </w:rPr>
        <w:t>第三条</w:t>
      </w:r>
      <w:r>
        <w:rPr>
          <w:rFonts w:ascii="宋体" w:hAnsi="宋体" w:eastAsia="宋体" w:cs="宋体"/>
          <w:lang w:eastAsia="zh-Hans"/>
        </w:rPr>
        <w:t>、</w:t>
      </w:r>
      <w:r>
        <w:rPr>
          <w:rFonts w:hint="eastAsia" w:ascii="宋体" w:hAnsi="宋体" w:eastAsia="宋体" w:cs="宋体"/>
        </w:rPr>
        <w:t>《浙江省体育赛事活动社会风险评估工作实施细则》（试行）第三条</w:t>
      </w:r>
    </w:p>
  </w:footnote>
  <w:footnote w:id="9">
    <w:p>
      <w:pPr>
        <w:pStyle w:val="12"/>
        <w:rPr>
          <w:rFonts w:eastAsiaTheme="minorEastAsia"/>
        </w:rPr>
      </w:pPr>
      <w:r>
        <w:rPr>
          <w:rStyle w:val="23"/>
        </w:rPr>
        <w:footnoteRef/>
      </w:r>
      <w:r>
        <w:t xml:space="preserve"> </w:t>
      </w:r>
      <w:r>
        <w:rPr>
          <w:rFonts w:hint="eastAsia" w:ascii="宋体" w:hAnsi="宋体" w:eastAsia="宋体" w:cs="宋体"/>
        </w:rPr>
        <w:t>参见《电竞赛事管理暂行规定》第六条、《全国电子竞技竞赛管理办法》（试行）第八条、《体育赛事活动管理办法》第十二条</w:t>
      </w:r>
    </w:p>
  </w:footnote>
  <w:footnote w:id="10">
    <w:p>
      <w:pPr>
        <w:pStyle w:val="12"/>
        <w:rPr>
          <w:rFonts w:eastAsiaTheme="minorEastAsia"/>
        </w:rPr>
      </w:pPr>
      <w:r>
        <w:rPr>
          <w:rStyle w:val="23"/>
        </w:rPr>
        <w:footnoteRef/>
      </w:r>
      <w:r>
        <w:t xml:space="preserve"> </w:t>
      </w:r>
      <w:r>
        <w:rPr>
          <w:rFonts w:hint="eastAsia" w:ascii="宋体" w:hAnsi="宋体" w:eastAsia="宋体" w:cs="宋体"/>
        </w:rPr>
        <w:t>参见《全国电子竞技竞赛管理办法》（试行）第十八条、《中华人民共和国刑法》第二百一十七条</w:t>
      </w:r>
    </w:p>
  </w:footnote>
  <w:footnote w:id="11">
    <w:p>
      <w:pPr>
        <w:pStyle w:val="12"/>
        <w:rPr>
          <w:rFonts w:eastAsiaTheme="minorEastAsia"/>
        </w:rPr>
      </w:pPr>
      <w:r>
        <w:rPr>
          <w:rStyle w:val="23"/>
        </w:rPr>
        <w:footnoteRef/>
      </w:r>
      <w:r>
        <w:t xml:space="preserve"> </w:t>
      </w:r>
      <w:r>
        <w:rPr>
          <w:rFonts w:hint="eastAsia"/>
          <w:lang w:eastAsia="zh-Hans"/>
        </w:rPr>
        <w:t>参见</w:t>
      </w:r>
      <w:r>
        <w:rPr>
          <w:rFonts w:hint="eastAsia" w:ascii="宋体" w:hAnsi="宋体" w:eastAsia="宋体" w:cs="宋体"/>
        </w:rPr>
        <w:t>《全国电子竞技竞赛管理办法》（试行）第十二条、《杭州电子竞技运动员管理办法》（试行）第六条</w:t>
      </w:r>
    </w:p>
  </w:footnote>
  <w:footnote w:id="12">
    <w:p>
      <w:pPr>
        <w:pStyle w:val="12"/>
        <w:rPr>
          <w:lang w:eastAsia="zh-Hans"/>
        </w:rPr>
      </w:pPr>
      <w:r>
        <w:rPr>
          <w:rStyle w:val="23"/>
        </w:rPr>
        <w:footnoteRef/>
      </w:r>
      <w:r>
        <w:t xml:space="preserve"> </w:t>
      </w:r>
      <w:r>
        <w:rPr>
          <w:rFonts w:hint="eastAsia"/>
          <w:lang w:eastAsia="zh-Hans"/>
        </w:rPr>
        <w:t>参见</w:t>
      </w:r>
      <w:r>
        <w:rPr>
          <w:lang w:eastAsia="zh-Hans"/>
        </w:rPr>
        <w:t>《</w:t>
      </w:r>
      <w:r>
        <w:rPr>
          <w:rFonts w:hint="eastAsia"/>
          <w:lang w:eastAsia="zh-Hans"/>
        </w:rPr>
        <w:t>全国电子竞技运动员注册与交流管理办法</w:t>
      </w:r>
      <w:r>
        <w:rPr>
          <w:lang w:eastAsia="zh-Hans"/>
        </w:rPr>
        <w:t>（</w:t>
      </w:r>
      <w:r>
        <w:rPr>
          <w:rFonts w:hint="eastAsia"/>
          <w:lang w:eastAsia="zh-Hans"/>
        </w:rPr>
        <w:t>试行</w:t>
      </w:r>
      <w:r>
        <w:rPr>
          <w:lang w:eastAsia="zh-Hans"/>
        </w:rPr>
        <w:t>）》</w:t>
      </w:r>
      <w:r>
        <w:rPr>
          <w:rFonts w:hint="eastAsia"/>
          <w:lang w:eastAsia="zh-Hans"/>
        </w:rPr>
        <w:t>第六条</w:t>
      </w:r>
    </w:p>
  </w:footnote>
  <w:footnote w:id="13">
    <w:p>
      <w:pPr>
        <w:pStyle w:val="12"/>
        <w:rPr>
          <w:rFonts w:eastAsiaTheme="minorEastAsia"/>
        </w:rPr>
      </w:pPr>
      <w:r>
        <w:rPr>
          <w:rStyle w:val="23"/>
        </w:rPr>
        <w:footnoteRef/>
      </w:r>
      <w:r>
        <w:t xml:space="preserve"> </w:t>
      </w:r>
      <w:r>
        <w:rPr>
          <w:rFonts w:hint="eastAsia" w:ascii="宋体" w:hAnsi="宋体" w:eastAsia="宋体" w:cs="宋体"/>
        </w:rPr>
        <w:t>参见《电子竞技赛事管理暂行规定》第十八条，《全国电子竞技竞赛管理办法》（试行）第十七条、第二十二条</w:t>
      </w:r>
    </w:p>
  </w:footnote>
  <w:footnote w:id="14">
    <w:p>
      <w:pPr>
        <w:pStyle w:val="12"/>
        <w:rPr>
          <w:rFonts w:eastAsiaTheme="minorEastAsia"/>
        </w:rPr>
      </w:pPr>
      <w:r>
        <w:rPr>
          <w:rStyle w:val="23"/>
        </w:rPr>
        <w:footnoteRef/>
      </w:r>
      <w:r>
        <w:t xml:space="preserve"> </w:t>
      </w:r>
      <w:r>
        <w:rPr>
          <w:rFonts w:hint="eastAsia" w:ascii="宋体" w:hAnsi="宋体" w:eastAsia="宋体" w:cs="宋体"/>
        </w:rPr>
        <w:t>参见《互联网直播服务管理规定》第十三条、《电子竞技赛事管理暂行规定》第十三条</w:t>
      </w:r>
    </w:p>
  </w:footnote>
  <w:footnote w:id="15">
    <w:p>
      <w:pPr>
        <w:pStyle w:val="12"/>
        <w:rPr>
          <w:rFonts w:eastAsiaTheme="minorEastAsia"/>
        </w:rPr>
      </w:pPr>
      <w:r>
        <w:rPr>
          <w:rStyle w:val="23"/>
        </w:rPr>
        <w:footnoteRef/>
      </w:r>
      <w:r>
        <w:rPr>
          <w:rFonts w:hint="eastAsia" w:ascii="宋体" w:hAnsi="宋体" w:eastAsia="宋体" w:cs="宋体"/>
        </w:rPr>
        <w:t>参见《中华人民共和国治安管理处罚法》第七十条、《中华人民共和国刑法》第三百零三条</w:t>
      </w:r>
    </w:p>
  </w:footnote>
  <w:footnote w:id="16">
    <w:p>
      <w:pPr>
        <w:pStyle w:val="12"/>
        <w:rPr>
          <w:rFonts w:eastAsiaTheme="minorEastAsia"/>
        </w:rPr>
      </w:pPr>
      <w:r>
        <w:rPr>
          <w:rStyle w:val="23"/>
        </w:rPr>
        <w:footnoteRef/>
      </w:r>
      <w:r>
        <w:t xml:space="preserve"> </w:t>
      </w:r>
      <w:r>
        <w:rPr>
          <w:rFonts w:hint="eastAsia" w:ascii="宋体" w:hAnsi="宋体" w:eastAsia="宋体" w:cs="宋体"/>
        </w:rPr>
        <w:t>参见《中华人民共和国刑法》第一百六十三条、第二百六十六条</w:t>
      </w:r>
    </w:p>
  </w:footnote>
  <w:footnote w:id="17">
    <w:p>
      <w:pPr>
        <w:pStyle w:val="12"/>
        <w:rPr>
          <w:rFonts w:eastAsiaTheme="minorEastAsia"/>
        </w:rPr>
      </w:pPr>
      <w:r>
        <w:rPr>
          <w:rStyle w:val="23"/>
        </w:rPr>
        <w:footnoteRef/>
      </w:r>
      <w:r>
        <w:t xml:space="preserve"> </w:t>
      </w:r>
      <w:r>
        <w:rPr>
          <w:rFonts w:hint="eastAsia" w:ascii="宋体" w:hAnsi="宋体" w:eastAsia="宋体" w:cs="宋体"/>
        </w:rPr>
        <w:t>参见</w:t>
      </w:r>
      <w:r>
        <w:rPr>
          <w:lang w:eastAsia="zh-Hans"/>
        </w:rPr>
        <w:t>《</w:t>
      </w:r>
      <w:r>
        <w:rPr>
          <w:rFonts w:hint="eastAsia"/>
          <w:lang w:eastAsia="zh-Hans"/>
        </w:rPr>
        <w:t>全国电子竞技运动员注册与交流管理办法</w:t>
      </w:r>
      <w:r>
        <w:rPr>
          <w:lang w:eastAsia="zh-Hans"/>
        </w:rPr>
        <w:t>（</w:t>
      </w:r>
      <w:r>
        <w:rPr>
          <w:rFonts w:hint="eastAsia"/>
          <w:lang w:eastAsia="zh-Hans"/>
        </w:rPr>
        <w:t>试行</w:t>
      </w:r>
      <w:r>
        <w:rPr>
          <w:lang w:eastAsia="zh-Hans"/>
        </w:rPr>
        <w:t>）》</w:t>
      </w:r>
      <w:r>
        <w:rPr>
          <w:rFonts w:hint="eastAsia"/>
          <w:lang w:eastAsia="zh-Hans"/>
        </w:rPr>
        <w:t>第十五条</w:t>
      </w:r>
      <w:r>
        <w:rPr>
          <w:lang w:eastAsia="zh-Hans"/>
        </w:rPr>
        <w:t>、</w:t>
      </w:r>
      <w:r>
        <w:rPr>
          <w:rFonts w:hint="eastAsia"/>
          <w:lang w:eastAsia="zh-Hans"/>
        </w:rPr>
        <w:t>第十七条</w:t>
      </w:r>
      <w:r>
        <w:rPr>
          <w:lang w:eastAsia="zh-Hans"/>
        </w:rPr>
        <w:t>、</w:t>
      </w:r>
      <w:r>
        <w:rPr>
          <w:rFonts w:hint="eastAsia"/>
          <w:lang w:eastAsia="zh-Hans"/>
        </w:rPr>
        <w:t>第十八条</w:t>
      </w:r>
    </w:p>
  </w:footnote>
  <w:footnote w:id="18">
    <w:p>
      <w:pPr>
        <w:pStyle w:val="12"/>
        <w:rPr>
          <w:rFonts w:eastAsiaTheme="minorEastAsia"/>
        </w:rPr>
      </w:pPr>
      <w:r>
        <w:rPr>
          <w:rStyle w:val="23"/>
        </w:rPr>
        <w:footnoteRef/>
      </w:r>
      <w:r>
        <w:t xml:space="preserve"> </w:t>
      </w:r>
      <w:r>
        <w:rPr>
          <w:rFonts w:hint="eastAsia" w:ascii="宋体" w:hAnsi="宋体" w:eastAsia="宋体" w:cs="宋体"/>
        </w:rPr>
        <w:t>参见《中华人民共和国劳动合同法》第七条</w:t>
      </w:r>
    </w:p>
  </w:footnote>
  <w:footnote w:id="19">
    <w:p>
      <w:pPr>
        <w:pStyle w:val="12"/>
        <w:rPr>
          <w:rFonts w:eastAsiaTheme="minorEastAsia"/>
        </w:rPr>
      </w:pPr>
      <w:r>
        <w:rPr>
          <w:rStyle w:val="23"/>
        </w:rPr>
        <w:footnoteRef/>
      </w:r>
      <w:r>
        <w:t xml:space="preserve"> </w:t>
      </w:r>
      <w:r>
        <w:rPr>
          <w:rFonts w:hint="eastAsia" w:ascii="宋体" w:hAnsi="宋体" w:eastAsia="宋体" w:cs="宋体"/>
        </w:rPr>
        <w:t>参见</w:t>
      </w:r>
      <w:r>
        <w:rPr>
          <w:lang w:eastAsia="zh-Hans"/>
        </w:rPr>
        <w:t>《</w:t>
      </w:r>
      <w:r>
        <w:rPr>
          <w:rFonts w:hint="eastAsia"/>
          <w:lang w:eastAsia="zh-Hans"/>
        </w:rPr>
        <w:t>全国电子竞技运动员注册与交流管理办法</w:t>
      </w:r>
      <w:r>
        <w:rPr>
          <w:lang w:eastAsia="zh-Hans"/>
        </w:rPr>
        <w:t>（</w:t>
      </w:r>
      <w:r>
        <w:rPr>
          <w:rFonts w:hint="eastAsia"/>
          <w:lang w:eastAsia="zh-Hans"/>
        </w:rPr>
        <w:t>试行</w:t>
      </w:r>
      <w:r>
        <w:rPr>
          <w:lang w:eastAsia="zh-Hans"/>
        </w:rPr>
        <w:t>）》</w:t>
      </w:r>
      <w:r>
        <w:rPr>
          <w:rFonts w:hint="eastAsia"/>
          <w:lang w:eastAsia="zh-Hans"/>
        </w:rPr>
        <w:t>第六条</w:t>
      </w:r>
      <w:r>
        <w:rPr>
          <w:rFonts w:hint="eastAsia" w:eastAsiaTheme="minorEastAsia"/>
          <w:lang w:eastAsia="zh-Hans"/>
        </w:rPr>
        <w:t>、</w:t>
      </w:r>
      <w:r>
        <w:rPr>
          <w:rFonts w:hint="eastAsia" w:ascii="宋体" w:hAnsi="宋体" w:eastAsia="宋体" w:cs="宋体"/>
        </w:rPr>
        <w:t>《杭州电子竞技运动员管理办法》（试行）第十二条</w:t>
      </w:r>
    </w:p>
  </w:footnote>
  <w:footnote w:id="20">
    <w:p>
      <w:pPr>
        <w:pStyle w:val="12"/>
        <w:rPr>
          <w:rFonts w:eastAsiaTheme="minorEastAsia"/>
        </w:rPr>
      </w:pPr>
      <w:r>
        <w:rPr>
          <w:rStyle w:val="23"/>
        </w:rPr>
        <w:footnoteRef/>
      </w:r>
      <w:r>
        <w:t xml:space="preserve"> </w:t>
      </w:r>
      <w:r>
        <w:rPr>
          <w:rFonts w:hint="eastAsia" w:ascii="宋体" w:hAnsi="宋体" w:eastAsia="宋体" w:cs="宋体"/>
        </w:rPr>
        <w:t>参见《互联网直播服务管理规定》第三条</w:t>
      </w:r>
    </w:p>
  </w:footnote>
  <w:footnote w:id="21">
    <w:p>
      <w:pPr>
        <w:pStyle w:val="12"/>
        <w:rPr>
          <w:rFonts w:eastAsiaTheme="minorEastAsia"/>
        </w:rPr>
      </w:pPr>
      <w:r>
        <w:rPr>
          <w:rStyle w:val="23"/>
        </w:rPr>
        <w:footnoteRef/>
      </w:r>
      <w:r>
        <w:t xml:space="preserve"> </w:t>
      </w:r>
      <w:r>
        <w:rPr>
          <w:rFonts w:hint="eastAsia" w:ascii="宋体" w:hAnsi="宋体" w:eastAsia="宋体" w:cs="宋体"/>
        </w:rPr>
        <w:t>参见《互联网直播服务管理规定》第十三条</w:t>
      </w:r>
    </w:p>
  </w:footnote>
  <w:footnote w:id="22">
    <w:p>
      <w:pPr>
        <w:pStyle w:val="12"/>
        <w:rPr>
          <w:rFonts w:eastAsiaTheme="minorEastAsia"/>
        </w:rPr>
      </w:pPr>
      <w:r>
        <w:rPr>
          <w:rStyle w:val="23"/>
        </w:rPr>
        <w:footnoteRef/>
      </w:r>
      <w:r>
        <w:t xml:space="preserve"> </w:t>
      </w:r>
      <w:r>
        <w:rPr>
          <w:rFonts w:hint="eastAsia" w:ascii="宋体" w:hAnsi="宋体" w:eastAsia="宋体" w:cs="宋体"/>
        </w:rPr>
        <w:t>参见《互联网直播服务管理规定》第五条、第六条</w:t>
      </w:r>
    </w:p>
  </w:footnote>
  <w:footnote w:id="23">
    <w:p>
      <w:pPr>
        <w:pStyle w:val="12"/>
        <w:rPr>
          <w:rFonts w:eastAsiaTheme="minorEastAsia"/>
        </w:rPr>
      </w:pPr>
      <w:r>
        <w:rPr>
          <w:rStyle w:val="23"/>
        </w:rPr>
        <w:footnoteRef/>
      </w:r>
      <w:r>
        <w:t xml:space="preserve"> </w:t>
      </w:r>
      <w:r>
        <w:rPr>
          <w:rFonts w:hint="eastAsia" w:ascii="宋体" w:hAnsi="宋体" w:eastAsia="宋体" w:cs="宋体"/>
        </w:rPr>
        <w:t>参见《互联网直播服务管理规定》第十一条</w:t>
      </w:r>
    </w:p>
  </w:footnote>
  <w:footnote w:id="24">
    <w:p>
      <w:pPr>
        <w:pStyle w:val="12"/>
        <w:rPr>
          <w:rFonts w:eastAsiaTheme="minorEastAsia"/>
        </w:rPr>
      </w:pPr>
      <w:r>
        <w:rPr>
          <w:rStyle w:val="23"/>
        </w:rPr>
        <w:footnoteRef/>
      </w:r>
      <w:r>
        <w:t xml:space="preserve"> </w:t>
      </w:r>
      <w:r>
        <w:rPr>
          <w:rFonts w:hint="eastAsia" w:ascii="宋体" w:hAnsi="宋体" w:eastAsia="宋体" w:cs="宋体"/>
        </w:rPr>
        <w:t>参见《全国电子竞技竞赛管理办法》（试行）第十四条、《杭州电子竞技运动员管理办法》（试行）第六条</w:t>
      </w:r>
    </w:p>
  </w:footnote>
  <w:footnote w:id="25">
    <w:p>
      <w:pPr>
        <w:pStyle w:val="12"/>
        <w:rPr>
          <w:rFonts w:eastAsiaTheme="minorEastAsia"/>
        </w:rPr>
      </w:pPr>
      <w:r>
        <w:rPr>
          <w:rStyle w:val="23"/>
        </w:rPr>
        <w:footnoteRef/>
      </w:r>
      <w:r>
        <w:t xml:space="preserve"> </w:t>
      </w:r>
      <w:r>
        <w:rPr>
          <w:rFonts w:hint="eastAsia" w:ascii="宋体" w:hAnsi="宋体" w:eastAsia="宋体" w:cs="宋体"/>
        </w:rPr>
        <w:t>参见《互联网直播服务管理规定》第三条</w:t>
      </w:r>
    </w:p>
  </w:footnote>
  <w:footnote w:id="26">
    <w:p>
      <w:pPr>
        <w:pStyle w:val="12"/>
        <w:rPr>
          <w:rFonts w:eastAsiaTheme="minorEastAsia"/>
        </w:rPr>
      </w:pPr>
      <w:r>
        <w:rPr>
          <w:rStyle w:val="23"/>
        </w:rPr>
        <w:footnoteRef/>
      </w:r>
      <w:r>
        <w:t xml:space="preserve"> </w:t>
      </w:r>
      <w:r>
        <w:rPr>
          <w:rFonts w:hint="eastAsia" w:ascii="宋体" w:hAnsi="宋体" w:eastAsia="宋体" w:cs="宋体"/>
        </w:rPr>
        <w:t>参见《中华人民共和国税收征收管理法》第二十五条</w:t>
      </w:r>
    </w:p>
  </w:footnote>
  <w:footnote w:id="27">
    <w:p>
      <w:pPr>
        <w:pStyle w:val="12"/>
        <w:rPr>
          <w:rFonts w:eastAsiaTheme="minorEastAsia"/>
        </w:rPr>
      </w:pPr>
      <w:r>
        <w:rPr>
          <w:rStyle w:val="23"/>
        </w:rPr>
        <w:footnoteRef/>
      </w:r>
      <w:r>
        <w:t xml:space="preserve"> </w:t>
      </w:r>
      <w:r>
        <w:rPr>
          <w:rFonts w:hint="eastAsia" w:ascii="宋体" w:hAnsi="宋体" w:eastAsia="宋体" w:cs="宋体"/>
        </w:rPr>
        <w:t>参见《中华人民共和国消费者权益保护法》第十六条</w:t>
      </w:r>
    </w:p>
  </w:footnote>
  <w:footnote w:id="28">
    <w:p>
      <w:pPr>
        <w:pStyle w:val="12"/>
        <w:rPr>
          <w:rFonts w:eastAsiaTheme="minorEastAsia"/>
        </w:rPr>
      </w:pPr>
      <w:r>
        <w:rPr>
          <w:rStyle w:val="23"/>
        </w:rPr>
        <w:footnoteRef/>
      </w:r>
      <w:r>
        <w:t xml:space="preserve"> </w:t>
      </w:r>
      <w:r>
        <w:rPr>
          <w:rFonts w:hint="eastAsia" w:ascii="宋体" w:hAnsi="宋体" w:eastAsia="宋体" w:cs="宋体"/>
        </w:rPr>
        <w:t>参见《中华人民共和国广告法》第三十八条、第六十一条</w:t>
      </w:r>
    </w:p>
  </w:footnote>
  <w:footnote w:id="29">
    <w:p>
      <w:pPr>
        <w:pStyle w:val="12"/>
        <w:rPr>
          <w:rFonts w:eastAsiaTheme="minorEastAsia"/>
        </w:rPr>
      </w:pPr>
      <w:r>
        <w:rPr>
          <w:rStyle w:val="23"/>
        </w:rPr>
        <w:footnoteRef/>
      </w:r>
      <w:r>
        <w:t xml:space="preserve"> </w:t>
      </w:r>
      <w:r>
        <w:rPr>
          <w:rFonts w:hint="eastAsia"/>
          <w:lang w:eastAsia="zh-Hans"/>
        </w:rPr>
        <w:t>参见</w:t>
      </w:r>
      <w:r>
        <w:rPr>
          <w:rFonts w:hint="eastAsia" w:ascii="宋体" w:hAnsi="宋体" w:eastAsia="宋体" w:cs="宋体"/>
        </w:rPr>
        <w:t>《中华人民共和国个人信息保护法》第六十六条，《中华人民共和国治安管理处罚法》第四十二条，《中华人民共和国刑法》第二百五十三条之一、第二百八十六条之一</w:t>
      </w:r>
    </w:p>
  </w:footnote>
  <w:footnote w:id="30">
    <w:p>
      <w:pPr>
        <w:pStyle w:val="12"/>
        <w:rPr>
          <w:rFonts w:eastAsiaTheme="minorEastAsia"/>
        </w:rPr>
      </w:pPr>
      <w:r>
        <w:rPr>
          <w:rStyle w:val="23"/>
        </w:rPr>
        <w:footnoteRef/>
      </w:r>
      <w:r>
        <w:t xml:space="preserve"> </w:t>
      </w:r>
      <w:r>
        <w:rPr>
          <w:rFonts w:hint="eastAsia"/>
          <w:lang w:eastAsia="zh-Hans"/>
        </w:rPr>
        <w:t>参见</w:t>
      </w:r>
      <w:r>
        <w:rPr>
          <w:rFonts w:hint="eastAsia" w:ascii="宋体" w:hAnsi="宋体" w:eastAsia="宋体" w:cs="宋体"/>
        </w:rPr>
        <w:t>《中华人民共和国体育法》第十四条</w:t>
      </w:r>
    </w:p>
  </w:footnote>
  <w:footnote w:id="31">
    <w:p>
      <w:pPr>
        <w:pStyle w:val="12"/>
        <w:rPr>
          <w:rFonts w:eastAsiaTheme="minorEastAsia"/>
        </w:rPr>
      </w:pPr>
      <w:r>
        <w:rPr>
          <w:rStyle w:val="23"/>
        </w:rPr>
        <w:footnoteRef/>
      </w:r>
      <w:r>
        <w:t xml:space="preserve"> </w:t>
      </w:r>
      <w:r>
        <w:rPr>
          <w:rFonts w:hint="eastAsia" w:ascii="宋体" w:hAnsi="宋体" w:eastAsia="宋体" w:cs="宋体"/>
        </w:rPr>
        <w:t>参见《中华人民共和国民法典》第六十一条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footnotePr>
    <w:footnote w:id="64"/>
    <w:footnote w:id="65"/>
  </w:foot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714ACA"/>
    <w:rsid w:val="0003738D"/>
    <w:rsid w:val="00042D7F"/>
    <w:rsid w:val="00065A1F"/>
    <w:rsid w:val="00080EA2"/>
    <w:rsid w:val="00097488"/>
    <w:rsid w:val="000B6C5C"/>
    <w:rsid w:val="000D4C75"/>
    <w:rsid w:val="000E0775"/>
    <w:rsid w:val="000E5255"/>
    <w:rsid w:val="00105B18"/>
    <w:rsid w:val="001211FA"/>
    <w:rsid w:val="00121854"/>
    <w:rsid w:val="00124FAF"/>
    <w:rsid w:val="00140715"/>
    <w:rsid w:val="001533F5"/>
    <w:rsid w:val="0015441C"/>
    <w:rsid w:val="001673BE"/>
    <w:rsid w:val="00170FB1"/>
    <w:rsid w:val="00171A79"/>
    <w:rsid w:val="00174636"/>
    <w:rsid w:val="001860FF"/>
    <w:rsid w:val="00186CA5"/>
    <w:rsid w:val="00197C93"/>
    <w:rsid w:val="001A2CB9"/>
    <w:rsid w:val="001A2FA7"/>
    <w:rsid w:val="001C043D"/>
    <w:rsid w:val="001D4CB9"/>
    <w:rsid w:val="001D71AF"/>
    <w:rsid w:val="001E046D"/>
    <w:rsid w:val="001E145D"/>
    <w:rsid w:val="001E7102"/>
    <w:rsid w:val="001F42F4"/>
    <w:rsid w:val="001F7C7F"/>
    <w:rsid w:val="00201EB0"/>
    <w:rsid w:val="00207147"/>
    <w:rsid w:val="00210D87"/>
    <w:rsid w:val="00220314"/>
    <w:rsid w:val="0023590B"/>
    <w:rsid w:val="002750A5"/>
    <w:rsid w:val="002761A1"/>
    <w:rsid w:val="002B7996"/>
    <w:rsid w:val="002D28EE"/>
    <w:rsid w:val="002D7441"/>
    <w:rsid w:val="002D7C72"/>
    <w:rsid w:val="002E3EEF"/>
    <w:rsid w:val="002F509B"/>
    <w:rsid w:val="00317F6E"/>
    <w:rsid w:val="00346237"/>
    <w:rsid w:val="00362981"/>
    <w:rsid w:val="00362D61"/>
    <w:rsid w:val="003730EA"/>
    <w:rsid w:val="00384825"/>
    <w:rsid w:val="00384911"/>
    <w:rsid w:val="0039142D"/>
    <w:rsid w:val="003A74C8"/>
    <w:rsid w:val="003B59A9"/>
    <w:rsid w:val="003B6B46"/>
    <w:rsid w:val="003B7CBD"/>
    <w:rsid w:val="003C61C3"/>
    <w:rsid w:val="00400765"/>
    <w:rsid w:val="00404E75"/>
    <w:rsid w:val="00410F3D"/>
    <w:rsid w:val="004340DB"/>
    <w:rsid w:val="00435608"/>
    <w:rsid w:val="00436577"/>
    <w:rsid w:val="0044313C"/>
    <w:rsid w:val="0044552D"/>
    <w:rsid w:val="00446727"/>
    <w:rsid w:val="00456DE1"/>
    <w:rsid w:val="00480293"/>
    <w:rsid w:val="00480814"/>
    <w:rsid w:val="0048376D"/>
    <w:rsid w:val="004A2201"/>
    <w:rsid w:val="004B2AB9"/>
    <w:rsid w:val="004C2CB6"/>
    <w:rsid w:val="004C5D7F"/>
    <w:rsid w:val="004E5BC5"/>
    <w:rsid w:val="004E664A"/>
    <w:rsid w:val="004F2536"/>
    <w:rsid w:val="00501457"/>
    <w:rsid w:val="00504F04"/>
    <w:rsid w:val="005210EE"/>
    <w:rsid w:val="00522A09"/>
    <w:rsid w:val="00534D96"/>
    <w:rsid w:val="0053627A"/>
    <w:rsid w:val="005432E4"/>
    <w:rsid w:val="00552E10"/>
    <w:rsid w:val="00555989"/>
    <w:rsid w:val="005749B1"/>
    <w:rsid w:val="0057570B"/>
    <w:rsid w:val="005909B5"/>
    <w:rsid w:val="00592261"/>
    <w:rsid w:val="005A5D1A"/>
    <w:rsid w:val="005B101C"/>
    <w:rsid w:val="005B341D"/>
    <w:rsid w:val="005D1E2D"/>
    <w:rsid w:val="005E1701"/>
    <w:rsid w:val="005E5DF3"/>
    <w:rsid w:val="005F6247"/>
    <w:rsid w:val="00603ACD"/>
    <w:rsid w:val="00614ED9"/>
    <w:rsid w:val="00626397"/>
    <w:rsid w:val="00643A91"/>
    <w:rsid w:val="0064529C"/>
    <w:rsid w:val="00660BF8"/>
    <w:rsid w:val="006816CD"/>
    <w:rsid w:val="00684CB8"/>
    <w:rsid w:val="006A13B8"/>
    <w:rsid w:val="006B00DC"/>
    <w:rsid w:val="006B4572"/>
    <w:rsid w:val="006B660F"/>
    <w:rsid w:val="006C0D20"/>
    <w:rsid w:val="006E2531"/>
    <w:rsid w:val="006E5F9C"/>
    <w:rsid w:val="00714ACA"/>
    <w:rsid w:val="007241BF"/>
    <w:rsid w:val="00726DA0"/>
    <w:rsid w:val="00736899"/>
    <w:rsid w:val="00752476"/>
    <w:rsid w:val="007666D8"/>
    <w:rsid w:val="00777BA0"/>
    <w:rsid w:val="007A2A92"/>
    <w:rsid w:val="007B5B3A"/>
    <w:rsid w:val="007C1C98"/>
    <w:rsid w:val="007C510D"/>
    <w:rsid w:val="007C74CC"/>
    <w:rsid w:val="007D39D0"/>
    <w:rsid w:val="007D7CA8"/>
    <w:rsid w:val="007E2BF8"/>
    <w:rsid w:val="007E4B1A"/>
    <w:rsid w:val="00802393"/>
    <w:rsid w:val="008129D2"/>
    <w:rsid w:val="00816E03"/>
    <w:rsid w:val="008200A7"/>
    <w:rsid w:val="00827D2C"/>
    <w:rsid w:val="008301D7"/>
    <w:rsid w:val="0083082A"/>
    <w:rsid w:val="00830A78"/>
    <w:rsid w:val="00834958"/>
    <w:rsid w:val="00837736"/>
    <w:rsid w:val="0085595E"/>
    <w:rsid w:val="0087712A"/>
    <w:rsid w:val="00882521"/>
    <w:rsid w:val="008A1203"/>
    <w:rsid w:val="008A394E"/>
    <w:rsid w:val="008A7AE7"/>
    <w:rsid w:val="008B4DE3"/>
    <w:rsid w:val="008B76B2"/>
    <w:rsid w:val="008E7D2D"/>
    <w:rsid w:val="008F1D68"/>
    <w:rsid w:val="00917149"/>
    <w:rsid w:val="00935B25"/>
    <w:rsid w:val="00944E55"/>
    <w:rsid w:val="00950999"/>
    <w:rsid w:val="00951CD4"/>
    <w:rsid w:val="00954CF9"/>
    <w:rsid w:val="009607D4"/>
    <w:rsid w:val="00963FAE"/>
    <w:rsid w:val="00976DD2"/>
    <w:rsid w:val="00981C37"/>
    <w:rsid w:val="00983872"/>
    <w:rsid w:val="00986B03"/>
    <w:rsid w:val="00987485"/>
    <w:rsid w:val="009A4FC7"/>
    <w:rsid w:val="009B6A95"/>
    <w:rsid w:val="009C21A1"/>
    <w:rsid w:val="009C34DE"/>
    <w:rsid w:val="009D4AEF"/>
    <w:rsid w:val="009D695D"/>
    <w:rsid w:val="009F6DF4"/>
    <w:rsid w:val="009F6FCA"/>
    <w:rsid w:val="00A145F5"/>
    <w:rsid w:val="00A15489"/>
    <w:rsid w:val="00A22056"/>
    <w:rsid w:val="00A404A6"/>
    <w:rsid w:val="00A5794C"/>
    <w:rsid w:val="00A57B6B"/>
    <w:rsid w:val="00A67860"/>
    <w:rsid w:val="00A7572F"/>
    <w:rsid w:val="00A80C47"/>
    <w:rsid w:val="00A84E86"/>
    <w:rsid w:val="00AA15BF"/>
    <w:rsid w:val="00AA1A8F"/>
    <w:rsid w:val="00AA34C3"/>
    <w:rsid w:val="00AB584D"/>
    <w:rsid w:val="00AD1683"/>
    <w:rsid w:val="00AD7B76"/>
    <w:rsid w:val="00AE2FBA"/>
    <w:rsid w:val="00AE6481"/>
    <w:rsid w:val="00B0273F"/>
    <w:rsid w:val="00B04AB7"/>
    <w:rsid w:val="00B07DAE"/>
    <w:rsid w:val="00B20918"/>
    <w:rsid w:val="00B61674"/>
    <w:rsid w:val="00B70D82"/>
    <w:rsid w:val="00B86E26"/>
    <w:rsid w:val="00BA7BC4"/>
    <w:rsid w:val="00BB3D2B"/>
    <w:rsid w:val="00BE7FDC"/>
    <w:rsid w:val="00BF5B4D"/>
    <w:rsid w:val="00BF7FDA"/>
    <w:rsid w:val="00C14ACA"/>
    <w:rsid w:val="00C15D7D"/>
    <w:rsid w:val="00C22F8E"/>
    <w:rsid w:val="00C52473"/>
    <w:rsid w:val="00C562BE"/>
    <w:rsid w:val="00C564A5"/>
    <w:rsid w:val="00C615A1"/>
    <w:rsid w:val="00C722CA"/>
    <w:rsid w:val="00C77A35"/>
    <w:rsid w:val="00C914C9"/>
    <w:rsid w:val="00C95289"/>
    <w:rsid w:val="00CA06B5"/>
    <w:rsid w:val="00CA081F"/>
    <w:rsid w:val="00CA24C2"/>
    <w:rsid w:val="00CD0ECD"/>
    <w:rsid w:val="00CD0FAF"/>
    <w:rsid w:val="00CF307A"/>
    <w:rsid w:val="00D1505C"/>
    <w:rsid w:val="00D32CD6"/>
    <w:rsid w:val="00D535AE"/>
    <w:rsid w:val="00D607C1"/>
    <w:rsid w:val="00D60E8D"/>
    <w:rsid w:val="00D710A8"/>
    <w:rsid w:val="00D80534"/>
    <w:rsid w:val="00D80BB2"/>
    <w:rsid w:val="00D91F54"/>
    <w:rsid w:val="00D928C6"/>
    <w:rsid w:val="00D94E3A"/>
    <w:rsid w:val="00D96D5D"/>
    <w:rsid w:val="00DA1F4C"/>
    <w:rsid w:val="00DC17C6"/>
    <w:rsid w:val="00DD09DA"/>
    <w:rsid w:val="00DD6278"/>
    <w:rsid w:val="00DE7299"/>
    <w:rsid w:val="00DF0086"/>
    <w:rsid w:val="00DF045B"/>
    <w:rsid w:val="00DF5D3C"/>
    <w:rsid w:val="00DF6464"/>
    <w:rsid w:val="00E208BB"/>
    <w:rsid w:val="00E25D91"/>
    <w:rsid w:val="00E3298F"/>
    <w:rsid w:val="00E37C05"/>
    <w:rsid w:val="00E42087"/>
    <w:rsid w:val="00E42990"/>
    <w:rsid w:val="00E459A1"/>
    <w:rsid w:val="00E67B77"/>
    <w:rsid w:val="00E73228"/>
    <w:rsid w:val="00E77841"/>
    <w:rsid w:val="00E8136D"/>
    <w:rsid w:val="00EC1F94"/>
    <w:rsid w:val="00ED17CB"/>
    <w:rsid w:val="00ED30E1"/>
    <w:rsid w:val="00EE50D0"/>
    <w:rsid w:val="00EE7A48"/>
    <w:rsid w:val="00EF44F3"/>
    <w:rsid w:val="00F209C5"/>
    <w:rsid w:val="00F2132C"/>
    <w:rsid w:val="00F2331D"/>
    <w:rsid w:val="00F32C79"/>
    <w:rsid w:val="00F369F9"/>
    <w:rsid w:val="00F431CD"/>
    <w:rsid w:val="00F469CD"/>
    <w:rsid w:val="00F46A71"/>
    <w:rsid w:val="00F82885"/>
    <w:rsid w:val="00F86109"/>
    <w:rsid w:val="00F86704"/>
    <w:rsid w:val="00F938EE"/>
    <w:rsid w:val="00FB3042"/>
    <w:rsid w:val="00FC19A7"/>
    <w:rsid w:val="00FD16EA"/>
    <w:rsid w:val="00FD3C38"/>
    <w:rsid w:val="00FE4D60"/>
    <w:rsid w:val="00FE7CDA"/>
    <w:rsid w:val="00FF2233"/>
    <w:rsid w:val="191B4944"/>
    <w:rsid w:val="1F3DD07E"/>
    <w:rsid w:val="1FAA9473"/>
    <w:rsid w:val="1FF3A557"/>
    <w:rsid w:val="263767D6"/>
    <w:rsid w:val="2ADF8B19"/>
    <w:rsid w:val="2FF8FFA3"/>
    <w:rsid w:val="358E3898"/>
    <w:rsid w:val="373D6A03"/>
    <w:rsid w:val="37FBD13A"/>
    <w:rsid w:val="37FF7D7F"/>
    <w:rsid w:val="3B06161A"/>
    <w:rsid w:val="3BFA70FA"/>
    <w:rsid w:val="3DF90A48"/>
    <w:rsid w:val="3E3A5849"/>
    <w:rsid w:val="3E7FACC2"/>
    <w:rsid w:val="3F761655"/>
    <w:rsid w:val="3FBF4387"/>
    <w:rsid w:val="3FE36255"/>
    <w:rsid w:val="3FE73B45"/>
    <w:rsid w:val="3FFF6FDD"/>
    <w:rsid w:val="43FEC123"/>
    <w:rsid w:val="46DAB5DF"/>
    <w:rsid w:val="47F64D65"/>
    <w:rsid w:val="48456558"/>
    <w:rsid w:val="4B738D4F"/>
    <w:rsid w:val="4BEC1602"/>
    <w:rsid w:val="4F43D339"/>
    <w:rsid w:val="4F4E7C9C"/>
    <w:rsid w:val="4FC7D0B9"/>
    <w:rsid w:val="4FDFF27D"/>
    <w:rsid w:val="4FEED761"/>
    <w:rsid w:val="4FEFB33F"/>
    <w:rsid w:val="54F64B86"/>
    <w:rsid w:val="575F2B78"/>
    <w:rsid w:val="579E7D8E"/>
    <w:rsid w:val="5DB51763"/>
    <w:rsid w:val="5DDEC127"/>
    <w:rsid w:val="5EC3362B"/>
    <w:rsid w:val="5EDB07C8"/>
    <w:rsid w:val="5F7F3B93"/>
    <w:rsid w:val="5F7F713C"/>
    <w:rsid w:val="65BD4C94"/>
    <w:rsid w:val="65F18714"/>
    <w:rsid w:val="66FF4EB5"/>
    <w:rsid w:val="6D7D06DB"/>
    <w:rsid w:val="6D85AF1A"/>
    <w:rsid w:val="6DFF3C68"/>
    <w:rsid w:val="6DFF4EB8"/>
    <w:rsid w:val="6F3C239E"/>
    <w:rsid w:val="6F72382A"/>
    <w:rsid w:val="6FDFD5C8"/>
    <w:rsid w:val="6FFDEEC2"/>
    <w:rsid w:val="73FA6EFC"/>
    <w:rsid w:val="73FDCE0E"/>
    <w:rsid w:val="74FC847C"/>
    <w:rsid w:val="75FC9F31"/>
    <w:rsid w:val="76BFFFCA"/>
    <w:rsid w:val="7775D0F6"/>
    <w:rsid w:val="77EFC9B7"/>
    <w:rsid w:val="77F738E7"/>
    <w:rsid w:val="78BD5BF1"/>
    <w:rsid w:val="78F99639"/>
    <w:rsid w:val="79D8588A"/>
    <w:rsid w:val="79F76465"/>
    <w:rsid w:val="7B3DD117"/>
    <w:rsid w:val="7BB99461"/>
    <w:rsid w:val="7BE009DC"/>
    <w:rsid w:val="7BEE2989"/>
    <w:rsid w:val="7BEF236E"/>
    <w:rsid w:val="7BFDAF2A"/>
    <w:rsid w:val="7BFF156A"/>
    <w:rsid w:val="7BFF7E6D"/>
    <w:rsid w:val="7C536E09"/>
    <w:rsid w:val="7CD380E4"/>
    <w:rsid w:val="7D6FA33D"/>
    <w:rsid w:val="7DEE17FB"/>
    <w:rsid w:val="7DEF7943"/>
    <w:rsid w:val="7DF70884"/>
    <w:rsid w:val="7DFFF688"/>
    <w:rsid w:val="7E772A2D"/>
    <w:rsid w:val="7EFB160B"/>
    <w:rsid w:val="7F6E8CCA"/>
    <w:rsid w:val="7F7C8371"/>
    <w:rsid w:val="7F7D82D5"/>
    <w:rsid w:val="7FDB0AF1"/>
    <w:rsid w:val="7FF4270B"/>
    <w:rsid w:val="7FF75C33"/>
    <w:rsid w:val="7FF79975"/>
    <w:rsid w:val="7FFBA1ED"/>
    <w:rsid w:val="7FFE374E"/>
    <w:rsid w:val="7FFFDAEE"/>
    <w:rsid w:val="8E591473"/>
    <w:rsid w:val="93174FDE"/>
    <w:rsid w:val="99FD3A97"/>
    <w:rsid w:val="9FDFD28C"/>
    <w:rsid w:val="ABFFC23A"/>
    <w:rsid w:val="AD028196"/>
    <w:rsid w:val="ADDF4B2D"/>
    <w:rsid w:val="AF5F7367"/>
    <w:rsid w:val="AFF951F1"/>
    <w:rsid w:val="AFFD2B31"/>
    <w:rsid w:val="B58FBD30"/>
    <w:rsid w:val="B7F56F1C"/>
    <w:rsid w:val="BBFB7B53"/>
    <w:rsid w:val="BDB36421"/>
    <w:rsid w:val="BDBF7B88"/>
    <w:rsid w:val="BDDD74AB"/>
    <w:rsid w:val="BE3A78BC"/>
    <w:rsid w:val="BE5FB2B1"/>
    <w:rsid w:val="BEFDA8FE"/>
    <w:rsid w:val="BEFE9C1F"/>
    <w:rsid w:val="BF97FB03"/>
    <w:rsid w:val="BFFBDF04"/>
    <w:rsid w:val="C3CF135F"/>
    <w:rsid w:val="C5B69EC9"/>
    <w:rsid w:val="C9CBF4AA"/>
    <w:rsid w:val="CD3BF6A5"/>
    <w:rsid w:val="CDF79E83"/>
    <w:rsid w:val="CEEE1CBD"/>
    <w:rsid w:val="CFFE39E3"/>
    <w:rsid w:val="D2FF0EC9"/>
    <w:rsid w:val="D7FDB610"/>
    <w:rsid w:val="D7FFD2B2"/>
    <w:rsid w:val="DAEFE169"/>
    <w:rsid w:val="DB774DE8"/>
    <w:rsid w:val="DBB62F62"/>
    <w:rsid w:val="DCF2991A"/>
    <w:rsid w:val="DCFFDF8C"/>
    <w:rsid w:val="DDBFFA4F"/>
    <w:rsid w:val="DEDD0B6A"/>
    <w:rsid w:val="DEFF7FAB"/>
    <w:rsid w:val="DFDF6F79"/>
    <w:rsid w:val="DFE7B0D1"/>
    <w:rsid w:val="DFF9F278"/>
    <w:rsid w:val="DFFE9D91"/>
    <w:rsid w:val="E3BF0DA8"/>
    <w:rsid w:val="E5BCB0FD"/>
    <w:rsid w:val="E74AFC37"/>
    <w:rsid w:val="E7FBAF28"/>
    <w:rsid w:val="E7FBE556"/>
    <w:rsid w:val="EBEFAAB6"/>
    <w:rsid w:val="EEFF0364"/>
    <w:rsid w:val="EF7FD13C"/>
    <w:rsid w:val="EFBFDC52"/>
    <w:rsid w:val="EFDF842E"/>
    <w:rsid w:val="EFFBF273"/>
    <w:rsid w:val="EFFEFAB6"/>
    <w:rsid w:val="EFFF5A6D"/>
    <w:rsid w:val="F37B8DFF"/>
    <w:rsid w:val="F3AFB9AB"/>
    <w:rsid w:val="F5574FB5"/>
    <w:rsid w:val="F57B3F93"/>
    <w:rsid w:val="F7AF3C68"/>
    <w:rsid w:val="F7FEEFB9"/>
    <w:rsid w:val="F8FF4384"/>
    <w:rsid w:val="FAF52526"/>
    <w:rsid w:val="FB7F8BAB"/>
    <w:rsid w:val="FBAF321F"/>
    <w:rsid w:val="FBB4D17B"/>
    <w:rsid w:val="FBEFE83C"/>
    <w:rsid w:val="FC7A8F87"/>
    <w:rsid w:val="FCE40550"/>
    <w:rsid w:val="FD3794E2"/>
    <w:rsid w:val="FD6EFA54"/>
    <w:rsid w:val="FDDF632B"/>
    <w:rsid w:val="FDF318CB"/>
    <w:rsid w:val="FDFFBEA2"/>
    <w:rsid w:val="FE2B3966"/>
    <w:rsid w:val="FEADFEBB"/>
    <w:rsid w:val="FEBFDE4A"/>
    <w:rsid w:val="FF014D02"/>
    <w:rsid w:val="FF3E95BE"/>
    <w:rsid w:val="FF6D5FEC"/>
    <w:rsid w:val="FFB56470"/>
    <w:rsid w:val="FFBE1486"/>
    <w:rsid w:val="FFBE152B"/>
    <w:rsid w:val="FFD6B5F9"/>
    <w:rsid w:val="FFF716EE"/>
    <w:rsid w:val="FFFD8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5"/>
    <w:qFormat/>
    <w:uiPriority w:val="0"/>
    <w:pPr>
      <w:keepNext/>
      <w:keepLines/>
      <w:spacing w:before="300" w:after="300" w:line="360" w:lineRule="auto"/>
      <w:jc w:val="center"/>
      <w:outlineLvl w:val="0"/>
    </w:pPr>
    <w:rPr>
      <w:rFonts w:eastAsia="方正小标宋简体"/>
      <w:bCs/>
      <w:kern w:val="44"/>
      <w:sz w:val="44"/>
      <w:szCs w:val="44"/>
    </w:rPr>
  </w:style>
  <w:style w:type="paragraph" w:styleId="3">
    <w:name w:val="heading 2"/>
    <w:basedOn w:val="1"/>
    <w:next w:val="1"/>
    <w:link w:val="38"/>
    <w:unhideWhenUsed/>
    <w:qFormat/>
    <w:uiPriority w:val="0"/>
    <w:pPr>
      <w:keepNext/>
      <w:keepLines/>
      <w:spacing w:before="300" w:after="300" w:line="360" w:lineRule="auto"/>
      <w:jc w:val="center"/>
      <w:outlineLvl w:val="1"/>
    </w:pPr>
    <w:rPr>
      <w:rFonts w:eastAsia="黑体" w:asciiTheme="majorHAnsi" w:hAnsiTheme="majorHAnsi" w:cstheme="majorBidi"/>
      <w:bCs/>
      <w:sz w:val="32"/>
      <w:szCs w:val="32"/>
    </w:rPr>
  </w:style>
  <w:style w:type="paragraph" w:styleId="4">
    <w:name w:val="heading 3"/>
    <w:basedOn w:val="1"/>
    <w:next w:val="1"/>
    <w:link w:val="39"/>
    <w:unhideWhenUsed/>
    <w:qFormat/>
    <w:uiPriority w:val="0"/>
    <w:pPr>
      <w:keepNext/>
      <w:keepLines/>
      <w:spacing w:before="300" w:after="300" w:line="360" w:lineRule="auto"/>
      <w:jc w:val="center"/>
      <w:outlineLvl w:val="2"/>
    </w:pPr>
    <w:rPr>
      <w:rFonts w:eastAsia="楷体_GB2312"/>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0"/>
  </w:style>
  <w:style w:type="paragraph" w:styleId="6">
    <w:name w:val="toc 3"/>
    <w:basedOn w:val="1"/>
    <w:next w:val="1"/>
    <w:qFormat/>
    <w:uiPriority w:val="39"/>
    <w:pPr>
      <w:ind w:left="840" w:leftChars="400"/>
    </w:pPr>
  </w:style>
  <w:style w:type="paragraph" w:styleId="7">
    <w:name w:val="endnote text"/>
    <w:basedOn w:val="1"/>
    <w:qFormat/>
    <w:uiPriority w:val="0"/>
  </w:style>
  <w:style w:type="paragraph" w:styleId="8">
    <w:name w:val="footer"/>
    <w:basedOn w:val="1"/>
    <w:link w:val="26"/>
    <w:qFormat/>
    <w:uiPriority w:val="99"/>
    <w:pPr>
      <w:tabs>
        <w:tab w:val="center" w:pos="4153"/>
        <w:tab w:val="right" w:pos="8306"/>
      </w:tabs>
    </w:pPr>
    <w:rPr>
      <w:sz w:val="18"/>
      <w:szCs w:val="18"/>
    </w:rPr>
  </w:style>
  <w:style w:type="paragraph" w:styleId="9">
    <w:name w:val="header"/>
    <w:basedOn w:val="1"/>
    <w:link w:val="25"/>
    <w:qFormat/>
    <w:uiPriority w:val="99"/>
    <w:pPr>
      <w:tabs>
        <w:tab w:val="center" w:pos="4153"/>
        <w:tab w:val="right" w:pos="8306"/>
      </w:tabs>
      <w:jc w:val="center"/>
    </w:pPr>
    <w:rPr>
      <w:sz w:val="18"/>
      <w:szCs w:val="18"/>
    </w:rPr>
  </w:style>
  <w:style w:type="paragraph" w:styleId="10">
    <w:name w:val="toc 1"/>
    <w:basedOn w:val="1"/>
    <w:next w:val="1"/>
    <w:qFormat/>
    <w:uiPriority w:val="39"/>
    <w:pPr>
      <w:widowControl w:val="0"/>
      <w:kinsoku/>
      <w:autoSpaceDE/>
      <w:autoSpaceDN/>
      <w:adjustRightInd/>
      <w:snapToGrid/>
      <w:jc w:val="both"/>
      <w:textAlignment w:val="auto"/>
    </w:pPr>
    <w:rPr>
      <w:rFonts w:asciiTheme="minorHAnsi" w:hAnsiTheme="minorHAnsi" w:eastAsiaTheme="minorEastAsia" w:cstheme="minorBidi"/>
      <w:snapToGrid/>
      <w:color w:val="auto"/>
      <w:kern w:val="2"/>
      <w:szCs w:val="24"/>
    </w:rPr>
  </w:style>
  <w:style w:type="paragraph" w:styleId="11">
    <w:name w:val="Subtitle"/>
    <w:basedOn w:val="1"/>
    <w:next w:val="1"/>
    <w:link w:val="3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2">
    <w:name w:val="footnote text"/>
    <w:basedOn w:val="1"/>
    <w:qFormat/>
    <w:uiPriority w:val="0"/>
    <w:rPr>
      <w:sz w:val="18"/>
    </w:rPr>
  </w:style>
  <w:style w:type="paragraph" w:styleId="13">
    <w:name w:val="toc 2"/>
    <w:basedOn w:val="1"/>
    <w:next w:val="1"/>
    <w:qFormat/>
    <w:uiPriority w:val="39"/>
    <w:pPr>
      <w:ind w:left="420" w:leftChars="200"/>
    </w:pPr>
  </w:style>
  <w:style w:type="paragraph" w:styleId="14">
    <w:name w:val="Normal (Web)"/>
    <w:basedOn w:val="1"/>
    <w:qFormat/>
    <w:uiPriority w:val="99"/>
    <w:pPr>
      <w:spacing w:beforeAutospacing="1" w:afterAutospacing="1"/>
    </w:pPr>
    <w:rPr>
      <w:rFonts w:cs="Times New Roman"/>
      <w:sz w:val="24"/>
    </w:rPr>
  </w:style>
  <w:style w:type="paragraph" w:styleId="15">
    <w:name w:val="Title"/>
    <w:basedOn w:val="1"/>
    <w:next w:val="1"/>
    <w:link w:val="36"/>
    <w:qFormat/>
    <w:uiPriority w:val="0"/>
    <w:pPr>
      <w:spacing w:before="240" w:after="60"/>
      <w:jc w:val="center"/>
      <w:outlineLvl w:val="0"/>
    </w:pPr>
    <w:rPr>
      <w:rFonts w:eastAsia="方正小标宋简体" w:asciiTheme="majorHAnsi" w:hAnsiTheme="majorHAnsi" w:cstheme="majorBidi"/>
      <w:bCs/>
      <w:sz w:val="44"/>
      <w:szCs w:val="32"/>
    </w:rPr>
  </w:style>
  <w:style w:type="paragraph" w:styleId="16">
    <w:name w:val="annotation subject"/>
    <w:basedOn w:val="5"/>
    <w:next w:val="5"/>
    <w:link w:val="29"/>
    <w:qFormat/>
    <w:uiPriority w:val="0"/>
    <w:rPr>
      <w:b/>
      <w:bCs/>
    </w:rPr>
  </w:style>
  <w:style w:type="table" w:styleId="18">
    <w:name w:val="Table Grid"/>
    <w:basedOn w:val="1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qFormat/>
    <w:uiPriority w:val="0"/>
    <w:rPr>
      <w:vertAlign w:val="superscript"/>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页眉 字符"/>
    <w:basedOn w:val="19"/>
    <w:link w:val="9"/>
    <w:qFormat/>
    <w:uiPriority w:val="99"/>
    <w:rPr>
      <w:rFonts w:eastAsia="Arial"/>
      <w:snapToGrid w:val="0"/>
      <w:color w:val="000000"/>
      <w:sz w:val="18"/>
      <w:szCs w:val="18"/>
    </w:rPr>
  </w:style>
  <w:style w:type="character" w:customStyle="1" w:styleId="26">
    <w:name w:val="页脚 字符"/>
    <w:basedOn w:val="19"/>
    <w:link w:val="8"/>
    <w:qFormat/>
    <w:uiPriority w:val="99"/>
    <w:rPr>
      <w:rFonts w:eastAsia="Arial"/>
      <w:snapToGrid w:val="0"/>
      <w:color w:val="000000"/>
      <w:sz w:val="18"/>
      <w:szCs w:val="18"/>
    </w:rPr>
  </w:style>
  <w:style w:type="paragraph" w:customStyle="1" w:styleId="27">
    <w:name w:val="修订1"/>
    <w:hidden/>
    <w:unhideWhenUsed/>
    <w:qFormat/>
    <w:uiPriority w:val="99"/>
    <w:rPr>
      <w:rFonts w:ascii="Arial" w:hAnsi="Arial" w:eastAsia="Arial" w:cs="Arial"/>
      <w:snapToGrid w:val="0"/>
      <w:color w:val="000000"/>
      <w:sz w:val="21"/>
      <w:szCs w:val="21"/>
      <w:lang w:val="en-US" w:eastAsia="zh-CN" w:bidi="ar-SA"/>
    </w:rPr>
  </w:style>
  <w:style w:type="character" w:customStyle="1" w:styleId="28">
    <w:name w:val="批注文字 字符"/>
    <w:basedOn w:val="19"/>
    <w:link w:val="5"/>
    <w:qFormat/>
    <w:uiPriority w:val="0"/>
    <w:rPr>
      <w:rFonts w:eastAsia="Arial"/>
      <w:snapToGrid w:val="0"/>
      <w:color w:val="000000"/>
      <w:sz w:val="21"/>
      <w:szCs w:val="21"/>
    </w:rPr>
  </w:style>
  <w:style w:type="character" w:customStyle="1" w:styleId="29">
    <w:name w:val="批注主题 字符"/>
    <w:basedOn w:val="28"/>
    <w:link w:val="16"/>
    <w:qFormat/>
    <w:uiPriority w:val="0"/>
    <w:rPr>
      <w:rFonts w:eastAsia="Arial"/>
      <w:b/>
      <w:bCs/>
      <w:snapToGrid w:val="0"/>
      <w:color w:val="000000"/>
      <w:sz w:val="21"/>
      <w:szCs w:val="21"/>
    </w:rPr>
  </w:style>
  <w:style w:type="paragraph" w:customStyle="1" w:styleId="30">
    <w:name w:val="NOTE_Normal"/>
    <w:basedOn w:val="1"/>
    <w:qFormat/>
    <w:uiPriority w:val="0"/>
    <w:pPr>
      <w:widowControl w:val="0"/>
      <w:kinsoku/>
      <w:autoSpaceDE/>
      <w:autoSpaceDN/>
      <w:adjustRightInd/>
      <w:snapToGrid/>
      <w:spacing w:after="160" w:line="259" w:lineRule="auto"/>
      <w:jc w:val="both"/>
      <w:textAlignment w:val="auto"/>
    </w:pPr>
    <w:rPr>
      <w:rFonts w:ascii="Calibri" w:hAnsi="Calibri" w:eastAsia="宋体"/>
      <w:snapToGrid/>
      <w:color w:val="auto"/>
      <w:kern w:val="2"/>
      <w:szCs w:val="24"/>
    </w:rPr>
  </w:style>
  <w:style w:type="paragraph" w:customStyle="1" w:styleId="31">
    <w:name w:val="修订2"/>
    <w:hidden/>
    <w:unhideWhenUsed/>
    <w:qFormat/>
    <w:uiPriority w:val="99"/>
    <w:rPr>
      <w:rFonts w:ascii="Arial" w:hAnsi="Arial" w:eastAsia="Arial" w:cs="Arial"/>
      <w:snapToGrid w:val="0"/>
      <w:color w:val="000000"/>
      <w:sz w:val="21"/>
      <w:szCs w:val="21"/>
      <w:lang w:val="en-US" w:eastAsia="zh-CN" w:bidi="ar-SA"/>
    </w:rPr>
  </w:style>
  <w:style w:type="paragraph" w:customStyle="1" w:styleId="32">
    <w:name w:val="修订3"/>
    <w:hidden/>
    <w:unhideWhenUsed/>
    <w:qFormat/>
    <w:uiPriority w:val="99"/>
    <w:rPr>
      <w:rFonts w:ascii="Arial" w:hAnsi="Arial" w:eastAsia="Arial" w:cs="Arial"/>
      <w:snapToGrid w:val="0"/>
      <w:color w:val="000000"/>
      <w:sz w:val="21"/>
      <w:szCs w:val="21"/>
      <w:lang w:val="en-US" w:eastAsia="zh-CN" w:bidi="ar-SA"/>
    </w:rPr>
  </w:style>
  <w:style w:type="paragraph" w:styleId="33">
    <w:name w:val="List Paragraph"/>
    <w:basedOn w:val="1"/>
    <w:unhideWhenUsed/>
    <w:qFormat/>
    <w:uiPriority w:val="99"/>
    <w:pPr>
      <w:ind w:firstLine="420" w:firstLineChars="200"/>
    </w:pPr>
  </w:style>
  <w:style w:type="paragraph" w:customStyle="1" w:styleId="34">
    <w:name w:val="修订4"/>
    <w:hidden/>
    <w:unhideWhenUsed/>
    <w:qFormat/>
    <w:uiPriority w:val="99"/>
    <w:rPr>
      <w:rFonts w:ascii="Arial" w:hAnsi="Arial" w:eastAsia="Arial" w:cs="Arial"/>
      <w:snapToGrid w:val="0"/>
      <w:color w:val="000000"/>
      <w:sz w:val="21"/>
      <w:szCs w:val="21"/>
      <w:lang w:val="en-US" w:eastAsia="zh-CN" w:bidi="ar-SA"/>
    </w:rPr>
  </w:style>
  <w:style w:type="character" w:customStyle="1" w:styleId="35">
    <w:name w:val="标题 1 字符"/>
    <w:basedOn w:val="19"/>
    <w:link w:val="2"/>
    <w:qFormat/>
    <w:uiPriority w:val="0"/>
    <w:rPr>
      <w:rFonts w:ascii="Arial" w:hAnsi="Arial" w:eastAsia="方正小标宋简体" w:cs="Arial"/>
      <w:bCs/>
      <w:snapToGrid w:val="0"/>
      <w:color w:val="000000"/>
      <w:kern w:val="44"/>
      <w:sz w:val="44"/>
      <w:szCs w:val="44"/>
    </w:rPr>
  </w:style>
  <w:style w:type="character" w:customStyle="1" w:styleId="36">
    <w:name w:val="标题 字符"/>
    <w:basedOn w:val="19"/>
    <w:link w:val="15"/>
    <w:qFormat/>
    <w:uiPriority w:val="0"/>
    <w:rPr>
      <w:rFonts w:eastAsia="方正小标宋简体" w:asciiTheme="majorHAnsi" w:hAnsiTheme="majorHAnsi" w:cstheme="majorBidi"/>
      <w:bCs/>
      <w:snapToGrid w:val="0"/>
      <w:color w:val="000000"/>
      <w:sz w:val="44"/>
      <w:szCs w:val="32"/>
    </w:rPr>
  </w:style>
  <w:style w:type="character" w:customStyle="1" w:styleId="37">
    <w:name w:val="副标题 字符"/>
    <w:basedOn w:val="19"/>
    <w:link w:val="11"/>
    <w:qFormat/>
    <w:uiPriority w:val="0"/>
    <w:rPr>
      <w:rFonts w:asciiTheme="minorHAnsi" w:hAnsiTheme="minorHAnsi" w:eastAsiaTheme="minorEastAsia" w:cstheme="minorBidi"/>
      <w:b/>
      <w:bCs/>
      <w:snapToGrid w:val="0"/>
      <w:color w:val="000000"/>
      <w:kern w:val="28"/>
      <w:sz w:val="32"/>
      <w:szCs w:val="32"/>
    </w:rPr>
  </w:style>
  <w:style w:type="character" w:customStyle="1" w:styleId="38">
    <w:name w:val="标题 2 字符"/>
    <w:basedOn w:val="19"/>
    <w:link w:val="3"/>
    <w:qFormat/>
    <w:uiPriority w:val="0"/>
    <w:rPr>
      <w:rFonts w:eastAsia="黑体" w:asciiTheme="majorHAnsi" w:hAnsiTheme="majorHAnsi" w:cstheme="majorBidi"/>
      <w:bCs/>
      <w:snapToGrid w:val="0"/>
      <w:color w:val="000000"/>
      <w:sz w:val="32"/>
      <w:szCs w:val="32"/>
    </w:rPr>
  </w:style>
  <w:style w:type="character" w:customStyle="1" w:styleId="39">
    <w:name w:val="标题 3 字符"/>
    <w:basedOn w:val="19"/>
    <w:link w:val="4"/>
    <w:qFormat/>
    <w:uiPriority w:val="0"/>
    <w:rPr>
      <w:rFonts w:ascii="Arial" w:hAnsi="Arial" w:eastAsia="楷体_GB2312" w:cs="Arial"/>
      <w:bCs/>
      <w:snapToGrid w:val="0"/>
      <w:color w:val="000000"/>
      <w:sz w:val="32"/>
      <w:szCs w:val="32"/>
    </w:rPr>
  </w:style>
  <w:style w:type="paragraph" w:customStyle="1" w:styleId="40">
    <w:name w:val="修订5"/>
    <w:hidden/>
    <w:unhideWhenUsed/>
    <w:qFormat/>
    <w:uiPriority w:val="99"/>
    <w:rPr>
      <w:rFonts w:ascii="Arial" w:hAnsi="Arial" w:eastAsia="Arial" w:cs="Arial"/>
      <w:snapToGrid w:val="0"/>
      <w:color w:val="000000"/>
      <w:sz w:val="21"/>
      <w:szCs w:val="21"/>
      <w:lang w:val="en-US" w:eastAsia="zh-CN" w:bidi="ar-SA"/>
    </w:rPr>
  </w:style>
  <w:style w:type="paragraph" w:customStyle="1" w:styleId="41">
    <w:name w:val="修订6"/>
    <w:hidden/>
    <w:unhideWhenUsed/>
    <w:qFormat/>
    <w:uiPriority w:val="99"/>
    <w:rPr>
      <w:rFonts w:ascii="Arial" w:hAnsi="Arial" w:eastAsia="Arial" w:cs="Arial"/>
      <w:snapToGrid w:val="0"/>
      <w:color w:val="000000"/>
      <w:sz w:val="21"/>
      <w:szCs w:val="21"/>
      <w:lang w:val="en-US" w:eastAsia="zh-CN" w:bidi="ar-SA"/>
    </w:rPr>
  </w:style>
  <w:style w:type="paragraph" w:customStyle="1" w:styleId="42">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1370</Words>
  <Characters>7815</Characters>
  <Lines>65</Lines>
  <Paragraphs>18</Paragraphs>
  <TotalTime>119</TotalTime>
  <ScaleCrop>false</ScaleCrop>
  <LinksUpToDate>false</LinksUpToDate>
  <CharactersWithSpaces>9167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2023-11-09T15:28:00Z</dcterms:created>
  <dc:creator>Kingsoft-PDF</dc:creator>
  <cp:lastModifiedBy>sf1</cp:lastModifiedBy>
  <cp:lastPrinted>2023-11-08T22:06:00Z</cp:lastPrinted>
  <dcterms:modified xsi:type="dcterms:W3CDTF">2023-11-08T15:16:59Z</dcterms:modified>
  <dc:subject>pdfbuilder</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2023-09-25T11:21:24Z</vt:filetime>
  </property>
  <property fmtid="{D5CDD505-2E9C-101B-9397-08002B2CF9AE}" pid="4" name="UsrData">
    <vt:lpwstr>6510fcae2e6f9d001fc8dba6wl</vt:lpwstr>
  </property>
  <property fmtid="{D5CDD505-2E9C-101B-9397-08002B2CF9AE}" pid="5" name="KSOProductBuildVer">
    <vt:lpwstr>2052-11.8.2.11763</vt:lpwstr>
  </property>
  <property fmtid="{D5CDD505-2E9C-101B-9397-08002B2CF9AE}" pid="6" name="ICV">
    <vt:lpwstr>9953F647409CCE46BDA04865FB172E97</vt:lpwstr>
  </property>
</Properties>
</file>