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22"/>
          <w:lang w:eastAsia="zh-CN"/>
        </w:rPr>
      </w:pPr>
      <w:r>
        <w:rPr>
          <w:rFonts w:hint="eastAsia" w:ascii="方正小标宋简体" w:hAnsi="方正小标宋简体" w:eastAsia="方正小标宋简体" w:cs="方正小标宋简体"/>
          <w:color w:val="auto"/>
          <w:sz w:val="44"/>
          <w:szCs w:val="22"/>
          <w:lang w:eastAsia="zh-CN"/>
        </w:rPr>
        <w:t>关于《</w:t>
      </w:r>
      <w:r>
        <w:rPr>
          <w:rFonts w:hint="eastAsia" w:ascii="方正小标宋简体" w:hAnsi="方正小标宋简体" w:eastAsia="方正小标宋简体" w:cs="方正小标宋简体"/>
          <w:color w:val="auto"/>
          <w:sz w:val="44"/>
          <w:szCs w:val="22"/>
          <w:lang w:val="en-US" w:eastAsia="zh-CN"/>
        </w:rPr>
        <w:t>上城区加力推动跨境电商高质量发展培育外贸新动能的若干政策措施</w:t>
      </w:r>
      <w:r>
        <w:rPr>
          <w:rFonts w:hint="eastAsia" w:ascii="方正小标宋简体" w:hAnsi="方正小标宋简体" w:eastAsia="方正小标宋简体" w:cs="方正小标宋简体"/>
          <w:color w:val="auto"/>
          <w:sz w:val="44"/>
          <w:szCs w:val="22"/>
          <w:lang w:eastAsia="zh-CN"/>
        </w:rPr>
        <w:t>》的起草</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22"/>
          <w:lang w:eastAsia="zh-CN"/>
        </w:rPr>
      </w:pPr>
      <w:r>
        <w:rPr>
          <w:rFonts w:hint="eastAsia" w:ascii="方正小标宋简体" w:hAnsi="方正小标宋简体" w:eastAsia="方正小标宋简体" w:cs="方正小标宋简体"/>
          <w:color w:val="auto"/>
          <w:sz w:val="44"/>
          <w:szCs w:val="22"/>
          <w:lang w:eastAsia="zh-CN"/>
        </w:rPr>
        <w:t>说明</w:t>
      </w:r>
    </w:p>
    <w:p>
      <w:pPr>
        <w:adjustRightInd w:val="0"/>
        <w:snapToGrid w:val="0"/>
        <w:spacing w:line="580" w:lineRule="exact"/>
        <w:ind w:firstLine="640" w:firstLineChars="200"/>
        <w:rPr>
          <w:rFonts w:hint="eastAsia" w:ascii="仿宋_GB2312" w:hAnsi="Calibri" w:eastAsia="仿宋_GB2312" w:cs="Times New Roman"/>
          <w:sz w:val="32"/>
          <w:szCs w:val="32"/>
        </w:rPr>
      </w:pP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现就报送合法性审查的《</w:t>
      </w:r>
      <w:r>
        <w:rPr>
          <w:rFonts w:hint="eastAsia" w:ascii="仿宋_GB2312" w:hAnsi="Calibri" w:eastAsia="仿宋_GB2312" w:cs="Times New Roman"/>
          <w:sz w:val="32"/>
          <w:szCs w:val="32"/>
          <w:lang w:val="en-US" w:eastAsia="zh-CN"/>
        </w:rPr>
        <w:t>上城区加力推动跨境电商高质量发展培育外贸新动能的若干政策措施（以下简称《若干政策</w:t>
      </w:r>
      <w:r>
        <w:rPr>
          <w:rFonts w:hint="eastAsia" w:ascii="仿宋_GB2312" w:hAnsi="Calibri" w:eastAsia="仿宋_GB2312" w:cs="Times New Roman"/>
          <w:sz w:val="32"/>
          <w:szCs w:val="32"/>
        </w:rPr>
        <w:t>》起草情况说明如下：</w:t>
      </w:r>
    </w:p>
    <w:p>
      <w:pPr>
        <w:adjustRightInd w:val="0"/>
        <w:snapToGrid w:val="0"/>
        <w:spacing w:line="58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一、文件制定的必要性和可行性</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发展跨境电商对深入实施“地瓜经济”提能升级“一号开放工程”，奋力打造贸易强省，加力推动跨境电商高质量发展，加快培育外贸新动能具有重要意义。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仿宋_GB2312" w:hAnsi="Calibri" w:eastAsia="仿宋_GB2312" w:cs="Times New Roman"/>
          <w:sz w:val="32"/>
          <w:szCs w:val="32"/>
        </w:rPr>
      </w:pPr>
      <w:r>
        <w:rPr>
          <w:rFonts w:hint="eastAsia" w:ascii="仿宋_GB2312" w:hAnsi="仿宋_GB2312" w:eastAsia="仿宋_GB2312" w:cs="仿宋_GB2312"/>
          <w:b w:val="0"/>
          <w:snapToGrid w:val="0"/>
          <w:color w:val="auto"/>
          <w:kern w:val="0"/>
          <w:sz w:val="32"/>
          <w:szCs w:val="32"/>
          <w:lang w:val="en-US" w:eastAsia="zh-CN" w:bidi="ar-SA"/>
        </w:rPr>
        <w:t>《浙江省加力推动跨境电商高质量发展行动计划》明确提出要以习近平新时代中国特色社会主义思想为指导，深入贯彻党的二十大和二十届三中全会精神，坚持市场有效与政府有为相统一，聚焦产业升级、主体引育、模式创新、路径探索、布局优化、服务保障和政策支持等关键环节，统筹实施五大行动，加力推动跨境电商高质量发展，打造高能级跨境电商国际枢纽省。</w:t>
      </w:r>
      <w:r>
        <w:rPr>
          <w:rFonts w:hint="default" w:ascii="Times New Roman" w:hAnsi="Times New Roman" w:eastAsia="仿宋_GB2312" w:cs="Times New Roman"/>
          <w:sz w:val="32"/>
          <w:szCs w:val="32"/>
          <w:highlight w:val="none"/>
          <w:lang w:val="en-US" w:eastAsia="zh-CN"/>
        </w:rPr>
        <w:t>2024年8月2日和9月12日，</w:t>
      </w:r>
      <w:r>
        <w:rPr>
          <w:rFonts w:hint="default" w:ascii="Times New Roman" w:hAnsi="Times New Roman" w:eastAsia="仿宋_GB2312" w:cs="Times New Roman"/>
          <w:color w:val="000000"/>
          <w:sz w:val="32"/>
          <w:szCs w:val="32"/>
          <w:highlight w:val="none"/>
          <w:lang w:eastAsia="zh-CN"/>
        </w:rPr>
        <w:t>省委</w:t>
      </w:r>
      <w:r>
        <w:rPr>
          <w:rFonts w:hint="default" w:ascii="Times New Roman" w:hAnsi="Times New Roman" w:eastAsia="仿宋_GB2312" w:cs="Times New Roman"/>
          <w:color w:val="000000"/>
          <w:sz w:val="32"/>
          <w:szCs w:val="32"/>
          <w:highlight w:val="none"/>
          <w:lang w:val="en-US" w:eastAsia="zh-CN"/>
        </w:rPr>
        <w:t>王</w:t>
      </w:r>
      <w:r>
        <w:rPr>
          <w:rFonts w:hint="default" w:ascii="Times New Roman" w:hAnsi="Times New Roman" w:eastAsia="仿宋_GB2312" w:cs="Times New Roman"/>
          <w:sz w:val="32"/>
          <w:szCs w:val="32"/>
          <w:highlight w:val="none"/>
          <w:lang w:val="en-US" w:eastAsia="zh-CN"/>
        </w:rPr>
        <w:t>浩</w:t>
      </w:r>
      <w:r>
        <w:rPr>
          <w:rFonts w:hint="eastAsia" w:ascii="Times New Roman" w:hAnsi="Times New Roman" w:eastAsia="仿宋_GB2312" w:cs="Times New Roman"/>
          <w:sz w:val="32"/>
          <w:szCs w:val="32"/>
          <w:highlight w:val="none"/>
          <w:lang w:val="en-US" w:eastAsia="zh-CN"/>
        </w:rPr>
        <w:t>书记</w:t>
      </w:r>
      <w:r>
        <w:rPr>
          <w:rFonts w:hint="default" w:ascii="Times New Roman" w:hAnsi="Times New Roman" w:eastAsia="仿宋_GB2312" w:cs="Times New Roman"/>
          <w:sz w:val="32"/>
          <w:szCs w:val="32"/>
          <w:highlight w:val="none"/>
          <w:lang w:val="en-US" w:eastAsia="zh-CN"/>
        </w:rPr>
        <w:t>赴上城区走访时</w:t>
      </w:r>
      <w:r>
        <w:rPr>
          <w:rFonts w:hint="eastAsia" w:ascii="Times New Roman" w:hAnsi="Times New Roman" w:eastAsia="仿宋_GB2312" w:cs="Times New Roman"/>
          <w:sz w:val="32"/>
          <w:szCs w:val="32"/>
          <w:highlight w:val="none"/>
          <w:lang w:val="en-US" w:eastAsia="zh-CN"/>
        </w:rPr>
        <w:t>提出“</w:t>
      </w:r>
      <w:r>
        <w:rPr>
          <w:rFonts w:hint="default" w:ascii="Times New Roman" w:hAnsi="Times New Roman" w:eastAsia="仿宋_GB2312" w:cs="Times New Roman"/>
          <w:sz w:val="32"/>
          <w:szCs w:val="32"/>
          <w:highlight w:val="none"/>
          <w:lang w:val="en-US" w:eastAsia="zh-CN"/>
        </w:rPr>
        <w:t>以建设跨境电商标杆园区为契机，推动跨境电商高质量发展</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重要指示，上城区</w:t>
      </w: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en-US" w:eastAsia="zh-CN"/>
        </w:rPr>
        <w:t>贯彻落实省、市政府关于加力推动跨境电商高质量发展的决策部署，制定《上城区加力推动跨境电商高质量发展培育外贸新动能的若干政策措施》</w:t>
      </w:r>
      <w:r>
        <w:rPr>
          <w:rFonts w:hint="eastAsia" w:ascii="Times New Roman" w:hAnsi="Times New Roman" w:eastAsia="仿宋_GB2312" w:cs="Times New Roman"/>
          <w:sz w:val="32"/>
          <w:szCs w:val="32"/>
          <w:highlight w:val="none"/>
          <w:lang w:val="en-US" w:eastAsia="zh-CN"/>
        </w:rPr>
        <w:t>。</w:t>
      </w:r>
    </w:p>
    <w:p>
      <w:pPr>
        <w:numPr>
          <w:ilvl w:val="0"/>
          <w:numId w:val="1"/>
        </w:numPr>
        <w:adjustRightInd w:val="0"/>
        <w:snapToGrid w:val="0"/>
        <w:spacing w:line="58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依据的法律、法规、规章和政策</w:t>
      </w:r>
    </w:p>
    <w:p>
      <w:pPr>
        <w:numPr>
          <w:ilvl w:val="0"/>
          <w:numId w:val="2"/>
        </w:numPr>
        <w:adjustRightInd w:val="0"/>
        <w:snapToGrid w:val="0"/>
        <w:spacing w:line="580" w:lineRule="exac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《浙江省加力推动跨境电商高质量发展行动计划》</w:t>
      </w:r>
    </w:p>
    <w:p>
      <w:pPr>
        <w:numPr>
          <w:numId w:val="0"/>
        </w:numPr>
        <w:adjustRightInd w:val="0"/>
        <w:snapToGrid w:val="0"/>
        <w:spacing w:line="580" w:lineRule="exac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2024</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2027</w:t>
      </w:r>
      <w:r>
        <w:rPr>
          <w:rFonts w:hint="eastAsia" w:ascii="仿宋_GB2312" w:hAnsi="Calibri" w:eastAsia="仿宋_GB2312" w:cs="Times New Roman"/>
          <w:sz w:val="32"/>
          <w:szCs w:val="32"/>
          <w:lang w:eastAsia="zh-CN"/>
        </w:rPr>
        <w:t>年）</w:t>
      </w:r>
    </w:p>
    <w:p>
      <w:pPr>
        <w:numPr>
          <w:ilvl w:val="0"/>
          <w:numId w:val="2"/>
        </w:numPr>
        <w:adjustRightInd w:val="0"/>
        <w:snapToGrid w:val="0"/>
        <w:spacing w:line="580" w:lineRule="exac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杭州市加力推动跨境电商高质量发展行动计划</w:t>
      </w:r>
      <w:r>
        <w:rPr>
          <w:rFonts w:hint="eastAsia" w:ascii="仿宋_GB2312" w:hAnsi="Calibri" w:eastAsia="仿宋_GB2312" w:cs="Times New Roman"/>
          <w:sz w:val="32"/>
          <w:szCs w:val="32"/>
          <w:lang w:eastAsia="zh-CN"/>
        </w:rPr>
        <w:t>》</w:t>
      </w:r>
    </w:p>
    <w:p>
      <w:pPr>
        <w:adjustRightInd w:val="0"/>
        <w:snapToGrid w:val="0"/>
        <w:spacing w:line="58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三、</w:t>
      </w:r>
      <w:r>
        <w:rPr>
          <w:rFonts w:hint="eastAsia" w:ascii="仿宋_GB2312" w:hAnsi="Calibri" w:eastAsia="仿宋_GB2312" w:cs="Times New Roman"/>
          <w:sz w:val="32"/>
          <w:szCs w:val="32"/>
        </w:rPr>
        <w:t>起草过程</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en-US" w:eastAsia="zh-CN"/>
        </w:rPr>
        <w:t>贯彻落实省、市政府关于加力推动跨境电商高质量发展的决策部署，</w:t>
      </w:r>
      <w:r>
        <w:rPr>
          <w:rFonts w:hint="eastAsia" w:ascii="仿宋_GB2312" w:hAnsi="仿宋_GB2312" w:eastAsia="仿宋_GB2312" w:cs="仿宋_GB2312"/>
          <w:sz w:val="32"/>
          <w:szCs w:val="32"/>
        </w:rPr>
        <w:t>我局自</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开始</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跨境电商</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政策研究工作，至202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月完成政策文件的统稿完善工作，具体过程如下：</w:t>
      </w:r>
    </w:p>
    <w:p>
      <w:pPr>
        <w:keepNext w:val="0"/>
        <w:keepLines w:val="0"/>
        <w:pageBreakBefore w:val="0"/>
        <w:widowControl w:val="0"/>
        <w:kinsoku/>
        <w:wordWrap/>
        <w:overflowPunct/>
        <w:topLinePunct w:val="0"/>
        <w:autoSpaceDE/>
        <w:autoSpaceDN/>
        <w:bidi w:val="0"/>
        <w:adjustRightInd w:val="0"/>
        <w:snapToGrid w:val="0"/>
        <w:spacing w:line="580" w:lineRule="exact"/>
        <w:ind w:left="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napToGrid w:val="0"/>
          <w:color w:val="auto"/>
          <w:kern w:val="0"/>
          <w:sz w:val="32"/>
          <w:szCs w:val="32"/>
          <w:lang w:val="en-US" w:eastAsia="zh-CN" w:bidi="ar-SA"/>
        </w:rPr>
        <w:t>一是充分学习。</w:t>
      </w:r>
      <w:r>
        <w:rPr>
          <w:rFonts w:hint="eastAsia" w:ascii="仿宋_GB2312" w:hAnsi="仿宋_GB2312" w:eastAsia="仿宋_GB2312" w:cs="仿宋_GB2312"/>
          <w:b w:val="0"/>
          <w:bCs w:val="0"/>
          <w:snapToGrid w:val="0"/>
          <w:color w:val="auto"/>
          <w:kern w:val="0"/>
          <w:sz w:val="32"/>
          <w:szCs w:val="32"/>
          <w:lang w:val="en-US" w:eastAsia="zh-CN" w:bidi="ar-SA"/>
        </w:rPr>
        <w:t>学习广州、深圳等产业头部城市以及临平区、余杭区等兄弟城区相关政策举措，谋划政策行文框架。组建跨境产业专班，认真</w:t>
      </w:r>
      <w:r>
        <w:rPr>
          <w:rFonts w:hint="default" w:ascii="仿宋_GB2312" w:hAnsi="仿宋_GB2312" w:eastAsia="仿宋_GB2312" w:cs="仿宋_GB2312"/>
          <w:b w:val="0"/>
          <w:bCs w:val="0"/>
          <w:snapToGrid w:val="0"/>
          <w:color w:val="000000"/>
          <w:kern w:val="0"/>
          <w:sz w:val="32"/>
          <w:szCs w:val="32"/>
          <w:lang w:eastAsia="zh-CN" w:bidi="ar-SA"/>
        </w:rPr>
        <w:t>学习研究</w:t>
      </w:r>
      <w:r>
        <w:rPr>
          <w:rFonts w:hint="eastAsia" w:ascii="仿宋_GB2312" w:hAnsi="仿宋_GB2312" w:eastAsia="仿宋_GB2312" w:cs="仿宋_GB2312"/>
          <w:b w:val="0"/>
          <w:bCs w:val="0"/>
          <w:snapToGrid w:val="0"/>
          <w:color w:val="000000"/>
          <w:kern w:val="0"/>
          <w:sz w:val="32"/>
          <w:szCs w:val="32"/>
          <w:lang w:val="en-US" w:eastAsia="zh-CN" w:bidi="ar-SA"/>
        </w:rPr>
        <w:t>跨</w:t>
      </w:r>
      <w:r>
        <w:rPr>
          <w:rFonts w:hint="eastAsia" w:ascii="仿宋_GB2312" w:hAnsi="仿宋_GB2312" w:eastAsia="仿宋_GB2312" w:cs="仿宋_GB2312"/>
          <w:b w:val="0"/>
          <w:bCs w:val="0"/>
          <w:snapToGrid w:val="0"/>
          <w:color w:val="auto"/>
          <w:kern w:val="0"/>
          <w:sz w:val="32"/>
          <w:szCs w:val="32"/>
          <w:lang w:val="en-US" w:eastAsia="zh-CN" w:bidi="ar-SA"/>
        </w:rPr>
        <w:t>境电商产业发展模式，实地考察广州、深圳、义乌等地发展路径。</w:t>
      </w:r>
      <w:r>
        <w:rPr>
          <w:rFonts w:hint="eastAsia" w:ascii="楷体_GB2312" w:hAnsi="楷体_GB2312" w:eastAsia="楷体_GB2312" w:cs="楷体_GB2312"/>
          <w:b w:val="0"/>
          <w:bCs w:val="0"/>
          <w:snapToGrid w:val="0"/>
          <w:color w:val="auto"/>
          <w:kern w:val="0"/>
          <w:sz w:val="32"/>
          <w:szCs w:val="32"/>
          <w:lang w:val="en-US" w:eastAsia="zh-CN" w:bidi="ar-SA"/>
        </w:rPr>
        <w:t>二是精准分析。</w:t>
      </w:r>
      <w:r>
        <w:rPr>
          <w:rFonts w:hint="eastAsia" w:ascii="仿宋_GB2312" w:hAnsi="仿宋_GB2312" w:eastAsia="仿宋_GB2312" w:cs="仿宋_GB2312"/>
          <w:b w:val="0"/>
          <w:bCs w:val="0"/>
          <w:snapToGrid w:val="0"/>
          <w:color w:val="auto"/>
          <w:kern w:val="0"/>
          <w:sz w:val="32"/>
          <w:szCs w:val="32"/>
          <w:lang w:val="en-US" w:eastAsia="zh-CN" w:bidi="ar-SA"/>
        </w:rPr>
        <w:t>经与省、市商务主管部门进行对接，基于省、市</w:t>
      </w:r>
      <w:r>
        <w:rPr>
          <w:rFonts w:hint="eastAsia" w:ascii="仿宋_GB2312" w:hAnsi="Calibri" w:eastAsia="仿宋_GB2312" w:cs="Times New Roman"/>
          <w:sz w:val="32"/>
          <w:szCs w:val="32"/>
          <w:lang w:eastAsia="zh-CN"/>
        </w:rPr>
        <w:t>加力推动跨境电商高质量发展行动计划</w:t>
      </w:r>
      <w:r>
        <w:rPr>
          <w:rFonts w:hint="eastAsia" w:ascii="仿宋_GB2312" w:hAnsi="仿宋_GB2312" w:eastAsia="仿宋_GB2312" w:cs="仿宋_GB2312"/>
          <w:b w:val="0"/>
          <w:bCs w:val="0"/>
          <w:snapToGrid w:val="0"/>
          <w:color w:val="auto"/>
          <w:kern w:val="0"/>
          <w:sz w:val="32"/>
          <w:szCs w:val="32"/>
          <w:lang w:val="en-US" w:eastAsia="zh-CN" w:bidi="ar-SA"/>
        </w:rPr>
        <w:t>基础，按照补强、延伸、自定的总体思路，和上级政策形成有效互补。</w:t>
      </w:r>
      <w:r>
        <w:rPr>
          <w:rFonts w:hint="eastAsia" w:ascii="仿宋_GB2312" w:hAnsi="仿宋_GB2312" w:eastAsia="仿宋_GB2312" w:cs="仿宋_GB2312"/>
          <w:b/>
          <w:bCs/>
          <w:snapToGrid w:val="0"/>
          <w:color w:val="auto"/>
          <w:kern w:val="0"/>
          <w:sz w:val="32"/>
          <w:szCs w:val="32"/>
          <w:lang w:val="en-US" w:eastAsia="zh-CN" w:bidi="ar-SA"/>
        </w:rPr>
        <w:t>补强：</w:t>
      </w:r>
      <w:r>
        <w:rPr>
          <w:rFonts w:hint="eastAsia" w:ascii="仿宋_GB2312" w:hAnsi="仿宋_GB2312" w:eastAsia="仿宋_GB2312" w:cs="仿宋_GB2312"/>
          <w:b w:val="0"/>
          <w:bCs w:val="0"/>
          <w:snapToGrid w:val="0"/>
          <w:color w:val="auto"/>
          <w:kern w:val="0"/>
          <w:sz w:val="32"/>
          <w:szCs w:val="32"/>
          <w:lang w:val="en-US" w:eastAsia="zh-CN" w:bidi="ar-SA"/>
        </w:rPr>
        <w:t>对省市政策已经覆盖的内容结合我区实际进行部分补强叠加，力争形成数据、资源的集聚。</w:t>
      </w:r>
      <w:r>
        <w:rPr>
          <w:rFonts w:hint="eastAsia" w:ascii="仿宋_GB2312" w:hAnsi="仿宋_GB2312" w:eastAsia="仿宋_GB2312" w:cs="仿宋_GB2312"/>
          <w:b/>
          <w:bCs/>
          <w:snapToGrid w:val="0"/>
          <w:color w:val="auto"/>
          <w:kern w:val="0"/>
          <w:sz w:val="32"/>
          <w:szCs w:val="32"/>
          <w:lang w:val="en-US" w:eastAsia="zh-CN" w:bidi="ar-SA"/>
        </w:rPr>
        <w:t>延伸：</w:t>
      </w:r>
      <w:r>
        <w:rPr>
          <w:rFonts w:hint="eastAsia" w:ascii="仿宋_GB2312" w:hAnsi="仿宋_GB2312" w:eastAsia="仿宋_GB2312" w:cs="仿宋_GB2312"/>
          <w:b w:val="0"/>
          <w:bCs w:val="0"/>
          <w:snapToGrid w:val="0"/>
          <w:color w:val="auto"/>
          <w:kern w:val="0"/>
          <w:sz w:val="32"/>
          <w:szCs w:val="32"/>
          <w:lang w:val="en-US" w:eastAsia="zh-CN" w:bidi="ar-SA"/>
        </w:rPr>
        <w:t>对省市政策延伸，扩大扶持范围。</w:t>
      </w:r>
      <w:r>
        <w:rPr>
          <w:rFonts w:hint="eastAsia" w:ascii="仿宋_GB2312" w:hAnsi="仿宋_GB2312" w:eastAsia="仿宋_GB2312" w:cs="仿宋_GB2312"/>
          <w:b/>
          <w:bCs/>
          <w:snapToGrid w:val="0"/>
          <w:color w:val="auto"/>
          <w:kern w:val="0"/>
          <w:sz w:val="32"/>
          <w:szCs w:val="32"/>
          <w:lang w:val="en-US" w:eastAsia="zh-CN" w:bidi="ar-SA"/>
        </w:rPr>
        <w:t>自定：</w:t>
      </w:r>
      <w:r>
        <w:rPr>
          <w:rFonts w:hint="eastAsia" w:ascii="仿宋_GB2312" w:hAnsi="仿宋_GB2312" w:eastAsia="仿宋_GB2312" w:cs="仿宋_GB2312"/>
          <w:b w:val="0"/>
          <w:bCs w:val="0"/>
          <w:snapToGrid w:val="0"/>
          <w:color w:val="auto"/>
          <w:kern w:val="0"/>
          <w:sz w:val="32"/>
          <w:szCs w:val="32"/>
          <w:lang w:val="en-US" w:eastAsia="zh-CN" w:bidi="ar-SA"/>
        </w:rPr>
        <w:t>根据市政策中第1条、第4条等条款中鼓励区县出台政策的内容进行制定。</w:t>
      </w:r>
      <w:r>
        <w:rPr>
          <w:rFonts w:hint="eastAsia" w:ascii="楷体_GB2312" w:hAnsi="楷体_GB2312" w:eastAsia="楷体_GB2312" w:cs="楷体_GB2312"/>
          <w:b w:val="0"/>
          <w:bCs w:val="0"/>
          <w:snapToGrid w:val="0"/>
          <w:color w:val="auto"/>
          <w:kern w:val="0"/>
          <w:sz w:val="32"/>
          <w:szCs w:val="32"/>
          <w:lang w:val="en-US" w:eastAsia="zh-CN" w:bidi="ar-SA"/>
        </w:rPr>
        <w:t>三是广泛沟通。</w:t>
      </w:r>
      <w:r>
        <w:rPr>
          <w:rFonts w:hint="eastAsia" w:ascii="仿宋_GB2312" w:hAnsi="仿宋_GB2312" w:eastAsia="仿宋_GB2312" w:cs="仿宋_GB2312"/>
          <w:color w:val="000000"/>
          <w:sz w:val="32"/>
          <w:szCs w:val="32"/>
          <w:highlight w:val="none"/>
          <w:lang w:val="en-US" w:eastAsia="zh-CN"/>
        </w:rPr>
        <w:t>召开6轮企业座谈会，充分听取了50余家企业意见，并走访了国贸云商、</w:t>
      </w:r>
      <w:r>
        <w:rPr>
          <w:rFonts w:hint="default" w:ascii="仿宋_GB2312" w:hAnsi="仿宋_GB2312" w:eastAsia="仿宋_GB2312" w:cs="仿宋_GB2312"/>
          <w:color w:val="000000"/>
          <w:sz w:val="32"/>
          <w:szCs w:val="32"/>
          <w:highlight w:val="none"/>
          <w:lang w:eastAsia="zh-CN"/>
        </w:rPr>
        <w:t>同富、巨星</w:t>
      </w:r>
      <w:r>
        <w:rPr>
          <w:rFonts w:hint="eastAsia" w:ascii="仿宋_GB2312" w:hAnsi="仿宋_GB2312" w:eastAsia="仿宋_GB2312" w:cs="仿宋_GB2312"/>
          <w:color w:val="000000"/>
          <w:sz w:val="32"/>
          <w:szCs w:val="32"/>
          <w:highlight w:val="none"/>
          <w:lang w:val="en-US" w:eastAsia="zh-CN"/>
        </w:rPr>
        <w:t>等20余家龙头企业，共计收集了</w:t>
      </w:r>
      <w:r>
        <w:rPr>
          <w:rFonts w:hint="default" w:ascii="仿宋_GB2312" w:hAnsi="仿宋_GB2312" w:eastAsia="仿宋_GB2312" w:cs="仿宋_GB2312"/>
          <w:color w:val="000000"/>
          <w:sz w:val="32"/>
          <w:szCs w:val="32"/>
          <w:highlight w:val="none"/>
          <w:lang w:eastAsia="zh-CN"/>
        </w:rPr>
        <w:t>22</w:t>
      </w:r>
      <w:r>
        <w:rPr>
          <w:rFonts w:hint="eastAsia" w:ascii="仿宋_GB2312" w:hAnsi="仿宋_GB2312" w:eastAsia="仿宋_GB2312" w:cs="仿宋_GB2312"/>
          <w:color w:val="000000"/>
          <w:sz w:val="32"/>
          <w:szCs w:val="32"/>
          <w:highlight w:val="none"/>
          <w:lang w:val="en-US" w:eastAsia="zh-CN"/>
        </w:rPr>
        <w:t>家企业</w:t>
      </w:r>
      <w:r>
        <w:rPr>
          <w:rFonts w:hint="default" w:ascii="仿宋_GB2312" w:hAnsi="仿宋_GB2312" w:eastAsia="仿宋_GB2312" w:cs="仿宋_GB2312"/>
          <w:color w:val="000000"/>
          <w:sz w:val="32"/>
          <w:szCs w:val="32"/>
          <w:highlight w:val="none"/>
          <w:lang w:eastAsia="zh-CN"/>
        </w:rPr>
        <w:t>30余</w:t>
      </w:r>
      <w:r>
        <w:rPr>
          <w:rFonts w:hint="eastAsia" w:ascii="仿宋_GB2312" w:hAnsi="仿宋_GB2312" w:eastAsia="仿宋_GB2312" w:cs="仿宋_GB2312"/>
          <w:color w:val="000000"/>
          <w:sz w:val="32"/>
          <w:szCs w:val="32"/>
          <w:highlight w:val="none"/>
          <w:lang w:val="en-US" w:eastAsia="zh-CN"/>
        </w:rPr>
        <w:t>条政策需求和意见建议。充分加强对接，多次对接省市相关处室，得到上级部门的指导</w:t>
      </w:r>
      <w:r>
        <w:rPr>
          <w:rFonts w:hint="default"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及时对接区市场监管局、区财政局、钱塘智慧城等</w:t>
      </w:r>
      <w:r>
        <w:rPr>
          <w:rFonts w:hint="default" w:ascii="仿宋_GB2312" w:hAnsi="仿宋_GB2312" w:eastAsia="仿宋_GB2312" w:cs="仿宋_GB2312"/>
          <w:color w:val="000000"/>
          <w:sz w:val="32"/>
          <w:szCs w:val="32"/>
          <w:highlight w:val="none"/>
          <w:lang w:eastAsia="zh-CN"/>
        </w:rPr>
        <w:t>部门</w:t>
      </w:r>
      <w:r>
        <w:rPr>
          <w:rFonts w:hint="eastAsia" w:ascii="仿宋_GB2312" w:hAnsi="仿宋_GB2312" w:eastAsia="仿宋_GB2312" w:cs="仿宋_GB2312"/>
          <w:color w:val="000000"/>
          <w:sz w:val="32"/>
          <w:szCs w:val="32"/>
          <w:highlight w:val="none"/>
          <w:lang w:val="en-US" w:eastAsia="zh-CN"/>
        </w:rPr>
        <w:t>，对政策内容进行</w:t>
      </w:r>
      <w:r>
        <w:rPr>
          <w:rFonts w:hint="eastAsia" w:ascii="仿宋_GB2312" w:hAnsi="仿宋_GB2312" w:eastAsia="仿宋_GB2312" w:cs="仿宋_GB2312"/>
          <w:b w:val="0"/>
          <w:snapToGrid w:val="0"/>
          <w:color w:val="auto"/>
          <w:kern w:val="0"/>
          <w:sz w:val="32"/>
          <w:szCs w:val="32"/>
          <w:lang w:val="en-US" w:eastAsia="zh-CN" w:bidi="ar-SA"/>
        </w:rPr>
        <w:t>修改完善形成送审稿。</w:t>
      </w:r>
    </w:p>
    <w:p>
      <w:pPr>
        <w:ind w:firstLine="640" w:firstLineChars="200"/>
        <w:jc w:val="right"/>
        <w:rPr>
          <w:rFonts w:hint="eastAsia" w:ascii="仿宋" w:hAnsi="仿宋" w:eastAsia="仿宋"/>
          <w:sz w:val="32"/>
          <w:szCs w:val="32"/>
        </w:rPr>
      </w:pPr>
      <w:bookmarkStart w:id="0" w:name="_GoBack"/>
      <w:bookmarkEnd w:id="0"/>
    </w:p>
    <w:p>
      <w:pPr>
        <w:ind w:firstLine="640" w:firstLineChars="200"/>
        <w:jc w:val="right"/>
        <w:rPr>
          <w:rFonts w:hint="eastAsia" w:ascii="仿宋" w:hAnsi="仿宋" w:eastAsia="仿宋"/>
          <w:sz w:val="32"/>
          <w:szCs w:val="32"/>
        </w:rPr>
      </w:pPr>
    </w:p>
    <w:p>
      <w:pPr>
        <w:ind w:firstLine="640" w:firstLineChars="200"/>
        <w:jc w:val="right"/>
        <w:rPr>
          <w:rFonts w:hint="eastAsia" w:ascii="仿宋" w:hAnsi="仿宋" w:eastAsia="仿宋"/>
          <w:sz w:val="32"/>
          <w:szCs w:val="32"/>
        </w:rPr>
      </w:pPr>
      <w:r>
        <w:rPr>
          <w:rFonts w:hint="eastAsia" w:ascii="仿宋" w:hAnsi="仿宋" w:eastAsia="仿宋"/>
          <w:sz w:val="32"/>
          <w:szCs w:val="32"/>
        </w:rPr>
        <w:t>（单位名称及印章）</w:t>
      </w:r>
    </w:p>
    <w:p>
      <w:pPr>
        <w:ind w:firstLine="640" w:firstLineChars="200"/>
        <w:jc w:val="right"/>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024</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Calibri" w:eastAsia="仿宋_GB2312" w:cs="Times New Roman"/>
          <w:sz w:val="32"/>
          <w:szCs w:val="32"/>
        </w:rPr>
      </w:pPr>
      <w:r>
        <w:rPr>
          <w:rFonts w:hint="eastAsia" w:ascii="仿宋" w:hAnsi="仿宋" w:eastAsia="仿宋"/>
          <w:sz w:val="32"/>
          <w:szCs w:val="32"/>
        </w:rPr>
        <w:t>（联系人：</w:t>
      </w:r>
      <w:r>
        <w:rPr>
          <w:rFonts w:hint="eastAsia" w:ascii="仿宋" w:hAnsi="仿宋" w:eastAsia="仿宋"/>
          <w:sz w:val="32"/>
          <w:szCs w:val="32"/>
          <w:lang w:eastAsia="zh-CN"/>
        </w:rPr>
        <w:t>冯鹏飞</w:t>
      </w:r>
      <w:r>
        <w:rPr>
          <w:rFonts w:hint="eastAsia" w:ascii="仿宋" w:hAnsi="仿宋" w:eastAsia="仿宋"/>
          <w:sz w:val="32"/>
          <w:szCs w:val="32"/>
        </w:rPr>
        <w:t>，电话：</w:t>
      </w:r>
      <w:r>
        <w:rPr>
          <w:rFonts w:hint="eastAsia" w:ascii="仿宋_GB2312" w:hAnsi="仿宋_GB2312" w:eastAsia="仿宋_GB2312" w:cs="仿宋_GB2312"/>
          <w:b w:val="0"/>
          <w:bCs w:val="0"/>
          <w:color w:val="auto"/>
          <w:sz w:val="32"/>
          <w:szCs w:val="32"/>
          <w:highlight w:val="none"/>
          <w:lang w:val="en-US" w:eastAsia="zh-CN" w:bidi="ar-SA"/>
        </w:rPr>
        <w:t>0571-89501086</w:t>
      </w:r>
      <w:r>
        <w:rPr>
          <w:rFonts w:hint="eastAsia" w:ascii="仿宋" w:hAnsi="仿宋" w:eastAsia="仿宋"/>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A6996"/>
    <w:multiLevelType w:val="singleLevel"/>
    <w:tmpl w:val="0ADA6996"/>
    <w:lvl w:ilvl="0" w:tentative="0">
      <w:start w:val="1"/>
      <w:numFmt w:val="decimal"/>
      <w:suff w:val="nothing"/>
      <w:lvlText w:val="%1、"/>
      <w:lvlJc w:val="left"/>
    </w:lvl>
  </w:abstractNum>
  <w:abstractNum w:abstractNumId="1">
    <w:nsid w:val="52E56145"/>
    <w:multiLevelType w:val="singleLevel"/>
    <w:tmpl w:val="52E5614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64150"/>
    <w:rsid w:val="7C26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endnote text"/>
    <w:basedOn w:val="1"/>
    <w:unhideWhenUsed/>
    <w:qFormat/>
    <w:uiPriority w:val="99"/>
    <w:pPr>
      <w:suppressAutoHyphens w:val="0"/>
      <w:snapToGrid w:val="0"/>
      <w:jc w:val="left"/>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2024-12-23T02:14:00Z</dcterms:created>
  <dc:creator>karry on</dc:creator>
  <cp:lastModifiedBy>karry on</cp:lastModifiedBy>
  <dcterms:modified xsi:type="dcterms:W3CDTF">2024-12-23T02:15:03Z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7B22C5519A4340128E7044DB8C067527</vt:lpwstr>
  </property>
</Properties>
</file>