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13.0</w:t>
            </w:r>
            <w:r>
              <w:rPr>
                <w:rFonts w:hint="eastAsia" w:ascii="黑体" w:hAnsi="黑体" w:eastAsia="黑体"/>
                <w:sz w:val="21"/>
                <w:szCs w:val="21"/>
                <w:lang w:val="en-US" w:eastAsia="zh-CN"/>
              </w:rPr>
              <w:t>2</w:t>
            </w:r>
            <w:r>
              <w:rPr>
                <w:rFonts w:ascii="黑体" w:hAnsi="黑体" w:eastAsia="黑体"/>
                <w:sz w:val="21"/>
                <w:szCs w:val="21"/>
              </w:rPr>
              <w:t xml:space="preserve">0.10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Z </w:t>
            </w:r>
            <w:r>
              <w:rPr>
                <w:rFonts w:hint="eastAsia" w:ascii="黑体" w:hAnsi="黑体" w:eastAsia="黑体"/>
                <w:sz w:val="21"/>
                <w:szCs w:val="21"/>
                <w:lang w:val="en-US" w:eastAsia="zh-CN"/>
              </w:rPr>
              <w:t>0</w:t>
            </w:r>
            <w:r>
              <w:rPr>
                <w:rFonts w:ascii="黑体" w:hAnsi="黑体" w:eastAsia="黑体"/>
                <w:sz w:val="21"/>
                <w:szCs w:val="21"/>
              </w:rPr>
              <w:t>1     </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w:t>
            </w:r>
            <w:r>
              <w:rPr>
                <w:rFonts w:hint="default"/>
                <w:lang w:val="en-US"/>
              </w:rPr>
              <w:t>06</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lang w:val="en-US" w:eastAsia="zh-CN"/>
        </w:rPr>
        <w:t>浙江省</w:t>
      </w:r>
      <w:r>
        <w:rPr>
          <w:rFonts w:hint="eastAsia" w:ascii="黑体" w:eastAsia="黑体"/>
          <w:b w:val="0"/>
          <w:w w:val="100"/>
          <w:sz w:val="48"/>
        </w:rPr>
        <w:t>绍兴市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33</w:t>
      </w:r>
      <w:r>
        <w:rPr>
          <w:rFonts w:hint="eastAsia"/>
          <w:lang w:val="en-US" w:eastAsia="zh-CN"/>
        </w:rPr>
        <w:t>06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w:t>
      </w:r>
      <w:r>
        <w:rPr>
          <w:rFonts w:hint="eastAsia"/>
          <w:lang w:val="en-US" w:eastAsia="zh-CN"/>
        </w:rPr>
        <w:t>4</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 xml:space="preserve">产品碳足迹评价技术规范 </w:t>
      </w:r>
      <w:r>
        <w:rPr>
          <w:rFonts w:hint="default"/>
          <w:lang w:val="en-US"/>
        </w:rPr>
        <w:t xml:space="preserve"> </w:t>
      </w:r>
      <w:r>
        <w:t>丝绸</w:t>
      </w:r>
      <w:r>
        <w:rPr>
          <w:rFonts w:hint="eastAsia"/>
          <w:lang w:eastAsia="zh-CN"/>
        </w:rPr>
        <w:t>面料</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 xml:space="preserve">Technical specification for evaluation of carbon footprint of products - Silk </w:t>
      </w:r>
      <w:r>
        <w:rPr>
          <w:rFonts w:hint="eastAsia" w:ascii="黑体" w:hAnsi="黑体" w:eastAsia="黑体"/>
          <w:szCs w:val="28"/>
          <w:lang w:val="en-US" w:eastAsia="zh-CN"/>
        </w:rPr>
        <w:t>fabric</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w:t>
      </w:r>
      <w:r>
        <w:rPr>
          <w:rFonts w:hint="eastAsia" w:ascii="黑体"/>
          <w:lang w:val="en-US" w:eastAsia="zh-CN"/>
        </w:rPr>
        <w:t>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w:t>
      </w:r>
      <w:r>
        <w:rPr>
          <w:rFonts w:hint="eastAsia" w:ascii="黑体"/>
          <w:lang w:val="en-US" w:eastAsia="zh-CN"/>
        </w:rPr>
        <w:t>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绍兴市市场监督管理局</w:t>
      </w:r>
      <w:r>
        <w:rPr>
          <w:rFonts w:hAnsi="黑体"/>
          <w:w w:val="100"/>
          <w:sz w:val="28"/>
        </w:rPr>
        <w:t>     </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r>
        <w:rPr>
          <w:rFonts w:hint="eastAsia"/>
          <w:spacing w:val="320"/>
        </w:rPr>
        <w:t>目</w:t>
      </w:r>
      <w:r>
        <w:rPr>
          <w:rFonts w:hint="eastAsia"/>
        </w:rPr>
        <w:t>次</w:t>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"1-1" \h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_Toc8593 </w:instrText>
      </w:r>
      <w:r>
        <w:rPr>
          <w:rFonts w:hint="eastAsia" w:ascii="宋体" w:hAnsi="宋体" w:eastAsia="宋体" w:cs="宋体"/>
        </w:rPr>
        <w:fldChar w:fldCharType="separate"/>
      </w:r>
      <w:r>
        <w:rPr>
          <w:rFonts w:hint="eastAsia" w:ascii="宋体" w:hAnsi="宋体" w:eastAsia="宋体" w:cs="宋体"/>
          <w:lang w:val="en-US" w:eastAsia="zh-CN"/>
        </w:rPr>
        <w:t>前</w:t>
      </w:r>
      <w:r>
        <w:rPr>
          <w:rFonts w:hint="eastAsia" w:ascii="宋体" w:hAnsi="宋体" w:eastAsia="宋体" w:cs="宋体"/>
        </w:rPr>
        <w:t>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_Toc8593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_Toc27392 </w:instrText>
      </w:r>
      <w:r>
        <w:rPr>
          <w:rFonts w:hint="eastAsia" w:ascii="宋体" w:hAnsi="宋体" w:eastAsia="宋体" w:cs="宋体"/>
        </w:rPr>
        <w:fldChar w:fldCharType="separate"/>
      </w:r>
      <w:r>
        <w:rPr>
          <w:rFonts w:hint="eastAsia" w:ascii="宋体" w:hAnsi="宋体" w:eastAsia="宋体" w:cs="宋体"/>
          <w:i w:val="0"/>
        </w:rPr>
        <w:t xml:space="preserve">1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_Toc27392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_Toc26030 </w:instrText>
      </w:r>
      <w:r>
        <w:rPr>
          <w:rFonts w:hint="eastAsia" w:ascii="宋体" w:hAnsi="宋体" w:eastAsia="宋体" w:cs="宋体"/>
        </w:rPr>
        <w:fldChar w:fldCharType="separate"/>
      </w:r>
      <w:r>
        <w:rPr>
          <w:rFonts w:hint="eastAsia" w:ascii="宋体" w:hAnsi="宋体" w:eastAsia="宋体" w:cs="宋体"/>
          <w:i w:val="0"/>
        </w:rPr>
        <w:t xml:space="preserve">2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_Toc26030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_Toc32740 </w:instrText>
      </w:r>
      <w:r>
        <w:rPr>
          <w:rFonts w:hint="eastAsia" w:ascii="宋体" w:hAnsi="宋体" w:eastAsia="宋体" w:cs="宋体"/>
        </w:rPr>
        <w:fldChar w:fldCharType="separate"/>
      </w:r>
      <w:r>
        <w:rPr>
          <w:rFonts w:hint="eastAsia" w:ascii="宋体" w:hAnsi="宋体" w:eastAsia="宋体" w:cs="宋体"/>
          <w:i w:val="0"/>
        </w:rPr>
        <w:t xml:space="preserve">3 </w:t>
      </w:r>
      <w:r>
        <w:rPr>
          <w:rFonts w:hint="eastAsia" w:ascii="宋体" w:hAnsi="宋体" w:eastAsia="宋体" w:cs="宋体"/>
          <w:szCs w:val="21"/>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_Toc32740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_Toc9452 </w:instrText>
      </w:r>
      <w:r>
        <w:rPr>
          <w:rFonts w:hint="eastAsia" w:ascii="宋体" w:hAnsi="宋体" w:eastAsia="宋体" w:cs="宋体"/>
        </w:rPr>
        <w:fldChar w:fldCharType="separate"/>
      </w:r>
      <w:r>
        <w:rPr>
          <w:rFonts w:hint="eastAsia" w:ascii="宋体" w:hAnsi="宋体" w:eastAsia="宋体" w:cs="宋体"/>
          <w:i w:val="0"/>
        </w:rPr>
        <w:t xml:space="preserve">4 </w:t>
      </w:r>
      <w:r>
        <w:rPr>
          <w:rFonts w:hint="eastAsia" w:ascii="宋体" w:hAnsi="宋体" w:eastAsia="宋体" w:cs="宋体"/>
          <w:highlight w:val="none"/>
        </w:rPr>
        <w:t>评价</w:t>
      </w:r>
      <w:r>
        <w:rPr>
          <w:rFonts w:hint="eastAsia" w:ascii="宋体" w:hAnsi="宋体" w:eastAsia="宋体" w:cs="宋体"/>
          <w:highlight w:val="none"/>
          <w:lang w:val="en-US" w:eastAsia="zh-CN"/>
        </w:rPr>
        <w:t>边界与</w:t>
      </w:r>
      <w:r>
        <w:rPr>
          <w:rFonts w:hint="eastAsia" w:ascii="宋体" w:hAnsi="宋体" w:eastAsia="宋体" w:cs="宋体"/>
          <w:highlight w:val="none"/>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_Toc9452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_Toc25477 </w:instrText>
      </w:r>
      <w:r>
        <w:rPr>
          <w:rFonts w:hint="eastAsia" w:ascii="宋体" w:hAnsi="宋体" w:eastAsia="宋体" w:cs="宋体"/>
        </w:rPr>
        <w:fldChar w:fldCharType="separate"/>
      </w:r>
      <w:r>
        <w:rPr>
          <w:rFonts w:hint="eastAsia" w:ascii="宋体" w:hAnsi="宋体" w:eastAsia="宋体" w:cs="宋体"/>
          <w:i w:val="0"/>
        </w:rPr>
        <w:t xml:space="preserve">5 </w:t>
      </w:r>
      <w:r>
        <w:rPr>
          <w:rFonts w:hint="eastAsia" w:ascii="宋体" w:hAnsi="宋体" w:eastAsia="宋体" w:cs="宋体"/>
        </w:rPr>
        <w:t>数据收集和数据质量控制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_Toc25477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_Toc17560 </w:instrText>
      </w:r>
      <w:r>
        <w:rPr>
          <w:rFonts w:hint="eastAsia" w:ascii="宋体" w:hAnsi="宋体" w:eastAsia="宋体" w:cs="宋体"/>
        </w:rPr>
        <w:fldChar w:fldCharType="separate"/>
      </w:r>
      <w:r>
        <w:rPr>
          <w:rFonts w:hint="eastAsia" w:ascii="宋体" w:hAnsi="宋体" w:eastAsia="宋体" w:cs="宋体"/>
          <w:i w:val="0"/>
          <w:lang w:val="en-US" w:eastAsia="zh-CN"/>
        </w:rPr>
        <w:t xml:space="preserve">6 </w:t>
      </w:r>
      <w:r>
        <w:rPr>
          <w:rFonts w:hint="eastAsia" w:ascii="宋体" w:hAnsi="宋体" w:eastAsia="宋体" w:cs="宋体"/>
        </w:rPr>
        <w:t>产品碳足迹的量化与评价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_Toc17560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_Toc6391 </w:instrText>
      </w:r>
      <w:r>
        <w:rPr>
          <w:rFonts w:hint="eastAsia" w:ascii="宋体" w:hAnsi="宋体" w:eastAsia="宋体" w:cs="宋体"/>
        </w:rPr>
        <w:fldChar w:fldCharType="separate"/>
      </w:r>
      <w:r>
        <w:rPr>
          <w:rFonts w:hint="eastAsia" w:ascii="宋体" w:hAnsi="宋体" w:eastAsia="宋体" w:cs="宋体"/>
          <w:i w:val="0"/>
        </w:rPr>
        <w:t xml:space="preserve">7 </w:t>
      </w:r>
      <w:r>
        <w:rPr>
          <w:rFonts w:hint="eastAsia" w:ascii="宋体" w:hAnsi="宋体" w:eastAsia="宋体" w:cs="宋体"/>
        </w:rPr>
        <w:t>产品碳足迹</w:t>
      </w:r>
      <w:r>
        <w:rPr>
          <w:rFonts w:hint="eastAsia" w:ascii="宋体" w:hAnsi="宋体" w:eastAsia="宋体" w:cs="宋体"/>
          <w:lang w:val="en-US" w:eastAsia="zh-CN"/>
        </w:rPr>
        <w:t>信息披露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_Toc6391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_Toc2693 </w:instrText>
      </w:r>
      <w:r>
        <w:rPr>
          <w:rFonts w:hint="eastAsia" w:ascii="宋体" w:hAnsi="宋体" w:eastAsia="宋体" w:cs="宋体"/>
        </w:rPr>
        <w:fldChar w:fldCharType="separate"/>
      </w:r>
      <w:r>
        <w:rPr>
          <w:rFonts w:hint="eastAsia" w:ascii="宋体" w:hAnsi="宋体" w:eastAsia="宋体" w:cs="宋体"/>
        </w:rPr>
        <w:t xml:space="preserve">附录A （资料性） </w:t>
      </w:r>
      <w:r>
        <w:rPr>
          <w:rFonts w:hint="eastAsia" w:ascii="宋体" w:hAnsi="宋体" w:eastAsia="宋体" w:cs="宋体"/>
          <w:lang w:val="en-US" w:eastAsia="zh-CN"/>
        </w:rPr>
        <w:t xml:space="preserve"> </w:t>
      </w:r>
      <w:r>
        <w:rPr>
          <w:rFonts w:hint="eastAsia" w:ascii="宋体" w:hAnsi="宋体" w:eastAsia="宋体" w:cs="宋体"/>
        </w:rPr>
        <w:t>丝绸面料产品</w:t>
      </w:r>
      <w:r>
        <w:rPr>
          <w:rFonts w:hint="eastAsia" w:ascii="宋体" w:hAnsi="宋体" w:eastAsia="宋体" w:cs="宋体"/>
          <w:lang w:eastAsia="zh-CN"/>
        </w:rPr>
        <w:t>碳足迹评价</w:t>
      </w:r>
      <w:r>
        <w:rPr>
          <w:rFonts w:hint="eastAsia" w:ascii="宋体" w:hAnsi="宋体" w:eastAsia="宋体" w:cs="宋体"/>
        </w:rPr>
        <w:t>单元过程数据收集表模板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_Toc2693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_Toc10632 </w:instrText>
      </w:r>
      <w:r>
        <w:rPr>
          <w:rFonts w:hint="eastAsia" w:ascii="宋体" w:hAnsi="宋体" w:eastAsia="宋体" w:cs="宋体"/>
        </w:rPr>
        <w:fldChar w:fldCharType="separate"/>
      </w:r>
      <w:r>
        <w:rPr>
          <w:rFonts w:hint="eastAsia" w:ascii="宋体" w:hAnsi="宋体" w:eastAsia="宋体" w:cs="宋体"/>
        </w:rPr>
        <w:t>附录B （</w:t>
      </w:r>
      <w:r>
        <w:rPr>
          <w:rFonts w:hint="eastAsia" w:hAnsi="宋体" w:cs="宋体"/>
          <w:lang w:eastAsia="zh-CN"/>
        </w:rPr>
        <w:t>规范</w:t>
      </w:r>
      <w:r>
        <w:rPr>
          <w:rFonts w:hint="eastAsia" w:ascii="宋体" w:hAnsi="宋体" w:eastAsia="宋体" w:cs="宋体"/>
        </w:rPr>
        <w:t>性）</w:t>
      </w:r>
      <w:r>
        <w:rPr>
          <w:rFonts w:hint="eastAsia" w:ascii="宋体" w:hAnsi="宋体" w:eastAsia="宋体" w:cs="宋体"/>
          <w:lang w:val="en-US" w:eastAsia="zh-CN"/>
        </w:rPr>
        <w:t xml:space="preserve"> </w:t>
      </w:r>
      <w:r>
        <w:rPr>
          <w:rFonts w:hint="eastAsia" w:ascii="宋体" w:hAnsi="宋体" w:eastAsia="宋体" w:cs="宋体"/>
        </w:rPr>
        <w:t xml:space="preserve"> 数据质量评价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_Toc10632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_Toc29293 </w:instrText>
      </w:r>
      <w:r>
        <w:rPr>
          <w:rFonts w:hint="eastAsia" w:ascii="宋体" w:hAnsi="宋体" w:eastAsia="宋体" w:cs="宋体"/>
        </w:rPr>
        <w:fldChar w:fldCharType="separate"/>
      </w:r>
      <w:r>
        <w:rPr>
          <w:rFonts w:hint="eastAsia" w:ascii="宋体" w:hAnsi="宋体" w:eastAsia="宋体" w:cs="宋体"/>
        </w:rPr>
        <w:t>附录C （资料性）</w:t>
      </w:r>
      <w:r>
        <w:rPr>
          <w:rFonts w:hint="eastAsia" w:ascii="宋体" w:hAnsi="宋体" w:eastAsia="宋体" w:cs="宋体"/>
          <w:lang w:val="en-US" w:eastAsia="zh-CN"/>
        </w:rPr>
        <w:t xml:space="preserve"> </w:t>
      </w:r>
      <w:r>
        <w:rPr>
          <w:rFonts w:hint="eastAsia" w:ascii="宋体" w:hAnsi="宋体" w:eastAsia="宋体" w:cs="宋体"/>
        </w:rPr>
        <w:t xml:space="preserve"> 产品碳足迹贡献分析示例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_Toc29293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_Toc25380 </w:instrText>
      </w:r>
      <w:r>
        <w:rPr>
          <w:rFonts w:hint="eastAsia" w:ascii="宋体" w:hAnsi="宋体" w:eastAsia="宋体" w:cs="宋体"/>
        </w:rPr>
        <w:fldChar w:fldCharType="separate"/>
      </w:r>
      <w:r>
        <w:rPr>
          <w:rFonts w:hint="eastAsia" w:ascii="宋体" w:hAnsi="宋体" w:eastAsia="宋体" w:cs="宋体"/>
        </w:rPr>
        <w:t>附录D （资料性）</w:t>
      </w:r>
      <w:r>
        <w:rPr>
          <w:rFonts w:hint="eastAsia" w:ascii="宋体" w:hAnsi="宋体" w:eastAsia="宋体" w:cs="宋体"/>
          <w:lang w:val="en-US" w:eastAsia="zh-CN"/>
        </w:rPr>
        <w:t xml:space="preserve"> </w:t>
      </w:r>
      <w:r>
        <w:rPr>
          <w:rFonts w:hint="eastAsia" w:ascii="宋体" w:hAnsi="宋体" w:eastAsia="宋体" w:cs="宋体"/>
        </w:rPr>
        <w:t xml:space="preserve"> 产品碳足迹评价报告框架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_Toc25380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_Toc14138 </w:instrText>
      </w:r>
      <w:r>
        <w:rPr>
          <w:rFonts w:hint="eastAsia" w:ascii="宋体" w:hAnsi="宋体" w:eastAsia="宋体" w:cs="宋体"/>
        </w:rPr>
        <w:fldChar w:fldCharType="separate"/>
      </w:r>
      <w:r>
        <w:rPr>
          <w:rFonts w:hint="eastAsia" w:ascii="宋体" w:hAnsi="宋体" w:eastAsia="宋体" w:cs="宋体"/>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_Toc14138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92"/>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rPr>
          <w:rFonts w:hint="eastAsia" w:ascii="宋体" w:hAnsi="宋体" w:eastAsia="宋体" w:cs="宋体"/>
        </w:rPr>
        <w:fldChar w:fldCharType="end"/>
      </w:r>
    </w:p>
    <w:bookmarkEnd w:id="21"/>
    <w:p>
      <w:pPr>
        <w:pStyle w:val="90"/>
        <w:spacing w:before="900" w:after="468"/>
      </w:pPr>
      <w:bookmarkStart w:id="22" w:name="_Toc8593"/>
      <w:bookmarkStart w:id="23" w:name="BookMark2"/>
      <w:r>
        <w:rPr>
          <w:spacing w:val="320"/>
        </w:rPr>
        <w:t>前</w:t>
      </w:r>
      <w:r>
        <w:t>言</w:t>
      </w:r>
      <w:bookmarkEnd w:id="22"/>
    </w:p>
    <w:p>
      <w:pPr>
        <w:pStyle w:val="57"/>
        <w:ind w:firstLine="420"/>
        <w:rPr>
          <w:rFonts w:hint="eastAsia" w:ascii="宋体" w:hAnsi="宋体" w:eastAsia="宋体" w:cs="宋体"/>
          <w:highlight w:val="none"/>
        </w:rPr>
      </w:pPr>
      <w:r>
        <w:rPr>
          <w:rFonts w:hint="eastAsia"/>
          <w:highlight w:val="none"/>
        </w:rPr>
        <w:t>本</w:t>
      </w:r>
      <w:r>
        <w:rPr>
          <w:rFonts w:hint="eastAsia"/>
          <w:highlight w:val="none"/>
          <w:lang w:val="en-US" w:eastAsia="zh-CN"/>
        </w:rPr>
        <w:t>文件</w:t>
      </w:r>
      <w:r>
        <w:rPr>
          <w:rFonts w:hint="eastAsia" w:ascii="宋体" w:hAnsi="宋体" w:eastAsia="宋体" w:cs="宋体"/>
          <w:highlight w:val="none"/>
        </w:rPr>
        <w:t>按照GB/T 1.1—2020《标准化工作导则  第1部分：标准化文件的结构和起草规则》的规定起草。</w:t>
      </w:r>
    </w:p>
    <w:p>
      <w:pPr>
        <w:pStyle w:val="57"/>
        <w:ind w:firstLine="420"/>
        <w:rPr>
          <w:rFonts w:hint="eastAsia"/>
          <w:highlight w:val="none"/>
        </w:rPr>
      </w:pPr>
      <w:r>
        <w:rPr>
          <w:rFonts w:hint="eastAsia"/>
          <w:highlight w:val="none"/>
        </w:rPr>
        <w:t>请注意本</w:t>
      </w:r>
      <w:r>
        <w:rPr>
          <w:rFonts w:hint="eastAsia"/>
          <w:highlight w:val="none"/>
          <w:lang w:val="en-US" w:eastAsia="zh-CN"/>
        </w:rPr>
        <w:t>文件</w:t>
      </w:r>
      <w:r>
        <w:rPr>
          <w:rFonts w:hint="eastAsia"/>
          <w:highlight w:val="none"/>
        </w:rPr>
        <w:t>的某些内容可能涉及专利。本文件的发布机构不承担识别专利的责任。</w:t>
      </w:r>
    </w:p>
    <w:p>
      <w:pPr>
        <w:pStyle w:val="57"/>
        <w:ind w:firstLine="420"/>
        <w:rPr>
          <w:highlight w:val="none"/>
        </w:rPr>
      </w:pPr>
      <w:r>
        <w:rPr>
          <w:rFonts w:hint="eastAsia"/>
          <w:highlight w:val="none"/>
        </w:rPr>
        <w:t>本文件由绍兴市生态环境局提出</w:t>
      </w:r>
      <w:r>
        <w:rPr>
          <w:rFonts w:hint="eastAsia"/>
          <w:highlight w:val="none"/>
          <w:lang w:eastAsia="zh-CN"/>
        </w:rPr>
        <w:t>并归口</w:t>
      </w:r>
      <w:r>
        <w:rPr>
          <w:rFonts w:hint="eastAsia"/>
          <w:highlight w:val="none"/>
        </w:rPr>
        <w:t>。</w:t>
      </w:r>
    </w:p>
    <w:p>
      <w:pPr>
        <w:pStyle w:val="57"/>
        <w:ind w:firstLine="420"/>
        <w:rPr>
          <w:highlight w:val="none"/>
        </w:rPr>
      </w:pPr>
      <w:r>
        <w:rPr>
          <w:rFonts w:hint="eastAsia"/>
          <w:highlight w:val="none"/>
        </w:rPr>
        <w:t>本文件起草单位：</w:t>
      </w:r>
      <w:r>
        <w:rPr>
          <w:rFonts w:hint="eastAsia"/>
          <w:highlight w:val="none"/>
          <w:lang w:val="en-US" w:eastAsia="zh-CN"/>
        </w:rPr>
        <w:t>绍兴市柯桥区中国轻纺城检验检测与标准化研究院、方圆标志认证集团浙江有限公司、方圆标志认证集团有限公司、浙江方圆检测集团股份有限公司、</w:t>
      </w:r>
      <w:r>
        <w:rPr>
          <w:rFonts w:hint="default"/>
          <w:highlight w:val="none"/>
          <w:lang w:val="en-US"/>
        </w:rPr>
        <w:t>绍兴市质量技术监督检测院</w:t>
      </w:r>
      <w:r>
        <w:rPr>
          <w:rFonts w:hint="eastAsia"/>
          <w:highlight w:val="none"/>
          <w:lang w:val="en-US" w:eastAsia="zh-CN"/>
        </w:rPr>
        <w:t>、绍兴市标准化研究院、</w:t>
      </w:r>
      <w:r>
        <w:rPr>
          <w:rFonts w:hint="default"/>
          <w:highlight w:val="none"/>
          <w:lang w:val="en-US"/>
        </w:rPr>
        <w:t>绍兴市柯桥区大气污染防治中心</w:t>
      </w:r>
      <w:r>
        <w:rPr>
          <w:rFonts w:hint="eastAsia"/>
          <w:highlight w:val="none"/>
          <w:lang w:val="en-US" w:eastAsia="zh-CN"/>
        </w:rPr>
        <w:t>、</w:t>
      </w:r>
      <w:r>
        <w:rPr>
          <w:rFonts w:hint="default"/>
          <w:highlight w:val="none"/>
          <w:lang w:val="en-US"/>
        </w:rPr>
        <w:t>绍兴市柯桥区质量计量检验检测中心</w:t>
      </w:r>
      <w:r>
        <w:rPr>
          <w:rFonts w:hint="eastAsia"/>
          <w:highlight w:val="none"/>
          <w:lang w:val="en-US" w:eastAsia="zh-CN"/>
        </w:rPr>
        <w:t>、</w:t>
      </w:r>
      <w:r>
        <w:rPr>
          <w:rFonts w:hint="default"/>
          <w:highlight w:val="none"/>
          <w:lang w:val="en-US"/>
        </w:rPr>
        <w:t>绍兴市柯桥区环境保护监测站</w:t>
      </w:r>
      <w:r>
        <w:rPr>
          <w:rFonts w:hint="eastAsia"/>
          <w:highlight w:val="none"/>
          <w:lang w:val="en-US" w:eastAsia="zh-CN"/>
        </w:rPr>
        <w:t>、达利丝绸(浙江)有限公司、湖州金裕丝绸科技有限公司</w:t>
      </w:r>
      <w:r>
        <w:rPr>
          <w:rFonts w:hint="eastAsia"/>
          <w:highlight w:val="none"/>
        </w:rPr>
        <w:t>。</w:t>
      </w:r>
      <w:bookmarkStart w:id="56" w:name="_GoBack"/>
      <w:bookmarkEnd w:id="56"/>
    </w:p>
    <w:p>
      <w:pPr>
        <w:pStyle w:val="57"/>
        <w:ind w:firstLine="420"/>
        <w:rPr>
          <w:rFonts w:hint="eastAsia"/>
          <w:highlight w:val="none"/>
        </w:rPr>
      </w:pPr>
      <w:r>
        <w:rPr>
          <w:rFonts w:hint="eastAsia"/>
          <w:highlight w:val="none"/>
        </w:rPr>
        <w:t>本文件主要起草人：</w:t>
      </w:r>
      <w:r>
        <w:rPr>
          <w:rFonts w:hint="eastAsia"/>
          <w:highlight w:val="none"/>
          <w:lang w:val="en-US" w:eastAsia="zh-CN"/>
        </w:rPr>
        <w:t>童朱珏、周明建、陆能、金铁、高小杰、孙志辉、黄湘琦、童艳、曹梅军、鲍振鑫、朱萍、吕菡之、</w:t>
      </w:r>
      <w:r>
        <w:rPr>
          <w:rFonts w:hint="default"/>
          <w:highlight w:val="none"/>
          <w:lang w:val="en-US"/>
        </w:rPr>
        <w:t>孟於冬</w:t>
      </w:r>
      <w:r>
        <w:rPr>
          <w:rFonts w:hint="eastAsia"/>
          <w:highlight w:val="none"/>
          <w:lang w:val="en-US" w:eastAsia="zh-CN"/>
        </w:rPr>
        <w:t>、</w:t>
      </w:r>
      <w:r>
        <w:rPr>
          <w:rFonts w:hint="default"/>
          <w:highlight w:val="none"/>
          <w:lang w:val="en-US"/>
        </w:rPr>
        <w:t>茅金娣</w:t>
      </w:r>
      <w:r>
        <w:rPr>
          <w:rFonts w:hint="eastAsia"/>
          <w:highlight w:val="none"/>
          <w:lang w:val="en-US" w:eastAsia="zh-CN"/>
        </w:rPr>
        <w:t>、</w:t>
      </w:r>
      <w:r>
        <w:rPr>
          <w:rFonts w:hint="default"/>
          <w:highlight w:val="none"/>
          <w:lang w:val="en-US"/>
        </w:rPr>
        <w:t>鲁越峰</w:t>
      </w:r>
      <w:r>
        <w:rPr>
          <w:rFonts w:hint="eastAsia"/>
          <w:highlight w:val="none"/>
          <w:lang w:val="en-US" w:eastAsia="zh-CN"/>
        </w:rPr>
        <w:t>、</w:t>
      </w:r>
      <w:r>
        <w:rPr>
          <w:rFonts w:hint="default"/>
          <w:highlight w:val="none"/>
          <w:lang w:val="en-US"/>
        </w:rPr>
        <w:t>何洁茹</w:t>
      </w:r>
      <w:r>
        <w:rPr>
          <w:rFonts w:hint="eastAsia"/>
          <w:highlight w:val="none"/>
          <w:lang w:val="en-US" w:eastAsia="zh-CN"/>
        </w:rPr>
        <w:t>、</w:t>
      </w:r>
      <w:r>
        <w:rPr>
          <w:rFonts w:hint="default"/>
          <w:highlight w:val="none"/>
          <w:lang w:val="en-US"/>
        </w:rPr>
        <w:t>陈唯</w:t>
      </w:r>
      <w:r>
        <w:rPr>
          <w:rFonts w:hint="eastAsia"/>
          <w:highlight w:val="none"/>
          <w:lang w:val="en-US" w:eastAsia="zh-CN"/>
        </w:rPr>
        <w:t>、</w:t>
      </w:r>
      <w:r>
        <w:rPr>
          <w:rFonts w:hint="default"/>
          <w:highlight w:val="none"/>
          <w:lang w:val="en-US"/>
        </w:rPr>
        <w:t>童珈珈</w:t>
      </w:r>
      <w:r>
        <w:rPr>
          <w:rFonts w:hint="eastAsia"/>
          <w:highlight w:val="none"/>
          <w:lang w:val="en-US" w:eastAsia="zh-CN"/>
        </w:rPr>
        <w:t>、</w:t>
      </w:r>
      <w:r>
        <w:rPr>
          <w:rFonts w:hint="default"/>
          <w:highlight w:val="none"/>
          <w:lang w:val="en-US"/>
        </w:rPr>
        <w:t>黄翔</w:t>
      </w:r>
      <w:r>
        <w:rPr>
          <w:rFonts w:hint="eastAsia"/>
          <w:highlight w:val="none"/>
          <w:lang w:val="en-US" w:eastAsia="zh-CN"/>
        </w:rPr>
        <w:t>、</w:t>
      </w:r>
      <w:r>
        <w:rPr>
          <w:rFonts w:hint="default"/>
          <w:highlight w:val="none"/>
          <w:lang w:val="en-US"/>
        </w:rPr>
        <w:t>孙昱蒙</w:t>
      </w:r>
      <w:r>
        <w:rPr>
          <w:rFonts w:hint="eastAsia"/>
          <w:highlight w:val="none"/>
          <w:lang w:val="en-US" w:eastAsia="zh-CN"/>
        </w:rPr>
        <w:t>、</w:t>
      </w:r>
      <w:r>
        <w:rPr>
          <w:rFonts w:hint="default"/>
          <w:highlight w:val="none"/>
          <w:lang w:val="en-US"/>
        </w:rPr>
        <w:t>余锡孟</w:t>
      </w:r>
      <w:r>
        <w:rPr>
          <w:rFonts w:hint="eastAsia"/>
          <w:highlight w:val="none"/>
          <w:lang w:val="en-US" w:eastAsia="zh-CN"/>
        </w:rPr>
        <w:t>、</w:t>
      </w:r>
      <w:r>
        <w:rPr>
          <w:rFonts w:hint="default"/>
          <w:highlight w:val="none"/>
          <w:lang w:val="en-US"/>
        </w:rPr>
        <w:t>张瑛</w:t>
      </w:r>
      <w:r>
        <w:rPr>
          <w:rFonts w:hint="eastAsia"/>
          <w:highlight w:val="none"/>
          <w:lang w:val="en-US" w:eastAsia="zh-CN"/>
        </w:rPr>
        <w:t>、</w:t>
      </w:r>
      <w:r>
        <w:rPr>
          <w:rFonts w:hint="default"/>
          <w:highlight w:val="none"/>
          <w:lang w:val="en-US"/>
        </w:rPr>
        <w:t>郭培培</w:t>
      </w:r>
      <w:r>
        <w:rPr>
          <w:rFonts w:hint="eastAsia"/>
          <w:highlight w:val="none"/>
          <w:lang w:val="en-US" w:eastAsia="zh-CN"/>
        </w:rPr>
        <w:t>、</w:t>
      </w:r>
      <w:r>
        <w:rPr>
          <w:rFonts w:hint="default"/>
          <w:highlight w:val="none"/>
          <w:lang w:val="en-US"/>
        </w:rPr>
        <w:t>徐琳</w:t>
      </w:r>
      <w:r>
        <w:rPr>
          <w:rFonts w:hint="eastAsia"/>
          <w:highlight w:val="none"/>
          <w:lang w:val="en-US" w:eastAsia="zh-CN"/>
        </w:rPr>
        <w:t>、</w:t>
      </w:r>
      <w:r>
        <w:rPr>
          <w:rFonts w:hint="default"/>
          <w:highlight w:val="none"/>
          <w:lang w:val="en-US"/>
        </w:rPr>
        <w:t>陈祖榕</w:t>
      </w:r>
      <w:r>
        <w:rPr>
          <w:rFonts w:hint="eastAsia"/>
          <w:highlight w:val="none"/>
          <w:lang w:val="en-US" w:eastAsia="zh-CN"/>
        </w:rPr>
        <w:t>、</w:t>
      </w:r>
      <w:r>
        <w:rPr>
          <w:rFonts w:hint="default"/>
          <w:highlight w:val="none"/>
          <w:lang w:val="en-US"/>
        </w:rPr>
        <w:t>许志颖</w:t>
      </w:r>
      <w:r>
        <w:rPr>
          <w:rFonts w:hint="eastAsia"/>
          <w:highlight w:val="none"/>
          <w:lang w:val="en-US" w:eastAsia="zh-CN"/>
        </w:rPr>
        <w:t>、林平、沈鹏翀</w:t>
      </w:r>
      <w:r>
        <w:rPr>
          <w:rFonts w:hint="eastAsia"/>
          <w:highlight w:val="none"/>
        </w:rPr>
        <w:t>。</w:t>
      </w:r>
    </w:p>
    <w:p>
      <w:pPr>
        <w:pStyle w:val="57"/>
        <w:ind w:firstLine="420"/>
        <w:rPr>
          <w:rFonts w:hint="eastAsia"/>
          <w:highlight w:val="none"/>
          <w:lang w:eastAsia="zh-CN"/>
        </w:rPr>
      </w:pPr>
      <w:r>
        <w:rPr>
          <w:rFonts w:hint="eastAsia"/>
          <w:highlight w:val="none"/>
          <w:lang w:eastAsia="zh-CN"/>
        </w:rPr>
        <w:t>本文件是首次发布。</w:t>
      </w:r>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7D7D4B24454A4F85B68BDFF33C8260FB"/>
        </w:placeholder>
      </w:sdtPr>
      <w:sdtContent>
        <w:p>
          <w:pPr>
            <w:pStyle w:val="178"/>
            <w:spacing w:before="3" w:beforeLines="1" w:after="686" w:afterLines="220"/>
          </w:pPr>
          <w:bookmarkStart w:id="25" w:name="NEW_STAND_NAME"/>
          <w:r>
            <w:rPr>
              <w:rFonts w:hint="eastAsia"/>
            </w:rPr>
            <w:t>产品碳足迹评价技术规范</w:t>
          </w:r>
          <w:r>
            <w:t xml:space="preserve"> </w:t>
          </w:r>
          <w:r>
            <w:rPr>
              <w:rFonts w:hint="default"/>
              <w:lang w:val="en-US"/>
            </w:rPr>
            <w:t xml:space="preserve"> </w:t>
          </w:r>
          <w:r>
            <w:rPr>
              <w:rFonts w:hint="eastAsia"/>
              <w:lang w:eastAsia="zh-CN"/>
            </w:rPr>
            <w:t>丝绸面料</w:t>
          </w:r>
        </w:p>
      </w:sdtContent>
    </w:sdt>
    <w:bookmarkEnd w:id="25"/>
    <w:p>
      <w:pPr>
        <w:pStyle w:val="105"/>
        <w:spacing w:before="312" w:after="312"/>
      </w:pPr>
      <w:bookmarkStart w:id="26" w:name="_Toc26986530"/>
      <w:bookmarkStart w:id="27" w:name="_Toc26648465"/>
      <w:bookmarkStart w:id="28" w:name="_Toc17233325"/>
      <w:bookmarkStart w:id="29" w:name="_Toc26986771"/>
      <w:bookmarkStart w:id="30" w:name="_Toc24884218"/>
      <w:bookmarkStart w:id="31" w:name="_Toc24884211"/>
      <w:bookmarkStart w:id="32" w:name="_Toc26718930"/>
      <w:bookmarkStart w:id="33" w:name="_Toc27392"/>
      <w:bookmarkStart w:id="34" w:name="_Toc97191423"/>
      <w:bookmarkStart w:id="35" w:name="_Toc17233333"/>
      <w:r>
        <w:rPr>
          <w:rFonts w:hint="eastAsia"/>
        </w:rPr>
        <w:t>范围</w:t>
      </w:r>
      <w:bookmarkEnd w:id="26"/>
      <w:bookmarkEnd w:id="27"/>
      <w:bookmarkEnd w:id="28"/>
      <w:bookmarkEnd w:id="29"/>
      <w:bookmarkEnd w:id="30"/>
      <w:bookmarkEnd w:id="31"/>
      <w:bookmarkEnd w:id="32"/>
      <w:bookmarkEnd w:id="33"/>
      <w:bookmarkEnd w:id="34"/>
      <w:bookmarkEnd w:id="35"/>
    </w:p>
    <w:p>
      <w:pPr>
        <w:pStyle w:val="235"/>
        <w:rPr>
          <w:rFonts w:ascii="Times New Roman"/>
        </w:rPr>
      </w:pPr>
      <w:r>
        <w:rPr>
          <w:rFonts w:ascii="Times New Roman"/>
        </w:rPr>
        <w:t>本</w:t>
      </w:r>
      <w:r>
        <w:rPr>
          <w:rFonts w:hint="eastAsia" w:ascii="Times New Roman"/>
          <w:lang w:val="en-US" w:eastAsia="zh-CN"/>
        </w:rPr>
        <w:t>文件</w:t>
      </w:r>
      <w:r>
        <w:rPr>
          <w:rFonts w:ascii="Times New Roman"/>
        </w:rPr>
        <w:t>规定了</w:t>
      </w:r>
      <w:r>
        <w:rPr>
          <w:rFonts w:hint="eastAsia" w:ascii="Times New Roman"/>
          <w:lang w:val="en-US" w:eastAsia="zh-CN"/>
        </w:rPr>
        <w:t>丝绸面料</w:t>
      </w:r>
      <w:r>
        <w:rPr>
          <w:rFonts w:ascii="Times New Roman"/>
        </w:rPr>
        <w:t>产品碳足迹评价的</w:t>
      </w:r>
      <w:r>
        <w:rPr>
          <w:rFonts w:hint="eastAsia" w:ascii="Times New Roman"/>
        </w:rPr>
        <w:t>术语和定义、评价</w:t>
      </w:r>
      <w:r>
        <w:rPr>
          <w:rFonts w:hint="eastAsia" w:ascii="Times New Roman"/>
          <w:lang w:val="en-US" w:eastAsia="zh-CN"/>
        </w:rPr>
        <w:t>边界与</w:t>
      </w:r>
      <w:r>
        <w:rPr>
          <w:rFonts w:hint="eastAsia" w:ascii="Times New Roman"/>
        </w:rPr>
        <w:t>范围、</w:t>
      </w:r>
      <w:r>
        <w:rPr>
          <w:rFonts w:ascii="Times New Roman"/>
        </w:rPr>
        <w:t>数据收集</w:t>
      </w:r>
      <w:r>
        <w:rPr>
          <w:rFonts w:hint="eastAsia" w:ascii="Times New Roman"/>
          <w:lang w:val="en-US" w:eastAsia="zh-CN"/>
        </w:rPr>
        <w:t>和数据质量控制</w:t>
      </w:r>
      <w:r>
        <w:rPr>
          <w:rFonts w:ascii="Times New Roman"/>
        </w:rPr>
        <w:t>、</w:t>
      </w:r>
      <w:r>
        <w:rPr>
          <w:rFonts w:hint="eastAsia" w:ascii="Times New Roman"/>
        </w:rPr>
        <w:t>产品碳足迹的量化与评价</w:t>
      </w:r>
      <w:r>
        <w:rPr>
          <w:rFonts w:hint="eastAsia" w:ascii="Times New Roman"/>
          <w:lang w:eastAsia="zh-CN"/>
        </w:rPr>
        <w:t>、产品碳足迹信息披露</w:t>
      </w:r>
      <w:r>
        <w:rPr>
          <w:rFonts w:ascii="Times New Roman"/>
        </w:rPr>
        <w:t>等内容。</w:t>
      </w:r>
    </w:p>
    <w:p>
      <w:pPr>
        <w:pStyle w:val="235"/>
        <w:rPr>
          <w:rFonts w:hint="eastAsia" w:ascii="Times New Roman" w:eastAsia="宋体"/>
          <w:highlight w:val="none"/>
          <w:lang w:eastAsia="zh-CN"/>
        </w:rPr>
      </w:pPr>
      <w:r>
        <w:rPr>
          <w:rFonts w:ascii="Times New Roman"/>
          <w:highlight w:val="none"/>
        </w:rPr>
        <w:t>本</w:t>
      </w:r>
      <w:r>
        <w:rPr>
          <w:rFonts w:hint="eastAsia" w:ascii="Times New Roman"/>
          <w:highlight w:val="none"/>
          <w:lang w:val="en-US" w:eastAsia="zh-CN"/>
        </w:rPr>
        <w:t>文件</w:t>
      </w:r>
      <w:r>
        <w:rPr>
          <w:rFonts w:ascii="Times New Roman"/>
          <w:highlight w:val="none"/>
        </w:rPr>
        <w:t>适用于</w:t>
      </w:r>
      <w:r>
        <w:rPr>
          <w:rFonts w:hint="eastAsia" w:ascii="Times New Roman"/>
          <w:highlight w:val="none"/>
          <w:lang w:val="en-US" w:eastAsia="zh-CN"/>
        </w:rPr>
        <w:t>丝绸面料产品碳足迹的</w:t>
      </w:r>
      <w:r>
        <w:rPr>
          <w:rFonts w:ascii="Times New Roman"/>
          <w:highlight w:val="none"/>
        </w:rPr>
        <w:t>评价</w:t>
      </w:r>
      <w:r>
        <w:rPr>
          <w:rFonts w:hint="eastAsia" w:ascii="Times New Roman"/>
          <w:highlight w:val="none"/>
          <w:lang w:val="en-US" w:eastAsia="zh-CN"/>
        </w:rPr>
        <w:t>与报告</w:t>
      </w:r>
      <w:r>
        <w:rPr>
          <w:rFonts w:ascii="Times New Roman"/>
          <w:highlight w:val="none"/>
        </w:rPr>
        <w:t>。</w:t>
      </w:r>
    </w:p>
    <w:p>
      <w:pPr>
        <w:pStyle w:val="105"/>
        <w:spacing w:before="312" w:after="312"/>
      </w:pPr>
      <w:bookmarkStart w:id="36" w:name="_Toc24592"/>
      <w:bookmarkStart w:id="37" w:name="_Toc26030"/>
      <w:r>
        <w:rPr>
          <w:rFonts w:hint="eastAsia"/>
        </w:rPr>
        <w:t>规范性引用文件</w:t>
      </w:r>
      <w:bookmarkEnd w:id="36"/>
      <w:bookmarkEnd w:id="37"/>
    </w:p>
    <w:sdt>
      <w:sdtPr>
        <w:rPr>
          <w:rFonts w:hint="eastAsia"/>
        </w:rPr>
        <w:id w:val="715848253"/>
        <w:placeholder>
          <w:docPart w:val="{e58e1b8b-5085-4f37-ab74-3e24d0ad50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Times New Roman" w:hAnsi="Times New Roman" w:eastAsia="宋体" w:cs="Times New Roman"/>
          <w:sz w:val="21"/>
          <w:lang w:val="en-US" w:eastAsia="zh-CN" w:bidi="ar-SA"/>
        </w:rPr>
      </w:sdtEndPr>
      <w:sdtContent>
        <w:p>
          <w:pPr>
            <w:pStyle w:val="57"/>
            <w:spacing w:line="240" w:lineRule="auto"/>
            <w:ind w:firstLine="420"/>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eastAsia" w:eastAsia="宋体"/>
          <w:highlight w:val="none"/>
          <w:lang w:eastAsia="zh-CN"/>
        </w:rPr>
      </w:pPr>
      <w:bookmarkStart w:id="38" w:name="_Toc32740"/>
      <w:bookmarkStart w:id="39" w:name="_Toc19449"/>
      <w:r>
        <w:rPr>
          <w:rFonts w:hint="eastAsia"/>
          <w:highlight w:val="none"/>
        </w:rPr>
        <w:t>GB/T 24021</w:t>
      </w:r>
      <w:r>
        <w:rPr>
          <w:rFonts w:hint="eastAsia"/>
          <w:highlight w:val="none"/>
          <w:lang w:val="en-US" w:eastAsia="zh-CN"/>
        </w:rPr>
        <w:t xml:space="preserve">  </w:t>
      </w:r>
      <w:r>
        <w:rPr>
          <w:rFonts w:hint="eastAsia"/>
          <w:highlight w:val="none"/>
        </w:rPr>
        <w:t>环境管理  环境标志和声明  自我环境声明</w:t>
      </w:r>
      <w:r>
        <w:rPr>
          <w:rFonts w:hint="eastAsia"/>
          <w:highlight w:val="none"/>
          <w:lang w:eastAsia="zh-CN"/>
        </w:rPr>
        <w:t>（</w:t>
      </w:r>
      <w:r>
        <w:rPr>
          <w:rFonts w:hint="eastAsia"/>
          <w:highlight w:val="none"/>
        </w:rPr>
        <w:t>Ⅱ型环境标志</w:t>
      </w:r>
      <w:r>
        <w:rPr>
          <w:rFonts w:hint="eastAsia"/>
          <w:highlight w:val="none"/>
          <w:lang w:eastAsia="zh-CN"/>
        </w:rPr>
        <w:t>）</w:t>
      </w:r>
    </w:p>
    <w:p>
      <w:pPr>
        <w:pStyle w:val="57"/>
        <w:ind w:firstLine="420"/>
        <w:rPr>
          <w:rFonts w:hint="eastAsia"/>
          <w:highlight w:val="none"/>
        </w:rPr>
      </w:pPr>
      <w:r>
        <w:rPr>
          <w:rFonts w:hint="eastAsia"/>
          <w:highlight w:val="none"/>
        </w:rPr>
        <w:t>GB/T</w:t>
      </w:r>
      <w:r>
        <w:rPr>
          <w:rFonts w:hint="eastAsia"/>
          <w:highlight w:val="none"/>
          <w:lang w:val="en-US" w:eastAsia="zh-CN"/>
        </w:rPr>
        <w:t xml:space="preserve"> </w:t>
      </w:r>
      <w:r>
        <w:rPr>
          <w:rFonts w:hint="eastAsia"/>
          <w:highlight w:val="none"/>
        </w:rPr>
        <w:t>24025</w:t>
      </w:r>
      <w:r>
        <w:rPr>
          <w:rFonts w:hint="eastAsia"/>
          <w:highlight w:val="none"/>
          <w:lang w:val="en-US" w:eastAsia="zh-CN"/>
        </w:rPr>
        <w:t xml:space="preserve">  </w:t>
      </w:r>
      <w:r>
        <w:rPr>
          <w:rFonts w:hint="eastAsia"/>
          <w:highlight w:val="none"/>
        </w:rPr>
        <w:t>环境标志和声明 Ⅲ型环境声明 原则和程序</w:t>
      </w:r>
    </w:p>
    <w:p>
      <w:pPr>
        <w:pStyle w:val="57"/>
        <w:ind w:firstLine="420"/>
        <w:rPr>
          <w:rFonts w:hint="eastAsia"/>
          <w:highlight w:val="none"/>
        </w:rPr>
      </w:pPr>
      <w:r>
        <w:rPr>
          <w:rFonts w:hint="eastAsia"/>
          <w:highlight w:val="none"/>
        </w:rPr>
        <w:t>GB/T 24040</w:t>
      </w:r>
      <w:r>
        <w:rPr>
          <w:rFonts w:hint="eastAsia"/>
          <w:highlight w:val="none"/>
          <w:lang w:val="en-US" w:eastAsia="zh-CN"/>
        </w:rPr>
        <w:t>—2008</w:t>
      </w:r>
      <w:r>
        <w:rPr>
          <w:rFonts w:hint="eastAsia"/>
          <w:highlight w:val="none"/>
        </w:rPr>
        <w:t xml:space="preserve"> </w:t>
      </w:r>
      <w:r>
        <w:rPr>
          <w:rFonts w:hint="eastAsia"/>
          <w:highlight w:val="none"/>
          <w:lang w:val="en-US" w:eastAsia="zh-CN"/>
        </w:rPr>
        <w:t xml:space="preserve"> </w:t>
      </w:r>
      <w:r>
        <w:rPr>
          <w:rFonts w:hint="eastAsia"/>
          <w:highlight w:val="none"/>
        </w:rPr>
        <w:t>环境管理生命周期评价原则与框架</w:t>
      </w:r>
    </w:p>
    <w:p>
      <w:pPr>
        <w:pStyle w:val="57"/>
        <w:ind w:firstLine="420"/>
        <w:rPr>
          <w:rFonts w:hint="eastAsia"/>
          <w:highlight w:val="none"/>
        </w:rPr>
      </w:pPr>
      <w:r>
        <w:rPr>
          <w:rFonts w:hint="eastAsia"/>
          <w:highlight w:val="none"/>
        </w:rPr>
        <w:t>GB/T 24044</w:t>
      </w:r>
      <w:r>
        <w:rPr>
          <w:rFonts w:hint="eastAsia"/>
          <w:highlight w:val="none"/>
          <w:lang w:val="en-US" w:eastAsia="zh-CN"/>
        </w:rPr>
        <w:t>—2008</w:t>
      </w:r>
      <w:r>
        <w:rPr>
          <w:rFonts w:hint="eastAsia"/>
          <w:highlight w:val="none"/>
        </w:rPr>
        <w:t xml:space="preserve"> </w:t>
      </w:r>
      <w:r>
        <w:rPr>
          <w:rFonts w:hint="eastAsia"/>
          <w:highlight w:val="none"/>
          <w:lang w:val="en-US" w:eastAsia="zh-CN"/>
        </w:rPr>
        <w:t xml:space="preserve"> </w:t>
      </w:r>
      <w:r>
        <w:rPr>
          <w:rFonts w:hint="eastAsia"/>
          <w:highlight w:val="none"/>
        </w:rPr>
        <w:t>环境管理生命周期评价要求与指南</w:t>
      </w:r>
    </w:p>
    <w:p>
      <w:pPr>
        <w:pStyle w:val="57"/>
        <w:ind w:firstLine="420"/>
        <w:rPr>
          <w:rFonts w:hint="eastAsia"/>
          <w:highlight w:val="none"/>
        </w:rPr>
      </w:pPr>
      <w:r>
        <w:rPr>
          <w:rFonts w:hint="eastAsia"/>
          <w:highlight w:val="none"/>
        </w:rPr>
        <w:t>GB/T 26380</w:t>
      </w:r>
      <w:r>
        <w:rPr>
          <w:rFonts w:hint="eastAsia"/>
          <w:highlight w:val="none"/>
          <w:lang w:val="en-US" w:eastAsia="zh-CN"/>
        </w:rPr>
        <w:t>—</w:t>
      </w:r>
      <w:r>
        <w:rPr>
          <w:rFonts w:hint="eastAsia"/>
          <w:highlight w:val="none"/>
        </w:rPr>
        <w:t>2022</w:t>
      </w:r>
      <w:r>
        <w:rPr>
          <w:rFonts w:hint="eastAsia"/>
          <w:highlight w:val="none"/>
          <w:lang w:val="en-US" w:eastAsia="zh-CN"/>
        </w:rPr>
        <w:t xml:space="preserve">  纺织品 丝绸术语</w:t>
      </w:r>
    </w:p>
    <w:p>
      <w:pPr>
        <w:pStyle w:val="57"/>
        <w:ind w:firstLine="420"/>
        <w:rPr>
          <w:rFonts w:hint="eastAsia"/>
          <w:highlight w:val="none"/>
        </w:rPr>
      </w:pPr>
      <w:r>
        <w:rPr>
          <w:rFonts w:hint="eastAsia"/>
          <w:highlight w:val="none"/>
        </w:rPr>
        <w:t>GB/T 32150</w:t>
      </w:r>
      <w:r>
        <w:rPr>
          <w:rFonts w:hint="eastAsia"/>
          <w:highlight w:val="none"/>
          <w:lang w:val="en-US" w:eastAsia="zh-CN"/>
        </w:rPr>
        <w:t>—2015</w:t>
      </w:r>
      <w:r>
        <w:rPr>
          <w:rFonts w:hint="eastAsia"/>
          <w:highlight w:val="none"/>
        </w:rPr>
        <w:t xml:space="preserve"> </w:t>
      </w:r>
      <w:r>
        <w:rPr>
          <w:rFonts w:hint="eastAsia"/>
          <w:highlight w:val="none"/>
          <w:lang w:val="en-US" w:eastAsia="zh-CN"/>
        </w:rPr>
        <w:t xml:space="preserve"> </w:t>
      </w:r>
      <w:r>
        <w:rPr>
          <w:rFonts w:hint="eastAsia"/>
          <w:highlight w:val="none"/>
        </w:rPr>
        <w:t>工业企业温室气体排放核算和报告通则</w:t>
      </w:r>
    </w:p>
    <w:p>
      <w:pPr>
        <w:pStyle w:val="57"/>
        <w:ind w:firstLine="420"/>
        <w:rPr>
          <w:rFonts w:hint="eastAsia"/>
          <w:highlight w:val="none"/>
        </w:rPr>
      </w:pPr>
      <w:r>
        <w:rPr>
          <w:rFonts w:hint="eastAsia"/>
          <w:highlight w:val="none"/>
        </w:rPr>
        <w:t>GB/T 32151.12</w:t>
      </w:r>
      <w:r>
        <w:rPr>
          <w:rFonts w:hint="eastAsia"/>
          <w:highlight w:val="none"/>
          <w:lang w:eastAsia="zh-CN"/>
        </w:rPr>
        <w:t>—</w:t>
      </w:r>
      <w:r>
        <w:rPr>
          <w:rFonts w:hint="eastAsia"/>
          <w:highlight w:val="none"/>
          <w:lang w:val="en-US" w:eastAsia="zh-CN"/>
        </w:rPr>
        <w:t>2018</w:t>
      </w:r>
      <w:r>
        <w:rPr>
          <w:rFonts w:hint="eastAsia"/>
          <w:highlight w:val="none"/>
        </w:rPr>
        <w:t xml:space="preserve"> </w:t>
      </w:r>
      <w:r>
        <w:rPr>
          <w:rFonts w:hint="eastAsia"/>
          <w:highlight w:val="none"/>
          <w:lang w:val="en-US" w:eastAsia="zh-CN"/>
        </w:rPr>
        <w:t xml:space="preserve"> </w:t>
      </w:r>
      <w:r>
        <w:rPr>
          <w:rFonts w:hint="eastAsia"/>
          <w:highlight w:val="none"/>
        </w:rPr>
        <w:t>温室气体排放核算与报告要求 第12部分: 纺织服装企业</w:t>
      </w:r>
    </w:p>
    <w:p>
      <w:pPr>
        <w:pStyle w:val="57"/>
        <w:ind w:firstLine="420"/>
        <w:rPr>
          <w:rFonts w:hint="default" w:eastAsia="宋体"/>
          <w:highlight w:val="none"/>
          <w:lang w:val="en-US" w:eastAsia="zh-CN"/>
        </w:rPr>
      </w:pPr>
      <w:r>
        <w:rPr>
          <w:rFonts w:hint="eastAsia"/>
          <w:highlight w:val="none"/>
          <w:lang w:val="en-US" w:eastAsia="zh-CN"/>
        </w:rPr>
        <w:t>DB3306/T 053—2023  产品碳足迹评价技术规范 化纤面料</w:t>
      </w:r>
    </w:p>
    <w:p>
      <w:pPr>
        <w:pStyle w:val="57"/>
        <w:ind w:left="0" w:leftChars="0" w:firstLine="420" w:firstLineChars="200"/>
        <w:rPr>
          <w:rFonts w:hint="default" w:eastAsia="宋体"/>
          <w:highlight w:val="none"/>
          <w:lang w:val="en-US" w:eastAsia="zh-CN"/>
        </w:rPr>
      </w:pPr>
      <w:r>
        <w:rPr>
          <w:rFonts w:hint="eastAsia"/>
          <w:highlight w:val="none"/>
        </w:rPr>
        <w:t>ISO</w:t>
      </w:r>
      <w:r>
        <w:rPr>
          <w:rFonts w:hint="eastAsia"/>
          <w:highlight w:val="none"/>
          <w:lang w:val="en-US" w:eastAsia="zh-CN"/>
        </w:rPr>
        <w:t xml:space="preserve"> </w:t>
      </w:r>
      <w:r>
        <w:rPr>
          <w:rFonts w:hint="eastAsia"/>
          <w:highlight w:val="none"/>
        </w:rPr>
        <w:t>14067</w:t>
      </w:r>
      <w:r>
        <w:rPr>
          <w:rFonts w:hint="eastAsia"/>
          <w:highlight w:val="none"/>
          <w:lang w:val="en-US" w:eastAsia="zh-CN"/>
        </w:rPr>
        <w:t>:</w:t>
      </w:r>
      <w:r>
        <w:rPr>
          <w:rFonts w:hint="eastAsia"/>
          <w:highlight w:val="none"/>
        </w:rPr>
        <w:t>2018</w:t>
      </w:r>
      <w:r>
        <w:rPr>
          <w:rFonts w:hint="eastAsia"/>
          <w:highlight w:val="none"/>
          <w:lang w:val="en-US" w:eastAsia="zh-CN"/>
        </w:rPr>
        <w:t xml:space="preserve">  </w:t>
      </w:r>
      <w:r>
        <w:rPr>
          <w:rFonts w:hint="eastAsia"/>
          <w:highlight w:val="none"/>
        </w:rPr>
        <w:t>温室气体</w:t>
      </w:r>
      <w:r>
        <w:rPr>
          <w:rFonts w:hint="eastAsia"/>
          <w:highlight w:val="none"/>
          <w:lang w:val="en-US" w:eastAsia="zh-CN"/>
        </w:rPr>
        <w:t xml:space="preserve"> </w:t>
      </w:r>
      <w:r>
        <w:rPr>
          <w:rFonts w:hint="eastAsia"/>
          <w:highlight w:val="none"/>
        </w:rPr>
        <w:t>产品碳足迹</w:t>
      </w:r>
      <w:r>
        <w:rPr>
          <w:rFonts w:hint="eastAsia"/>
          <w:highlight w:val="none"/>
          <w:lang w:val="en-US" w:eastAsia="zh-CN"/>
        </w:rPr>
        <w:t xml:space="preserve"> </w:t>
      </w:r>
      <w:r>
        <w:rPr>
          <w:rFonts w:hint="eastAsia"/>
          <w:highlight w:val="none"/>
        </w:rPr>
        <w:t>量化要求与准则(Greenhouse gases - Carbon</w:t>
      </w:r>
      <w:r>
        <w:rPr>
          <w:rFonts w:hint="eastAsia"/>
          <w:highlight w:val="none"/>
          <w:lang w:val="en-US" w:eastAsia="zh-CN"/>
        </w:rPr>
        <w:t xml:space="preserve"> </w:t>
      </w:r>
      <w:r>
        <w:rPr>
          <w:rFonts w:hint="eastAsia"/>
          <w:highlight w:val="none"/>
        </w:rPr>
        <w:t>footprint of products - Requirements and guidelines for quantification</w:t>
      </w:r>
      <w:r>
        <w:rPr>
          <w:rFonts w:hint="default"/>
          <w:highlight w:val="none"/>
          <w:lang w:val="en-US"/>
        </w:rPr>
        <w:t>)</w:t>
      </w:r>
    </w:p>
    <w:p>
      <w:pPr>
        <w:pStyle w:val="105"/>
        <w:spacing w:before="312" w:after="312"/>
        <w:rPr>
          <w:highlight w:val="none"/>
        </w:rPr>
      </w:pPr>
      <w:r>
        <w:rPr>
          <w:rFonts w:hint="eastAsia"/>
          <w:szCs w:val="21"/>
          <w:highlight w:val="none"/>
        </w:rPr>
        <w:t>术语和定义</w:t>
      </w:r>
      <w:bookmarkEnd w:id="38"/>
      <w:bookmarkEnd w:id="39"/>
    </w:p>
    <w:sdt>
      <w:sdtPr>
        <w:rPr>
          <w:highlight w:val="none"/>
        </w:rPr>
        <w:id w:val="-1"/>
        <w:placeholder>
          <w:docPart w:val="{967a5055-c3eb-4fec-8353-9c32433e47e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highlight w:val="none"/>
        </w:rPr>
      </w:sdtEndPr>
      <w:sdtContent>
        <w:p>
          <w:pPr>
            <w:pStyle w:val="57"/>
            <w:ind w:firstLine="420"/>
            <w:rPr>
              <w:highlight w:val="none"/>
            </w:rPr>
          </w:pPr>
          <w:r>
            <w:rPr>
              <w:rFonts w:hint="eastAsia"/>
              <w:highlight w:val="none"/>
            </w:rPr>
            <w:t>GB/T 24040</w:t>
          </w:r>
          <w:r>
            <w:rPr>
              <w:rFonts w:hint="eastAsia"/>
              <w:highlight w:val="none"/>
              <w:lang w:val="en-US" w:eastAsia="zh-CN"/>
            </w:rPr>
            <w:t>-2008</w:t>
          </w:r>
          <w:r>
            <w:rPr>
              <w:rFonts w:hint="eastAsia"/>
              <w:highlight w:val="none"/>
            </w:rPr>
            <w:t>、GB/T 32150</w:t>
          </w:r>
          <w:r>
            <w:rPr>
              <w:rFonts w:hint="eastAsia"/>
              <w:sz w:val="20"/>
              <w:highlight w:val="none"/>
              <w:lang w:val="en-US" w:eastAsia="zh-CN"/>
            </w:rPr>
            <w:t>—</w:t>
          </w:r>
          <w:r>
            <w:rPr>
              <w:rFonts w:hint="eastAsia"/>
              <w:highlight w:val="none"/>
              <w:lang w:val="en-US" w:eastAsia="zh-CN"/>
            </w:rPr>
            <w:t>2015</w:t>
          </w:r>
          <w:r>
            <w:rPr>
              <w:rFonts w:hint="eastAsia"/>
              <w:highlight w:val="none"/>
            </w:rPr>
            <w:t>、GB/T 32151.12</w:t>
          </w:r>
          <w:r>
            <w:rPr>
              <w:rFonts w:hint="eastAsia"/>
              <w:highlight w:val="none"/>
              <w:lang w:eastAsia="zh-CN"/>
            </w:rPr>
            <w:t>—</w:t>
          </w:r>
          <w:r>
            <w:rPr>
              <w:rFonts w:hint="eastAsia"/>
              <w:highlight w:val="none"/>
              <w:lang w:val="en-US" w:eastAsia="zh-CN"/>
            </w:rPr>
            <w:t>2018</w:t>
          </w:r>
          <w:r>
            <w:rPr>
              <w:rFonts w:hint="eastAsia"/>
              <w:highlight w:val="none"/>
            </w:rPr>
            <w:t>、GB/T 26380—2022</w:t>
          </w:r>
          <w:r>
            <w:rPr>
              <w:rFonts w:hint="default"/>
              <w:highlight w:val="none"/>
              <w:lang w:val="en-US"/>
            </w:rPr>
            <w:t>、</w:t>
          </w:r>
          <w:r>
            <w:rPr>
              <w:rFonts w:hint="eastAsia"/>
              <w:highlight w:val="none"/>
            </w:rPr>
            <w:t>ISO 14067:2018界定的以及下列术语和定义适用于本文件</w:t>
          </w:r>
          <w:r>
            <w:rPr>
              <w:highlight w:val="none"/>
            </w:rPr>
            <w:t>。</w:t>
          </w:r>
        </w:p>
      </w:sdtContent>
    </w:sdt>
    <w:p>
      <w:pPr>
        <w:pStyle w:val="106"/>
        <w:spacing w:before="156" w:after="156"/>
      </w:pPr>
    </w:p>
    <w:p>
      <w:pPr>
        <w:pStyle w:val="106"/>
        <w:numPr>
          <w:ilvl w:val="2"/>
          <w:numId w:val="0"/>
        </w:numPr>
        <w:spacing w:before="156" w:after="156"/>
        <w:ind w:leftChars="0" w:firstLine="420" w:firstLineChars="200"/>
        <w:rPr>
          <w:rFonts w:hint="default" w:eastAsia="宋体"/>
          <w:highlight w:val="none"/>
          <w:lang w:val="en-US" w:eastAsia="zh-CN"/>
        </w:rPr>
      </w:pPr>
      <w:r>
        <w:rPr>
          <w:rFonts w:hint="eastAsia"/>
          <w:highlight w:val="none"/>
        </w:rPr>
        <w:t>丝绸面料 silk fabric</w:t>
      </w:r>
      <w:r>
        <w:rPr>
          <w:rFonts w:hint="eastAsia"/>
          <w:highlight w:val="none"/>
          <w:lang w:val="en-US" w:eastAsia="zh-CN"/>
        </w:rPr>
        <w:t xml:space="preserve"> </w:t>
      </w:r>
    </w:p>
    <w:p>
      <w:pPr>
        <w:pStyle w:val="57"/>
        <w:ind w:firstLine="420"/>
        <w:rPr>
          <w:rFonts w:hint="default" w:eastAsia="宋体"/>
          <w:highlight w:val="none"/>
          <w:lang w:val="en-US" w:eastAsia="zh-CN"/>
        </w:rPr>
      </w:pPr>
      <w:r>
        <w:rPr>
          <w:rFonts w:hint="eastAsia"/>
          <w:highlight w:val="none"/>
          <w:lang w:val="en-US" w:eastAsia="zh-CN"/>
        </w:rPr>
        <w:t>全部或主要由</w:t>
      </w:r>
      <w:r>
        <w:rPr>
          <w:rFonts w:hint="eastAsia"/>
          <w:highlight w:val="none"/>
        </w:rPr>
        <w:t>蚕丝为主要原料</w:t>
      </w:r>
      <w:r>
        <w:rPr>
          <w:rFonts w:hint="eastAsia"/>
          <w:highlight w:val="none"/>
          <w:lang w:val="en-US" w:eastAsia="zh-CN"/>
        </w:rPr>
        <w:t>加工而成的纯纺织物、混纺织物和交织织物</w:t>
      </w:r>
      <w:r>
        <w:rPr>
          <w:rFonts w:hint="eastAsia"/>
          <w:highlight w:val="none"/>
        </w:rPr>
        <w:t>。</w:t>
      </w:r>
    </w:p>
    <w:p>
      <w:pPr>
        <w:pStyle w:val="106"/>
        <w:spacing w:before="156" w:after="156"/>
      </w:pPr>
    </w:p>
    <w:p>
      <w:pPr>
        <w:pStyle w:val="106"/>
        <w:numPr>
          <w:ilvl w:val="2"/>
          <w:numId w:val="0"/>
        </w:numPr>
        <w:spacing w:before="156" w:after="156"/>
        <w:ind w:leftChars="0" w:firstLine="420" w:firstLineChars="200"/>
        <w:rPr>
          <w:rFonts w:hint="eastAsia" w:eastAsia="黑体"/>
          <w:lang w:val="en-US" w:eastAsia="zh-CN"/>
        </w:rPr>
      </w:pPr>
      <w:r>
        <w:rPr>
          <w:rFonts w:hint="eastAsia"/>
        </w:rPr>
        <w:t>产品碳足迹 carbon footprint of a product</w:t>
      </w:r>
      <w:r>
        <w:rPr>
          <w:rFonts w:hint="eastAsia"/>
          <w:lang w:eastAsia="zh-CN"/>
        </w:rPr>
        <w:t>（</w:t>
      </w:r>
      <w:r>
        <w:rPr>
          <w:rFonts w:hint="eastAsia"/>
        </w:rPr>
        <w:t>CFP</w:t>
      </w:r>
      <w:r>
        <w:rPr>
          <w:rFonts w:hint="eastAsia"/>
          <w:lang w:eastAsia="zh-CN"/>
        </w:rPr>
        <w:t>）</w:t>
      </w:r>
    </w:p>
    <w:p>
      <w:pPr>
        <w:pStyle w:val="57"/>
        <w:ind w:firstLine="420"/>
      </w:pPr>
      <w:r>
        <w:rPr>
          <w:rFonts w:hint="eastAsia"/>
        </w:rPr>
        <w:t>基于仅考虑气候变化这一影响类型的生命周期评价，以二氧化碳当量表示的产品系统中温室气体排放和清除之和。</w:t>
      </w:r>
    </w:p>
    <w:p>
      <w:pPr>
        <w:pStyle w:val="57"/>
        <w:ind w:firstLine="420"/>
      </w:pPr>
      <w:r>
        <w:rPr>
          <w:rFonts w:hint="eastAsia"/>
        </w:rPr>
        <w:t>[</w:t>
      </w:r>
      <w:r>
        <w:rPr>
          <w:rFonts w:hint="eastAsia" w:eastAsia="宋体"/>
          <w:sz w:val="20"/>
          <w:lang w:val="en-US" w:eastAsia="zh-CN"/>
        </w:rPr>
        <w:t>来源：</w:t>
      </w:r>
      <w:r>
        <w:rPr>
          <w:rFonts w:hint="eastAsia"/>
        </w:rPr>
        <w:t>ISO 14067:2018</w:t>
      </w:r>
      <w:r>
        <w:rPr>
          <w:rFonts w:hint="default"/>
          <w:lang w:val="en-US" w:eastAsia="zh-CN"/>
        </w:rPr>
        <w:t>,</w:t>
      </w:r>
      <w:r>
        <w:rPr>
          <w:rFonts w:hint="eastAsia"/>
        </w:rPr>
        <w:t>3.1.1.1]</w:t>
      </w:r>
    </w:p>
    <w:p>
      <w:pPr>
        <w:pStyle w:val="106"/>
        <w:spacing w:before="156" w:after="156"/>
      </w:pPr>
    </w:p>
    <w:p>
      <w:pPr>
        <w:pStyle w:val="106"/>
        <w:numPr>
          <w:ilvl w:val="2"/>
          <w:numId w:val="0"/>
        </w:numPr>
        <w:spacing w:before="156" w:after="156"/>
        <w:ind w:leftChars="0" w:firstLine="420" w:firstLineChars="200"/>
      </w:pPr>
      <w:r>
        <w:rPr>
          <w:rFonts w:hint="eastAsia"/>
        </w:rPr>
        <w:t>单元过程 unit process</w:t>
      </w:r>
    </w:p>
    <w:p>
      <w:pPr>
        <w:pStyle w:val="57"/>
        <w:ind w:firstLine="420"/>
      </w:pPr>
      <w:r>
        <w:rPr>
          <w:rFonts w:hint="eastAsia"/>
        </w:rPr>
        <w:t>进行生命周期清单分析时为量化输入和输出数据而确定的最基本部分。</w:t>
      </w:r>
    </w:p>
    <w:p>
      <w:pPr>
        <w:pStyle w:val="57"/>
        <w:ind w:firstLine="420"/>
      </w:pPr>
      <w:r>
        <w:rPr>
          <w:rFonts w:hint="eastAsia"/>
        </w:rPr>
        <w:t>[</w:t>
      </w:r>
      <w:r>
        <w:rPr>
          <w:rFonts w:hint="eastAsia" w:eastAsia="宋体"/>
          <w:sz w:val="20"/>
          <w:lang w:val="en-US" w:eastAsia="zh-CN"/>
        </w:rPr>
        <w:t>来源：</w:t>
      </w:r>
      <w:r>
        <w:rPr>
          <w:rFonts w:hint="eastAsia"/>
          <w:lang w:val="en-US" w:eastAsia="zh-CN"/>
        </w:rPr>
        <w:t>GB/T 24040—2018</w:t>
      </w:r>
      <w:r>
        <w:rPr>
          <w:rFonts w:hint="default"/>
          <w:lang w:val="en-US" w:eastAsia="zh-CN"/>
        </w:rPr>
        <w:t>,</w:t>
      </w:r>
      <w:r>
        <w:rPr>
          <w:rFonts w:hint="eastAsia"/>
          <w:lang w:val="en-US" w:eastAsia="zh-CN"/>
        </w:rPr>
        <w:t>3.34</w:t>
      </w:r>
      <w:r>
        <w:rPr>
          <w:rFonts w:hint="eastAsia"/>
        </w:rPr>
        <w:t>]</w:t>
      </w:r>
    </w:p>
    <w:p>
      <w:pPr>
        <w:pStyle w:val="106"/>
        <w:spacing w:before="156" w:after="156"/>
      </w:pPr>
    </w:p>
    <w:p>
      <w:pPr>
        <w:pStyle w:val="106"/>
        <w:numPr>
          <w:ilvl w:val="2"/>
          <w:numId w:val="0"/>
        </w:numPr>
        <w:spacing w:before="156" w:after="156"/>
        <w:ind w:leftChars="0" w:firstLine="420" w:firstLineChars="200"/>
      </w:pPr>
      <w:r>
        <w:rPr>
          <w:rFonts w:hint="eastAsia"/>
        </w:rPr>
        <w:t>系统边界 system boundary</w:t>
      </w:r>
    </w:p>
    <w:p>
      <w:pPr>
        <w:pStyle w:val="57"/>
        <w:ind w:firstLine="420"/>
      </w:pPr>
      <w:r>
        <w:rPr>
          <w:rFonts w:hint="eastAsia"/>
        </w:rPr>
        <w:t>根据产品碳足迹评价目标确定纳入产品碳足迹评价的单元过程。核算产品在</w:t>
      </w:r>
      <w:r>
        <w:rPr>
          <w:rFonts w:hint="eastAsia"/>
          <w:lang w:eastAsia="zh-CN"/>
        </w:rPr>
        <w:t>原辅材料获取</w:t>
      </w:r>
      <w:r>
        <w:rPr>
          <w:rFonts w:hint="eastAsia"/>
        </w:rPr>
        <w:t>、制造、储存、销售、使用、废弃等生命周期各阶段的温室气体排放。</w:t>
      </w:r>
    </w:p>
    <w:p>
      <w:pPr>
        <w:pStyle w:val="57"/>
        <w:ind w:firstLine="420"/>
      </w:pPr>
      <w:r>
        <w:rPr>
          <w:rFonts w:hint="eastAsia"/>
        </w:rPr>
        <w:t>[</w:t>
      </w:r>
      <w:r>
        <w:rPr>
          <w:rFonts w:hint="eastAsia" w:eastAsia="宋体"/>
          <w:sz w:val="20"/>
          <w:lang w:val="en-US" w:eastAsia="zh-CN"/>
        </w:rPr>
        <w:t>来源：</w:t>
      </w:r>
      <w:r>
        <w:rPr>
          <w:rFonts w:hint="eastAsia"/>
        </w:rPr>
        <w:t>ISO 14067:2018</w:t>
      </w:r>
      <w:r>
        <w:rPr>
          <w:rFonts w:hint="default"/>
          <w:lang w:val="en-US" w:eastAsia="zh-CN"/>
        </w:rPr>
        <w:t>,</w:t>
      </w:r>
      <w:r>
        <w:rPr>
          <w:rFonts w:hint="eastAsia"/>
        </w:rPr>
        <w:t>3.1.3.4]</w:t>
      </w:r>
    </w:p>
    <w:p>
      <w:pPr>
        <w:pStyle w:val="106"/>
        <w:spacing w:before="156" w:after="156"/>
        <w:rPr>
          <w:highlight w:val="none"/>
        </w:rPr>
      </w:pPr>
    </w:p>
    <w:p>
      <w:pPr>
        <w:pStyle w:val="106"/>
        <w:numPr>
          <w:ilvl w:val="2"/>
          <w:numId w:val="0"/>
        </w:numPr>
        <w:spacing w:before="156" w:after="156"/>
        <w:ind w:leftChars="0" w:firstLine="420" w:firstLineChars="200"/>
        <w:rPr>
          <w:highlight w:val="none"/>
        </w:rPr>
      </w:pPr>
      <w:r>
        <w:rPr>
          <w:rFonts w:hint="eastAsia"/>
          <w:highlight w:val="none"/>
          <w:lang w:val="en-US" w:eastAsia="zh-CN"/>
        </w:rPr>
        <w:t>声明</w:t>
      </w:r>
      <w:r>
        <w:rPr>
          <w:rFonts w:hint="eastAsia"/>
          <w:highlight w:val="none"/>
        </w:rPr>
        <w:t xml:space="preserve">单位 </w:t>
      </w:r>
      <w:r>
        <w:rPr>
          <w:rFonts w:hint="eastAsia"/>
          <w:highlight w:val="none"/>
          <w:lang w:val="en-US" w:eastAsia="zh-CN"/>
        </w:rPr>
        <w:t>declare</w:t>
      </w:r>
      <w:r>
        <w:rPr>
          <w:rFonts w:hint="default"/>
          <w:highlight w:val="none"/>
          <w:lang w:val="en-US" w:eastAsia="zh-CN"/>
        </w:rPr>
        <w:t>d</w:t>
      </w:r>
      <w:r>
        <w:rPr>
          <w:rFonts w:hint="eastAsia"/>
          <w:highlight w:val="none"/>
        </w:rPr>
        <w:t xml:space="preserve"> unit</w:t>
      </w:r>
    </w:p>
    <w:p>
      <w:pPr>
        <w:pStyle w:val="180"/>
        <w:numPr>
          <w:ilvl w:val="0"/>
          <w:numId w:val="0"/>
        </w:numPr>
        <w:ind w:left="363" w:leftChars="0"/>
        <w:rPr>
          <w:rFonts w:hint="eastAsia" w:ascii="宋体" w:hAnsi="Times New Roman" w:eastAsia="宋体" w:cs="Times New Roman"/>
          <w:sz w:val="21"/>
          <w:szCs w:val="20"/>
          <w:highlight w:val="none"/>
          <w:lang w:val="en-US" w:eastAsia="zh-CN" w:bidi="ar-SA"/>
        </w:rPr>
      </w:pPr>
      <w:r>
        <w:rPr>
          <w:rFonts w:hint="eastAsia" w:ascii="宋体" w:hAnsi="Times New Roman" w:eastAsia="宋体" w:cs="Times New Roman"/>
          <w:sz w:val="21"/>
          <w:szCs w:val="20"/>
          <w:highlight w:val="none"/>
          <w:lang w:val="en-US" w:eastAsia="zh-CN" w:bidi="ar-SA"/>
        </w:rPr>
        <w:t>用来表达产品碳足迹的量化单位，通常是产品的重量、体积、面积或数量。</w:t>
      </w:r>
    </w:p>
    <w:p>
      <w:pPr>
        <w:pStyle w:val="57"/>
        <w:rPr>
          <w:rFonts w:hint="eastAsia" w:eastAsia="宋体"/>
          <w:lang w:eastAsia="zh-CN"/>
        </w:rPr>
      </w:pPr>
      <w:r>
        <w:rPr>
          <w:rFonts w:hint="eastAsia" w:ascii="黑体" w:hAnsi="黑体" w:eastAsia="黑体" w:cs="黑体"/>
          <w:sz w:val="18"/>
          <w:szCs w:val="18"/>
        </w:rPr>
        <w:t>注：</w:t>
      </w:r>
      <w:r>
        <w:rPr>
          <w:rFonts w:hint="eastAsia"/>
          <w:sz w:val="18"/>
          <w:szCs w:val="18"/>
        </w:rPr>
        <w:t>声明单位用来标识单个产品或服务的碳足迹，例如1</w:t>
      </w:r>
      <w:r>
        <w:rPr>
          <w:rFonts w:hint="eastAsia"/>
          <w:sz w:val="18"/>
          <w:szCs w:val="18"/>
          <w:lang w:val="en-US" w:eastAsia="zh-CN"/>
        </w:rPr>
        <w:t>平方米丝绸面料、1平方米坯布</w:t>
      </w:r>
      <w:r>
        <w:rPr>
          <w:rFonts w:hint="eastAsia"/>
          <w:sz w:val="18"/>
          <w:szCs w:val="18"/>
        </w:rPr>
        <w:t>等</w:t>
      </w:r>
      <w:r>
        <w:rPr>
          <w:rFonts w:hint="eastAsia"/>
          <w:sz w:val="18"/>
          <w:szCs w:val="18"/>
          <w:lang w:eastAsia="zh-CN"/>
        </w:rPr>
        <w:t>。</w:t>
      </w:r>
    </w:p>
    <w:p>
      <w:pPr>
        <w:pStyle w:val="57"/>
        <w:ind w:firstLine="420"/>
        <w:rPr>
          <w:rFonts w:hint="eastAsia" w:eastAsia="宋体"/>
          <w:highlight w:val="none"/>
          <w:lang w:eastAsia="zh-Hans"/>
        </w:rPr>
      </w:pPr>
      <w:r>
        <w:rPr>
          <w:rFonts w:hint="eastAsia"/>
          <w:color w:val="auto"/>
          <w:highlight w:val="none"/>
        </w:rPr>
        <w:t xml:space="preserve">[来源：ISO </w:t>
      </w:r>
      <w:r>
        <w:rPr>
          <w:rFonts w:hint="eastAsia"/>
          <w:color w:val="auto"/>
          <w:highlight w:val="none"/>
          <w:lang w:eastAsia="zh-CN"/>
        </w:rPr>
        <w:t>14067:2018</w:t>
      </w:r>
      <w:r>
        <w:rPr>
          <w:rFonts w:hint="default"/>
          <w:color w:val="auto"/>
          <w:highlight w:val="none"/>
          <w:lang w:val="en-US" w:eastAsia="zh-CN"/>
        </w:rPr>
        <w:t>,</w:t>
      </w:r>
      <w:r>
        <w:rPr>
          <w:rFonts w:hint="eastAsia"/>
          <w:color w:val="auto"/>
          <w:highlight w:val="none"/>
        </w:rPr>
        <w:t>3.1.</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8</w:t>
      </w:r>
      <w:r>
        <w:rPr>
          <w:rFonts w:hint="eastAsia"/>
          <w:color w:val="auto"/>
          <w:highlight w:val="none"/>
        </w:rPr>
        <w:t>]</w:t>
      </w:r>
    </w:p>
    <w:p>
      <w:pPr>
        <w:pStyle w:val="106"/>
        <w:spacing w:before="156" w:after="156"/>
      </w:pPr>
    </w:p>
    <w:p>
      <w:pPr>
        <w:pStyle w:val="106"/>
        <w:numPr>
          <w:ilvl w:val="2"/>
          <w:numId w:val="0"/>
        </w:numPr>
        <w:spacing w:before="156" w:after="156"/>
        <w:ind w:leftChars="0" w:firstLine="420" w:firstLineChars="200"/>
      </w:pPr>
      <w:r>
        <w:rPr>
          <w:rFonts w:hint="eastAsia"/>
        </w:rPr>
        <w:t>初级数据 primary data</w:t>
      </w:r>
    </w:p>
    <w:p>
      <w:pPr>
        <w:pStyle w:val="57"/>
        <w:ind w:firstLine="420"/>
      </w:pPr>
      <w:r>
        <w:rPr>
          <w:rFonts w:hint="eastAsia"/>
        </w:rPr>
        <w:t>通过直接测量或基于直接测量的计算而得到的过程或活动的量化值。</w:t>
      </w:r>
    </w:p>
    <w:p>
      <w:pPr>
        <w:pStyle w:val="57"/>
        <w:ind w:left="717" w:leftChars="170" w:hanging="360" w:hangingChars="200"/>
        <w:rPr>
          <w:rFonts w:hint="eastAsia"/>
          <w:sz w:val="18"/>
          <w:szCs w:val="18"/>
        </w:rPr>
      </w:pPr>
      <w:r>
        <w:rPr>
          <w:rFonts w:hint="eastAsia" w:ascii="黑体" w:hAnsi="黑体" w:eastAsia="黑体" w:cs="黑体"/>
          <w:sz w:val="18"/>
          <w:szCs w:val="18"/>
        </w:rPr>
        <w:t>注：</w:t>
      </w:r>
      <w:r>
        <w:rPr>
          <w:rFonts w:hint="eastAsia"/>
          <w:sz w:val="18"/>
          <w:szCs w:val="18"/>
        </w:rPr>
        <w:t>初级数据并非必须来自所评价的产品系统，因为初级数据可能涉及其他与所评价的产品系统具有可比性的产品</w:t>
      </w:r>
    </w:p>
    <w:p>
      <w:pPr>
        <w:pStyle w:val="57"/>
        <w:ind w:left="714" w:leftChars="340" w:firstLine="0" w:firstLineChars="0"/>
        <w:rPr>
          <w:rFonts w:hint="eastAsia"/>
          <w:sz w:val="18"/>
          <w:szCs w:val="18"/>
        </w:rPr>
      </w:pPr>
      <w:r>
        <w:rPr>
          <w:rFonts w:hint="eastAsia"/>
          <w:sz w:val="18"/>
          <w:szCs w:val="18"/>
        </w:rPr>
        <w:t>系统。初级数据可以包含温室气体排放因子和/或温室气体活动数据。</w:t>
      </w:r>
    </w:p>
    <w:p>
      <w:pPr>
        <w:pStyle w:val="57"/>
        <w:ind w:firstLine="420"/>
        <w:rPr>
          <w:rFonts w:hint="eastAsia"/>
        </w:rPr>
      </w:pPr>
      <w:r>
        <w:rPr>
          <w:rFonts w:hint="eastAsia"/>
        </w:rPr>
        <w:t>[</w:t>
      </w:r>
      <w:r>
        <w:rPr>
          <w:rFonts w:hint="eastAsia" w:eastAsia="宋体"/>
          <w:sz w:val="20"/>
          <w:lang w:val="en-US" w:eastAsia="zh-CN"/>
        </w:rPr>
        <w:t>来源：</w:t>
      </w:r>
      <w:r>
        <w:rPr>
          <w:rFonts w:hint="eastAsia"/>
        </w:rPr>
        <w:t xml:space="preserve">ISO </w:t>
      </w:r>
      <w:r>
        <w:rPr>
          <w:rFonts w:hint="eastAsia"/>
          <w:lang w:eastAsia="zh-CN"/>
        </w:rPr>
        <w:t>14067:2018</w:t>
      </w:r>
      <w:r>
        <w:rPr>
          <w:rFonts w:hint="default"/>
          <w:lang w:val="en-US" w:eastAsia="zh-CN"/>
        </w:rPr>
        <w:t>,</w:t>
      </w:r>
      <w:r>
        <w:rPr>
          <w:rFonts w:hint="eastAsia"/>
        </w:rPr>
        <w:t>3.1.6.1]</w:t>
      </w:r>
    </w:p>
    <w:p>
      <w:pPr>
        <w:pStyle w:val="106"/>
        <w:spacing w:before="156" w:after="156"/>
      </w:pPr>
    </w:p>
    <w:p>
      <w:pPr>
        <w:pStyle w:val="106"/>
        <w:numPr>
          <w:ilvl w:val="2"/>
          <w:numId w:val="0"/>
        </w:numPr>
        <w:spacing w:before="156" w:after="156"/>
        <w:ind w:leftChars="0" w:firstLine="420" w:firstLineChars="200"/>
      </w:pPr>
      <w:r>
        <w:rPr>
          <w:rFonts w:hint="eastAsia"/>
        </w:rPr>
        <w:t>次级数据 secondary data</w:t>
      </w:r>
    </w:p>
    <w:p>
      <w:pPr>
        <w:pStyle w:val="57"/>
        <w:ind w:firstLine="420"/>
      </w:pPr>
      <w:r>
        <w:rPr>
          <w:rFonts w:hint="eastAsia"/>
        </w:rPr>
        <w:t>不符合初级数据要求的数据。</w:t>
      </w:r>
    </w:p>
    <w:p>
      <w:pPr>
        <w:pStyle w:val="181"/>
        <w:numPr>
          <w:ilvl w:val="0"/>
          <w:numId w:val="0"/>
        </w:numPr>
        <w:ind w:left="721" w:leftChars="172" w:hanging="360" w:hangingChars="200"/>
        <w:rPr>
          <w:rFonts w:hint="eastAsia"/>
          <w:sz w:val="18"/>
          <w:szCs w:val="18"/>
        </w:rPr>
      </w:pPr>
      <w:r>
        <w:rPr>
          <w:rFonts w:hint="eastAsia" w:ascii="黑体" w:hAnsi="黑体" w:eastAsia="黑体" w:cs="黑体"/>
          <w:sz w:val="18"/>
          <w:szCs w:val="18"/>
        </w:rPr>
        <w:t>注：</w:t>
      </w:r>
      <w:r>
        <w:rPr>
          <w:rFonts w:hint="eastAsia"/>
          <w:sz w:val="18"/>
          <w:szCs w:val="18"/>
        </w:rPr>
        <w:t>次级数据可以包括数据库和公开文献中的数据、国家清单中的缺省排放因子、计算数据、估计值或其他经主管</w:t>
      </w:r>
    </w:p>
    <w:p>
      <w:pPr>
        <w:pStyle w:val="181"/>
        <w:numPr>
          <w:ilvl w:val="0"/>
          <w:numId w:val="0"/>
        </w:numPr>
        <w:ind w:left="718" w:leftChars="342" w:firstLine="0" w:firstLineChars="0"/>
        <w:rPr>
          <w:sz w:val="20"/>
          <w:szCs w:val="20"/>
        </w:rPr>
      </w:pPr>
      <w:r>
        <w:rPr>
          <w:rFonts w:hint="eastAsia"/>
          <w:sz w:val="18"/>
          <w:szCs w:val="18"/>
        </w:rPr>
        <w:t>部门验证的代表性数据。次级数据可以包括从代替过程或估计获得的数据</w:t>
      </w:r>
      <w:r>
        <w:rPr>
          <w:rFonts w:hint="eastAsia"/>
          <w:sz w:val="20"/>
          <w:szCs w:val="20"/>
        </w:rPr>
        <w:t>。</w:t>
      </w:r>
    </w:p>
    <w:p>
      <w:pPr>
        <w:pStyle w:val="57"/>
        <w:ind w:firstLine="420"/>
        <w:rPr>
          <w:rFonts w:hint="eastAsia"/>
        </w:rPr>
      </w:pPr>
      <w:r>
        <w:rPr>
          <w:rFonts w:hint="eastAsia"/>
        </w:rPr>
        <w:t>[</w:t>
      </w:r>
      <w:r>
        <w:rPr>
          <w:rFonts w:hint="eastAsia" w:eastAsia="宋体"/>
          <w:sz w:val="20"/>
          <w:lang w:val="en-US" w:eastAsia="zh-CN"/>
        </w:rPr>
        <w:t>来源：</w:t>
      </w:r>
      <w:r>
        <w:rPr>
          <w:rFonts w:hint="eastAsia"/>
        </w:rPr>
        <w:t xml:space="preserve">ISO </w:t>
      </w:r>
      <w:r>
        <w:rPr>
          <w:rFonts w:hint="eastAsia"/>
          <w:lang w:eastAsia="zh-CN"/>
        </w:rPr>
        <w:t>14067:2018</w:t>
      </w:r>
      <w:r>
        <w:rPr>
          <w:rFonts w:hint="default"/>
          <w:lang w:val="en-US" w:eastAsia="zh-CN"/>
        </w:rPr>
        <w:t>,</w:t>
      </w:r>
      <w:r>
        <w:rPr>
          <w:rFonts w:hint="eastAsia"/>
        </w:rPr>
        <w:t>3.1.6.3]</w:t>
      </w:r>
    </w:p>
    <w:p>
      <w:pPr>
        <w:pStyle w:val="106"/>
        <w:spacing w:before="156" w:after="156"/>
      </w:pPr>
    </w:p>
    <w:p>
      <w:pPr>
        <w:pStyle w:val="106"/>
        <w:numPr>
          <w:ilvl w:val="2"/>
          <w:numId w:val="0"/>
        </w:numPr>
        <w:spacing w:before="156" w:after="156"/>
        <w:ind w:leftChars="0" w:firstLine="420" w:firstLineChars="200"/>
      </w:pPr>
      <w:r>
        <w:rPr>
          <w:rFonts w:hint="eastAsia"/>
        </w:rPr>
        <w:t>实景单元过程 foreground unit processes</w:t>
      </w:r>
    </w:p>
    <w:p>
      <w:pPr>
        <w:pStyle w:val="57"/>
        <w:ind w:firstLine="420"/>
        <w:rPr>
          <w:rFonts w:hint="eastAsia"/>
        </w:rPr>
      </w:pPr>
      <w:r>
        <w:rPr>
          <w:rFonts w:hint="eastAsia"/>
        </w:rPr>
        <w:t>产品碳足迹核算中可以获取初级数据的单元过程。</w:t>
      </w:r>
    </w:p>
    <w:p>
      <w:pPr>
        <w:pStyle w:val="57"/>
        <w:ind w:firstLine="420"/>
      </w:pPr>
      <w:r>
        <w:rPr>
          <w:rFonts w:hint="eastAsia" w:ascii="黑体" w:hAnsi="黑体" w:eastAsia="黑体" w:cs="黑体"/>
          <w:sz w:val="18"/>
          <w:szCs w:val="18"/>
        </w:rPr>
        <w:t>注：</w:t>
      </w:r>
      <w:r>
        <w:rPr>
          <w:rFonts w:hint="eastAsia"/>
          <w:sz w:val="18"/>
          <w:szCs w:val="18"/>
        </w:rPr>
        <w:t>相关数据信息可通过实验、调查等方式直接获得</w:t>
      </w:r>
      <w:r>
        <w:rPr>
          <w:rFonts w:hint="eastAsia"/>
        </w:rPr>
        <w:t>。</w:t>
      </w:r>
    </w:p>
    <w:p>
      <w:pPr>
        <w:pStyle w:val="106"/>
        <w:spacing w:before="156" w:after="156"/>
      </w:pPr>
    </w:p>
    <w:p>
      <w:pPr>
        <w:pStyle w:val="106"/>
        <w:numPr>
          <w:ilvl w:val="2"/>
          <w:numId w:val="0"/>
        </w:numPr>
        <w:spacing w:before="156" w:after="156"/>
        <w:ind w:leftChars="0" w:firstLine="420" w:firstLineChars="200"/>
      </w:pPr>
      <w:r>
        <w:rPr>
          <w:rFonts w:hint="eastAsia"/>
        </w:rPr>
        <w:t>背景单元过程 background unit processes</w:t>
      </w:r>
    </w:p>
    <w:p>
      <w:pPr>
        <w:pStyle w:val="57"/>
        <w:ind w:firstLine="420"/>
        <w:rPr>
          <w:rFonts w:hint="eastAsia"/>
        </w:rPr>
      </w:pPr>
      <w:r>
        <w:rPr>
          <w:rFonts w:hint="eastAsia"/>
        </w:rPr>
        <w:t>产品生命周期中无法直接获取初级数据，只能获取次级数据的单元过程。</w:t>
      </w:r>
    </w:p>
    <w:p>
      <w:pPr>
        <w:pStyle w:val="57"/>
        <w:ind w:firstLine="420"/>
        <w:rPr>
          <w:rFonts w:hint="eastAsia"/>
        </w:rPr>
      </w:pPr>
      <w:r>
        <w:rPr>
          <w:rFonts w:hint="eastAsia" w:ascii="黑体" w:hAnsi="黑体" w:eastAsia="黑体" w:cs="黑体"/>
          <w:sz w:val="18"/>
          <w:szCs w:val="18"/>
        </w:rPr>
        <w:t>注：</w:t>
      </w:r>
      <w:r>
        <w:rPr>
          <w:rFonts w:hint="eastAsia"/>
          <w:sz w:val="18"/>
          <w:szCs w:val="18"/>
        </w:rPr>
        <w:t>相关数据信息需要从数据库、相关资料中获得</w:t>
      </w:r>
      <w:r>
        <w:rPr>
          <w:rFonts w:hint="eastAsia"/>
        </w:rPr>
        <w:t>。</w:t>
      </w:r>
    </w:p>
    <w:p>
      <w:pPr>
        <w:pStyle w:val="106"/>
        <w:spacing w:before="156" w:after="156"/>
      </w:pPr>
    </w:p>
    <w:p>
      <w:pPr>
        <w:pStyle w:val="106"/>
        <w:numPr>
          <w:ilvl w:val="2"/>
          <w:numId w:val="0"/>
        </w:numPr>
        <w:spacing w:before="156" w:after="156"/>
        <w:ind w:leftChars="0" w:firstLine="420" w:firstLineChars="200"/>
      </w:pPr>
      <w:r>
        <w:rPr>
          <w:rFonts w:hint="eastAsia"/>
        </w:rPr>
        <w:t>活动数据 activity data</w:t>
      </w:r>
    </w:p>
    <w:p>
      <w:pPr>
        <w:pStyle w:val="57"/>
        <w:ind w:firstLine="420"/>
        <w:rPr>
          <w:rFonts w:hint="eastAsia"/>
        </w:rPr>
      </w:pPr>
      <w:r>
        <w:rPr>
          <w:rFonts w:hint="eastAsia"/>
        </w:rPr>
        <w:t>导致温室气体排放的生产或消费活动量的表征值。</w:t>
      </w:r>
    </w:p>
    <w:p>
      <w:pPr>
        <w:pStyle w:val="57"/>
        <w:ind w:firstLine="420"/>
        <w:rPr>
          <w:rFonts w:hint="eastAsia"/>
        </w:rPr>
      </w:pPr>
      <w:r>
        <w:rPr>
          <w:rFonts w:hint="eastAsia" w:ascii="黑体" w:hAnsi="黑体" w:eastAsia="黑体" w:cs="黑体"/>
          <w:sz w:val="18"/>
          <w:szCs w:val="18"/>
        </w:rPr>
        <w:t>注：</w:t>
      </w:r>
      <w:r>
        <w:rPr>
          <w:rFonts w:hint="eastAsia"/>
          <w:sz w:val="18"/>
          <w:szCs w:val="18"/>
        </w:rPr>
        <w:t>如各种化石燃料的消耗量、原材料的使用量、购入的电量、购入的热量等</w:t>
      </w:r>
      <w:r>
        <w:rPr>
          <w:rFonts w:hint="eastAsia"/>
        </w:rPr>
        <w:t>。</w:t>
      </w:r>
    </w:p>
    <w:p>
      <w:pPr>
        <w:pStyle w:val="57"/>
        <w:ind w:firstLine="420"/>
        <w:rPr>
          <w:rFonts w:hint="eastAsia"/>
          <w:highlight w:val="none"/>
        </w:rPr>
      </w:pPr>
      <w:r>
        <w:rPr>
          <w:rFonts w:hint="eastAsia"/>
          <w:highlight w:val="none"/>
        </w:rPr>
        <w:t>[来源：GB/T 32150—2015</w:t>
      </w:r>
      <w:r>
        <w:rPr>
          <w:rFonts w:hint="default"/>
          <w:highlight w:val="none"/>
          <w:lang w:val="en-US"/>
        </w:rPr>
        <w:t>,</w:t>
      </w:r>
      <w:r>
        <w:rPr>
          <w:rFonts w:hint="eastAsia"/>
          <w:highlight w:val="none"/>
        </w:rPr>
        <w:t>3.12]</w:t>
      </w:r>
    </w:p>
    <w:p>
      <w:pPr>
        <w:pStyle w:val="106"/>
        <w:spacing w:before="156" w:after="156"/>
      </w:pPr>
    </w:p>
    <w:p>
      <w:pPr>
        <w:pStyle w:val="106"/>
        <w:numPr>
          <w:ilvl w:val="2"/>
          <w:numId w:val="0"/>
        </w:numPr>
        <w:spacing w:before="156" w:after="156"/>
        <w:ind w:leftChars="0" w:firstLine="420" w:firstLineChars="200"/>
      </w:pPr>
      <w:r>
        <w:rPr>
          <w:rFonts w:hint="eastAsia"/>
        </w:rPr>
        <w:t>排放因子 emission factor</w:t>
      </w:r>
    </w:p>
    <w:p>
      <w:pPr>
        <w:pStyle w:val="57"/>
        <w:ind w:firstLine="420"/>
        <w:rPr>
          <w:rFonts w:hint="eastAsia"/>
        </w:rPr>
      </w:pPr>
      <w:r>
        <w:rPr>
          <w:rFonts w:hint="eastAsia"/>
        </w:rPr>
        <w:t>表征单位生产或消费活动量的温室气体排放的系数。</w:t>
      </w:r>
    </w:p>
    <w:p>
      <w:pPr>
        <w:pStyle w:val="57"/>
        <w:ind w:firstLine="420"/>
        <w:rPr>
          <w:rFonts w:hint="eastAsia"/>
        </w:rPr>
      </w:pPr>
      <w:r>
        <w:rPr>
          <w:rFonts w:hint="eastAsia" w:ascii="黑体" w:hAnsi="黑体" w:eastAsia="黑体" w:cs="黑体"/>
          <w:sz w:val="18"/>
          <w:szCs w:val="18"/>
        </w:rPr>
        <w:t>注：</w:t>
      </w:r>
      <w:r>
        <w:rPr>
          <w:rFonts w:hint="eastAsia"/>
          <w:sz w:val="18"/>
          <w:szCs w:val="18"/>
        </w:rPr>
        <w:t>如各种化石燃料的消耗量、原材料的使用量、购入的电量、购入的热量等</w:t>
      </w:r>
      <w:r>
        <w:rPr>
          <w:rFonts w:hint="eastAsia"/>
        </w:rPr>
        <w:t>。</w:t>
      </w:r>
    </w:p>
    <w:p>
      <w:pPr>
        <w:pStyle w:val="57"/>
        <w:ind w:firstLine="420"/>
        <w:rPr>
          <w:rFonts w:hint="eastAsia"/>
          <w:highlight w:val="none"/>
        </w:rPr>
      </w:pPr>
      <w:r>
        <w:rPr>
          <w:rFonts w:hint="eastAsia"/>
          <w:highlight w:val="none"/>
        </w:rPr>
        <w:t>[来源：GB/T 32150—2015</w:t>
      </w:r>
      <w:r>
        <w:rPr>
          <w:rFonts w:hint="default"/>
          <w:highlight w:val="none"/>
          <w:lang w:val="en-US"/>
        </w:rPr>
        <w:t>,</w:t>
      </w:r>
      <w:r>
        <w:rPr>
          <w:rFonts w:hint="eastAsia"/>
          <w:highlight w:val="none"/>
        </w:rPr>
        <w:t>3.1</w:t>
      </w:r>
      <w:r>
        <w:rPr>
          <w:rFonts w:hint="eastAsia"/>
          <w:highlight w:val="none"/>
          <w:lang w:val="en-US" w:eastAsia="zh-CN"/>
        </w:rPr>
        <w:t>3</w:t>
      </w:r>
      <w:r>
        <w:rPr>
          <w:rFonts w:hint="eastAsia"/>
          <w:highlight w:val="none"/>
        </w:rPr>
        <w:t>]</w:t>
      </w:r>
    </w:p>
    <w:p>
      <w:pPr>
        <w:pStyle w:val="106"/>
        <w:spacing w:before="156" w:after="156"/>
        <w:rPr>
          <w:highlight w:val="none"/>
        </w:rPr>
      </w:pPr>
    </w:p>
    <w:p>
      <w:pPr>
        <w:pStyle w:val="106"/>
        <w:numPr>
          <w:ilvl w:val="2"/>
          <w:numId w:val="0"/>
        </w:numPr>
        <w:spacing w:before="156" w:after="156"/>
        <w:ind w:leftChars="0" w:firstLine="420" w:firstLineChars="200"/>
        <w:rPr>
          <w:highlight w:val="none"/>
        </w:rPr>
      </w:pPr>
      <w:r>
        <w:rPr>
          <w:rFonts w:hint="eastAsia"/>
          <w:highlight w:val="none"/>
        </w:rPr>
        <w:t>取舍准则 cut-off criteria</w:t>
      </w:r>
    </w:p>
    <w:p>
      <w:pPr>
        <w:pStyle w:val="57"/>
        <w:ind w:firstLine="420"/>
        <w:rPr>
          <w:highlight w:val="none"/>
        </w:rPr>
      </w:pPr>
      <w:r>
        <w:rPr>
          <w:rFonts w:hint="eastAsia"/>
          <w:highlight w:val="none"/>
        </w:rPr>
        <w:t>对与单元过程或产品系统相关的物质或能量流的数量或环境影响重要性程度是否被排除在评价范 围之外所作的规定。</w:t>
      </w:r>
    </w:p>
    <w:p>
      <w:pPr>
        <w:pStyle w:val="57"/>
        <w:ind w:firstLine="420"/>
        <w:rPr>
          <w:rFonts w:hint="eastAsia"/>
          <w:highlight w:val="none"/>
        </w:rPr>
      </w:pPr>
      <w:r>
        <w:rPr>
          <w:rFonts w:hint="eastAsia"/>
          <w:highlight w:val="none"/>
        </w:rPr>
        <w:t>[来源：GB/T 24040—2008</w:t>
      </w:r>
      <w:r>
        <w:rPr>
          <w:rFonts w:hint="default"/>
          <w:highlight w:val="none"/>
          <w:lang w:val="en-US" w:eastAsia="zh-CN"/>
        </w:rPr>
        <w:t>,</w:t>
      </w:r>
      <w:r>
        <w:rPr>
          <w:rFonts w:hint="eastAsia"/>
          <w:highlight w:val="none"/>
        </w:rPr>
        <w:t>3.18]</w:t>
      </w:r>
    </w:p>
    <w:p>
      <w:pPr>
        <w:pStyle w:val="106"/>
        <w:spacing w:before="156" w:after="156"/>
        <w:rPr>
          <w:highlight w:val="none"/>
        </w:rPr>
      </w:pPr>
    </w:p>
    <w:p>
      <w:pPr>
        <w:pStyle w:val="106"/>
        <w:numPr>
          <w:ilvl w:val="2"/>
          <w:numId w:val="0"/>
        </w:numPr>
        <w:spacing w:before="156" w:after="156"/>
        <w:ind w:leftChars="0" w:firstLine="420" w:firstLineChars="200"/>
        <w:rPr>
          <w:highlight w:val="none"/>
        </w:rPr>
      </w:pPr>
      <w:r>
        <w:rPr>
          <w:rFonts w:hint="eastAsia"/>
          <w:highlight w:val="none"/>
        </w:rPr>
        <w:t>分配 allocation</w:t>
      </w:r>
    </w:p>
    <w:p>
      <w:pPr>
        <w:pStyle w:val="57"/>
        <w:ind w:firstLine="420"/>
        <w:rPr>
          <w:highlight w:val="none"/>
        </w:rPr>
      </w:pPr>
      <w:r>
        <w:rPr>
          <w:rFonts w:hint="eastAsia"/>
          <w:highlight w:val="none"/>
        </w:rPr>
        <w:t>将过程或产品系统中的输入和输出流划分到所研究的产品系统以及一个或更多的其他产品系统中。</w:t>
      </w:r>
    </w:p>
    <w:p>
      <w:pPr>
        <w:pStyle w:val="57"/>
        <w:ind w:firstLine="420"/>
        <w:rPr>
          <w:rFonts w:hint="eastAsia"/>
          <w:highlight w:val="none"/>
        </w:rPr>
      </w:pPr>
      <w:r>
        <w:rPr>
          <w:rFonts w:hint="eastAsia"/>
          <w:highlight w:val="none"/>
        </w:rPr>
        <w:t>[来源：GB/T 24040—2008</w:t>
      </w:r>
      <w:r>
        <w:rPr>
          <w:rFonts w:hint="default"/>
          <w:highlight w:val="none"/>
          <w:lang w:val="en-US" w:eastAsia="zh-CN"/>
        </w:rPr>
        <w:t>,</w:t>
      </w:r>
      <w:r>
        <w:rPr>
          <w:rFonts w:hint="eastAsia"/>
          <w:highlight w:val="none"/>
        </w:rPr>
        <w:t>3.17]</w:t>
      </w:r>
    </w:p>
    <w:p>
      <w:pPr>
        <w:pStyle w:val="106"/>
        <w:spacing w:before="156" w:after="156"/>
        <w:rPr>
          <w:highlight w:val="none"/>
        </w:rPr>
      </w:pPr>
    </w:p>
    <w:p>
      <w:pPr>
        <w:pStyle w:val="106"/>
        <w:numPr>
          <w:ilvl w:val="2"/>
          <w:numId w:val="0"/>
        </w:numPr>
        <w:spacing w:before="156" w:after="156"/>
        <w:ind w:leftChars="0" w:firstLine="420" w:firstLineChars="200"/>
        <w:rPr>
          <w:rFonts w:hint="default"/>
          <w:highlight w:val="none"/>
          <w:lang w:val="en-US"/>
        </w:rPr>
      </w:pPr>
      <w:r>
        <w:rPr>
          <w:rFonts w:hint="eastAsia"/>
          <w:highlight w:val="none"/>
          <w:lang w:val="en-US" w:eastAsia="zh-CN"/>
        </w:rPr>
        <w:t>不确定性</w:t>
      </w:r>
      <w:r>
        <w:rPr>
          <w:rFonts w:hint="eastAsia"/>
          <w:highlight w:val="none"/>
        </w:rPr>
        <w:t xml:space="preserve"> </w:t>
      </w:r>
      <w:r>
        <w:rPr>
          <w:rFonts w:hint="default"/>
          <w:highlight w:val="none"/>
          <w:lang w:val="en-US"/>
        </w:rPr>
        <w:t>uncertainty</w:t>
      </w:r>
    </w:p>
    <w:p>
      <w:pPr>
        <w:pStyle w:val="57"/>
        <w:ind w:firstLine="420"/>
        <w:rPr>
          <w:highlight w:val="none"/>
        </w:rPr>
      </w:pPr>
      <w:r>
        <w:rPr>
          <w:rFonts w:hint="eastAsia"/>
          <w:highlight w:val="none"/>
        </w:rPr>
        <w:t>与具有离散值特征的量化结果相关的参数，而各离散值可合理地归因于经量化的量。</w:t>
      </w:r>
    </w:p>
    <w:p>
      <w:pPr>
        <w:pStyle w:val="181"/>
        <w:numPr>
          <w:ilvl w:val="0"/>
          <w:numId w:val="33"/>
        </w:numPr>
        <w:rPr>
          <w:sz w:val="20"/>
          <w:szCs w:val="20"/>
        </w:rPr>
      </w:pPr>
      <w:r>
        <w:rPr>
          <w:rFonts w:hint="eastAsia"/>
          <w:sz w:val="20"/>
          <w:szCs w:val="20"/>
        </w:rPr>
        <w:t xml:space="preserve">不确定性包括，例如： </w:t>
      </w:r>
    </w:p>
    <w:p>
      <w:pPr>
        <w:pStyle w:val="181"/>
        <w:numPr>
          <w:ilvl w:val="0"/>
          <w:numId w:val="0"/>
        </w:numPr>
        <w:ind w:left="363" w:leftChars="0" w:firstLine="400" w:firstLineChars="200"/>
        <w:rPr>
          <w:rFonts w:hint="eastAsia"/>
          <w:sz w:val="20"/>
          <w:szCs w:val="20"/>
        </w:rPr>
      </w:pPr>
      <w:r>
        <w:rPr>
          <w:rFonts w:hint="eastAsia"/>
          <w:sz w:val="20"/>
          <w:szCs w:val="20"/>
        </w:rPr>
        <w:t xml:space="preserve">—— 参数不确定性，例如温室气体排放因子，活动数据； </w:t>
      </w:r>
    </w:p>
    <w:p>
      <w:pPr>
        <w:pStyle w:val="181"/>
        <w:numPr>
          <w:ilvl w:val="0"/>
          <w:numId w:val="0"/>
        </w:numPr>
        <w:ind w:left="363" w:leftChars="0" w:firstLine="400" w:firstLineChars="200"/>
        <w:rPr>
          <w:rFonts w:hint="eastAsia"/>
          <w:sz w:val="20"/>
          <w:szCs w:val="20"/>
        </w:rPr>
      </w:pPr>
      <w:r>
        <w:rPr>
          <w:rFonts w:hint="eastAsia"/>
          <w:sz w:val="20"/>
          <w:szCs w:val="20"/>
        </w:rPr>
        <w:t>—— 场景不确定性，如使用阶段场景、生命周期结束阶段场景。</w:t>
      </w:r>
    </w:p>
    <w:p>
      <w:pPr>
        <w:pStyle w:val="181"/>
        <w:numPr>
          <w:ilvl w:val="0"/>
          <w:numId w:val="0"/>
        </w:numPr>
        <w:ind w:left="363" w:leftChars="0" w:firstLine="400" w:firstLineChars="200"/>
        <w:rPr>
          <w:sz w:val="20"/>
          <w:szCs w:val="20"/>
        </w:rPr>
      </w:pPr>
      <w:r>
        <w:rPr>
          <w:rFonts w:hint="eastAsia"/>
          <w:sz w:val="20"/>
          <w:szCs w:val="20"/>
        </w:rPr>
        <w:t>—— 模型不确定性。</w:t>
      </w:r>
    </w:p>
    <w:p>
      <w:pPr>
        <w:pStyle w:val="181"/>
        <w:rPr>
          <w:rFonts w:hint="eastAsia"/>
          <w:highlight w:val="none"/>
        </w:rPr>
      </w:pPr>
      <w:r>
        <w:rPr>
          <w:rFonts w:hint="eastAsia"/>
          <w:sz w:val="20"/>
          <w:szCs w:val="20"/>
          <w:lang w:val="en-US" w:eastAsia="zh-CN"/>
        </w:rPr>
        <w:t>不确定性信息通常规定数值可能分散的定量估计和分散可能原因的定性描述</w:t>
      </w:r>
      <w:r>
        <w:rPr>
          <w:rFonts w:hint="eastAsia"/>
          <w:sz w:val="20"/>
          <w:szCs w:val="20"/>
        </w:rPr>
        <w:t>。</w:t>
      </w:r>
    </w:p>
    <w:p>
      <w:pPr>
        <w:pStyle w:val="57"/>
        <w:ind w:firstLine="420"/>
        <w:rPr>
          <w:rFonts w:hint="eastAsia"/>
          <w:highlight w:val="none"/>
        </w:rPr>
      </w:pPr>
      <w:r>
        <w:rPr>
          <w:rFonts w:hint="eastAsia"/>
          <w:highlight w:val="none"/>
        </w:rPr>
        <w:t>[来源：ISO 14067:2018,3.1.6.4]</w:t>
      </w:r>
    </w:p>
    <w:p>
      <w:pPr>
        <w:pStyle w:val="105"/>
        <w:spacing w:before="312" w:after="312"/>
        <w:rPr>
          <w:highlight w:val="none"/>
        </w:rPr>
      </w:pPr>
      <w:bookmarkStart w:id="40" w:name="_Toc9452"/>
      <w:bookmarkStart w:id="41" w:name="_Toc27134"/>
      <w:r>
        <w:rPr>
          <w:rFonts w:hint="eastAsia"/>
          <w:highlight w:val="none"/>
        </w:rPr>
        <w:t>评价</w:t>
      </w:r>
      <w:r>
        <w:rPr>
          <w:rFonts w:hint="eastAsia"/>
          <w:highlight w:val="none"/>
          <w:lang w:val="en-US" w:eastAsia="zh-CN"/>
        </w:rPr>
        <w:t>边界与</w:t>
      </w:r>
      <w:r>
        <w:rPr>
          <w:rFonts w:hint="eastAsia"/>
          <w:highlight w:val="none"/>
        </w:rPr>
        <w:t>范围</w:t>
      </w:r>
      <w:bookmarkEnd w:id="40"/>
      <w:bookmarkEnd w:id="41"/>
    </w:p>
    <w:p>
      <w:pPr>
        <w:pStyle w:val="106"/>
        <w:spacing w:before="156" w:after="156"/>
      </w:pPr>
      <w:r>
        <w:rPr>
          <w:rFonts w:hint="eastAsia"/>
        </w:rPr>
        <w:t>目标产品</w:t>
      </w:r>
    </w:p>
    <w:p>
      <w:pPr>
        <w:pStyle w:val="66"/>
        <w:spacing w:before="156" w:after="156"/>
      </w:pPr>
      <w:r>
        <w:rPr>
          <w:rFonts w:hint="eastAsia"/>
        </w:rPr>
        <w:t>目标产品的确定</w:t>
      </w:r>
    </w:p>
    <w:p>
      <w:pPr>
        <w:pStyle w:val="57"/>
        <w:ind w:firstLine="420"/>
        <w:rPr>
          <w:rFonts w:hint="eastAsia"/>
          <w:highlight w:val="none"/>
        </w:rPr>
      </w:pPr>
      <w:r>
        <w:rPr>
          <w:rFonts w:hint="eastAsia"/>
          <w:highlight w:val="none"/>
          <w:lang w:val="en-US" w:eastAsia="zh-CN"/>
        </w:rPr>
        <w:t>目标产品</w:t>
      </w:r>
      <w:r>
        <w:rPr>
          <w:rFonts w:hint="eastAsia"/>
          <w:highlight w:val="none"/>
        </w:rPr>
        <w:t>的确定</w:t>
      </w:r>
      <w:r>
        <w:rPr>
          <w:rFonts w:hint="eastAsia"/>
          <w:highlight w:val="none"/>
          <w:lang w:val="en-US" w:eastAsia="zh-CN"/>
        </w:rPr>
        <w:t>应</w:t>
      </w:r>
      <w:r>
        <w:rPr>
          <w:rFonts w:hint="eastAsia"/>
          <w:highlight w:val="none"/>
        </w:rPr>
        <w:t>满足以下要求：</w:t>
      </w:r>
    </w:p>
    <w:p>
      <w:pPr>
        <w:pStyle w:val="175"/>
        <w:rPr>
          <w:rFonts w:hint="eastAsia" w:ascii="宋体" w:hAnsi="Times New Roman" w:eastAsia="宋体" w:cs="Times New Roman"/>
          <w:sz w:val="21"/>
          <w:highlight w:val="none"/>
          <w:lang w:val="en-US" w:eastAsia="zh-CN" w:bidi="ar-SA"/>
        </w:rPr>
      </w:pPr>
      <w:r>
        <w:rPr>
          <w:rFonts w:hint="eastAsia"/>
          <w:highlight w:val="none"/>
        </w:rPr>
        <w:t>每种</w:t>
      </w:r>
      <w:r>
        <w:rPr>
          <w:rFonts w:hint="eastAsia"/>
          <w:highlight w:val="none"/>
          <w:lang w:val="en-US" w:eastAsia="zh-CN"/>
        </w:rPr>
        <w:t>面料</w:t>
      </w:r>
      <w:r>
        <w:rPr>
          <w:rFonts w:hint="eastAsia" w:ascii="宋体" w:hAnsi="Times New Roman" w:eastAsia="宋体" w:cs="Times New Roman"/>
          <w:sz w:val="21"/>
          <w:highlight w:val="none"/>
          <w:lang w:val="en-US" w:eastAsia="zh-CN" w:bidi="ar-SA"/>
        </w:rPr>
        <w:t>产品应为同一企业在同一产地生产的同一规格的产品；</w:t>
      </w:r>
    </w:p>
    <w:p>
      <w:pPr>
        <w:pStyle w:val="175"/>
        <w:rPr>
          <w:rFonts w:ascii="Times New Roman"/>
        </w:rPr>
      </w:pPr>
      <w:r>
        <w:rPr>
          <w:rFonts w:hint="eastAsia"/>
          <w:highlight w:val="none"/>
        </w:rPr>
        <w:t>对于同一企业不同</w:t>
      </w:r>
      <w:r>
        <w:rPr>
          <w:rFonts w:hint="eastAsia"/>
          <w:highlight w:val="none"/>
          <w:lang w:val="en-US" w:eastAsia="zh-CN"/>
        </w:rPr>
        <w:t>规格</w:t>
      </w:r>
      <w:r>
        <w:rPr>
          <w:rFonts w:hint="eastAsia"/>
          <w:highlight w:val="none"/>
        </w:rPr>
        <w:t>的</w:t>
      </w:r>
      <w:r>
        <w:rPr>
          <w:rFonts w:hint="eastAsia"/>
          <w:highlight w:val="none"/>
          <w:lang w:val="en-US" w:eastAsia="zh-CN"/>
        </w:rPr>
        <w:t>面料</w:t>
      </w:r>
      <w:r>
        <w:rPr>
          <w:rFonts w:hint="eastAsia"/>
          <w:highlight w:val="none"/>
        </w:rPr>
        <w:t>，同一</w:t>
      </w:r>
      <w:r>
        <w:rPr>
          <w:rFonts w:hint="eastAsia"/>
          <w:highlight w:val="none"/>
          <w:lang w:val="en-US" w:eastAsia="zh-CN"/>
        </w:rPr>
        <w:t>种类</w:t>
      </w:r>
      <w:r>
        <w:rPr>
          <w:rFonts w:hint="eastAsia"/>
          <w:highlight w:val="none"/>
        </w:rPr>
        <w:t>但不同产地生产的</w:t>
      </w:r>
      <w:r>
        <w:rPr>
          <w:rFonts w:hint="eastAsia"/>
          <w:highlight w:val="none"/>
          <w:lang w:val="en-US" w:eastAsia="zh-CN"/>
        </w:rPr>
        <w:t>面料</w:t>
      </w:r>
      <w:r>
        <w:rPr>
          <w:rFonts w:hint="eastAsia"/>
          <w:highlight w:val="none"/>
        </w:rPr>
        <w:t>，应分别核算碳足迹</w:t>
      </w:r>
      <w:r>
        <w:rPr>
          <w:rFonts w:hint="eastAsia"/>
          <w:highlight w:val="none"/>
          <w:lang w:eastAsia="zh-CN"/>
        </w:rPr>
        <w:t>。</w:t>
      </w:r>
    </w:p>
    <w:p>
      <w:pPr>
        <w:pStyle w:val="66"/>
        <w:spacing w:before="156" w:after="156"/>
        <w:rPr>
          <w:highlight w:val="none"/>
        </w:rPr>
      </w:pPr>
      <w:r>
        <w:rPr>
          <w:rFonts w:hint="eastAsia"/>
          <w:highlight w:val="none"/>
        </w:rPr>
        <w:t>产品</w:t>
      </w:r>
      <w:r>
        <w:rPr>
          <w:rFonts w:hint="eastAsia"/>
          <w:highlight w:val="none"/>
          <w:lang w:val="en-US" w:eastAsia="zh-CN"/>
        </w:rPr>
        <w:t>规格</w:t>
      </w:r>
      <w:r>
        <w:rPr>
          <w:rFonts w:hint="eastAsia"/>
          <w:highlight w:val="none"/>
        </w:rPr>
        <w:t>描述</w:t>
      </w:r>
    </w:p>
    <w:p>
      <w:pPr>
        <w:pStyle w:val="57"/>
        <w:ind w:firstLine="420"/>
        <w:rPr>
          <w:highlight w:val="none"/>
        </w:rPr>
      </w:pPr>
      <w:r>
        <w:rPr>
          <w:rFonts w:hint="eastAsia"/>
          <w:highlight w:val="none"/>
        </w:rPr>
        <w:t>在</w:t>
      </w:r>
      <w:r>
        <w:rPr>
          <w:rFonts w:hint="eastAsia"/>
          <w:highlight w:val="none"/>
          <w:lang w:val="en-US" w:eastAsia="zh-CN"/>
        </w:rPr>
        <w:t>产品</w:t>
      </w:r>
      <w:r>
        <w:rPr>
          <w:rFonts w:hint="eastAsia"/>
          <w:highlight w:val="none"/>
        </w:rPr>
        <w:t>碳足迹评价报告中应详细描述丝绸面料</w:t>
      </w:r>
      <w:r>
        <w:rPr>
          <w:rFonts w:hint="eastAsia"/>
          <w:highlight w:val="none"/>
          <w:lang w:val="en-US" w:eastAsia="zh-CN"/>
        </w:rPr>
        <w:t>的</w:t>
      </w:r>
      <w:r>
        <w:rPr>
          <w:rFonts w:hint="eastAsia"/>
          <w:highlight w:val="none"/>
        </w:rPr>
        <w:t>产品</w:t>
      </w:r>
      <w:r>
        <w:rPr>
          <w:rFonts w:hint="eastAsia"/>
          <w:highlight w:val="none"/>
          <w:lang w:val="en-US" w:eastAsia="zh-CN"/>
        </w:rPr>
        <w:t>规格。产品规格</w:t>
      </w:r>
      <w:r>
        <w:rPr>
          <w:rFonts w:hint="eastAsia"/>
          <w:highlight w:val="none"/>
        </w:rPr>
        <w:t>描述内容包括但不限于：</w:t>
      </w:r>
    </w:p>
    <w:p>
      <w:pPr>
        <w:pStyle w:val="175"/>
        <w:numPr>
          <w:ilvl w:val="0"/>
          <w:numId w:val="34"/>
        </w:numPr>
        <w:rPr>
          <w:rFonts w:ascii="Times New Roman"/>
          <w:highlight w:val="none"/>
        </w:rPr>
      </w:pPr>
      <w:r>
        <w:rPr>
          <w:rFonts w:hint="eastAsia" w:ascii="Times New Roman"/>
          <w:highlight w:val="none"/>
          <w:lang w:val="en-US" w:eastAsia="zh-CN"/>
        </w:rPr>
        <w:t>面料</w:t>
      </w:r>
      <w:r>
        <w:rPr>
          <w:rFonts w:ascii="Times New Roman"/>
          <w:highlight w:val="none"/>
        </w:rPr>
        <w:t>名称</w:t>
      </w:r>
      <w:r>
        <w:rPr>
          <w:rFonts w:hint="eastAsia" w:ascii="Times New Roman"/>
          <w:highlight w:val="none"/>
          <w:lang w:val="en-US" w:eastAsia="zh-CN"/>
        </w:rPr>
        <w:t>和类型</w:t>
      </w:r>
      <w:r>
        <w:rPr>
          <w:rFonts w:ascii="Times New Roman"/>
          <w:highlight w:val="none"/>
        </w:rPr>
        <w:t>；</w:t>
      </w:r>
    </w:p>
    <w:p>
      <w:pPr>
        <w:pStyle w:val="175"/>
        <w:numPr>
          <w:ilvl w:val="0"/>
          <w:numId w:val="34"/>
        </w:numPr>
        <w:rPr>
          <w:rFonts w:ascii="Times New Roman"/>
          <w:highlight w:val="none"/>
        </w:rPr>
      </w:pPr>
      <w:r>
        <w:rPr>
          <w:rFonts w:hint="eastAsia" w:ascii="Times New Roman"/>
          <w:highlight w:val="none"/>
          <w:lang w:val="en-US" w:eastAsia="zh-CN"/>
        </w:rPr>
        <w:t>面料纤维成分及蚕丝含量</w:t>
      </w:r>
      <w:r>
        <w:rPr>
          <w:rFonts w:ascii="Times New Roman"/>
          <w:highlight w:val="none"/>
        </w:rPr>
        <w:t>；</w:t>
      </w:r>
    </w:p>
    <w:p>
      <w:pPr>
        <w:pStyle w:val="175"/>
        <w:numPr>
          <w:ilvl w:val="0"/>
          <w:numId w:val="34"/>
        </w:numPr>
        <w:rPr>
          <w:rFonts w:ascii="Times New Roman"/>
          <w:highlight w:val="none"/>
        </w:rPr>
      </w:pPr>
      <w:r>
        <w:rPr>
          <w:rFonts w:hint="eastAsia" w:ascii="Times New Roman"/>
          <w:highlight w:val="none"/>
          <w:lang w:val="en-US" w:eastAsia="zh-CN"/>
        </w:rPr>
        <w:t>面料成品</w:t>
      </w:r>
      <w:r>
        <w:rPr>
          <w:rFonts w:ascii="Times New Roman"/>
          <w:highlight w:val="none"/>
        </w:rPr>
        <w:t>规格；</w:t>
      </w:r>
    </w:p>
    <w:p>
      <w:pPr>
        <w:pStyle w:val="175"/>
        <w:numPr>
          <w:ilvl w:val="0"/>
          <w:numId w:val="34"/>
        </w:numPr>
        <w:rPr>
          <w:rFonts w:ascii="Times New Roman"/>
          <w:highlight w:val="none"/>
        </w:rPr>
      </w:pPr>
      <w:r>
        <w:rPr>
          <w:rFonts w:hint="eastAsia" w:ascii="Times New Roman"/>
          <w:highlight w:val="none"/>
          <w:lang w:val="en-US" w:eastAsia="zh-CN"/>
        </w:rPr>
        <w:t>面料织造规格；</w:t>
      </w:r>
    </w:p>
    <w:p>
      <w:pPr>
        <w:pStyle w:val="175"/>
        <w:numPr>
          <w:ilvl w:val="0"/>
          <w:numId w:val="34"/>
        </w:numPr>
        <w:rPr>
          <w:rFonts w:ascii="Times New Roman"/>
          <w:highlight w:val="none"/>
        </w:rPr>
      </w:pPr>
      <w:r>
        <w:rPr>
          <w:rFonts w:hint="eastAsia" w:ascii="Times New Roman"/>
          <w:highlight w:val="none"/>
          <w:lang w:val="en-US" w:eastAsia="zh-CN"/>
        </w:rPr>
        <w:t>面料染色工艺。</w:t>
      </w:r>
    </w:p>
    <w:p>
      <w:pPr>
        <w:pStyle w:val="106"/>
        <w:spacing w:before="156" w:after="156"/>
        <w:rPr>
          <w:highlight w:val="none"/>
        </w:rPr>
      </w:pPr>
      <w:r>
        <w:rPr>
          <w:rFonts w:hint="eastAsia"/>
          <w:highlight w:val="none"/>
          <w:lang w:val="en-US" w:eastAsia="zh-CN"/>
        </w:rPr>
        <w:t>声明</w:t>
      </w:r>
      <w:r>
        <w:rPr>
          <w:rFonts w:hint="eastAsia"/>
          <w:highlight w:val="none"/>
        </w:rPr>
        <w:t>单位</w:t>
      </w:r>
    </w:p>
    <w:p>
      <w:pPr>
        <w:pStyle w:val="57"/>
        <w:ind w:firstLine="420"/>
        <w:rPr>
          <w:rFonts w:hint="eastAsia" w:eastAsia="宋体"/>
          <w:highlight w:val="none"/>
          <w:lang w:val="en-US" w:eastAsia="zh-CN"/>
        </w:rPr>
      </w:pPr>
      <w:r>
        <w:rPr>
          <w:rFonts w:hint="eastAsia"/>
          <w:highlight w:val="none"/>
          <w:lang w:val="en-US" w:eastAsia="zh-CN"/>
        </w:rPr>
        <w:t>丝绸</w:t>
      </w:r>
      <w:r>
        <w:rPr>
          <w:rFonts w:hint="eastAsia"/>
          <w:highlight w:val="none"/>
        </w:rPr>
        <w:t>面料的碳足迹采用</w:t>
      </w:r>
      <w:r>
        <w:rPr>
          <w:rFonts w:hint="eastAsia" w:cs="Times New Roman"/>
          <w:sz w:val="21"/>
          <w:szCs w:val="20"/>
          <w:highlight w:val="none"/>
          <w:lang w:val="en-US" w:eastAsia="zh-CN" w:bidi="ar-SA"/>
        </w:rPr>
        <w:t>“平方米”作为</w:t>
      </w:r>
      <w:r>
        <w:rPr>
          <w:rFonts w:hint="eastAsia"/>
          <w:highlight w:val="none"/>
        </w:rPr>
        <w:t>声明单位进行报告</w:t>
      </w:r>
      <w:r>
        <w:rPr>
          <w:rFonts w:hint="eastAsia" w:cs="Times New Roman"/>
          <w:sz w:val="21"/>
          <w:szCs w:val="20"/>
          <w:highlight w:val="none"/>
          <w:lang w:val="en-US" w:eastAsia="zh-CN" w:bidi="ar-SA"/>
        </w:rPr>
        <w:t>。</w:t>
      </w:r>
    </w:p>
    <w:p>
      <w:pPr>
        <w:pStyle w:val="106"/>
        <w:spacing w:before="156" w:after="156"/>
        <w:rPr>
          <w:highlight w:val="none"/>
        </w:rPr>
      </w:pPr>
      <w:r>
        <w:rPr>
          <w:rFonts w:hint="eastAsia"/>
          <w:highlight w:val="none"/>
        </w:rPr>
        <w:t>系统边界</w:t>
      </w:r>
    </w:p>
    <w:p>
      <w:pPr>
        <w:pStyle w:val="66"/>
        <w:spacing w:before="156" w:after="156"/>
        <w:rPr>
          <w:highlight w:val="none"/>
        </w:rPr>
      </w:pPr>
      <w:r>
        <w:rPr>
          <w:rFonts w:hint="eastAsia"/>
          <w:highlight w:val="none"/>
        </w:rPr>
        <w:t>系统边界的</w:t>
      </w:r>
      <w:r>
        <w:rPr>
          <w:rFonts w:hint="eastAsia"/>
          <w:highlight w:val="none"/>
          <w:lang w:val="en-US" w:eastAsia="zh-CN"/>
        </w:rPr>
        <w:t>界定</w:t>
      </w:r>
    </w:p>
    <w:p>
      <w:pPr>
        <w:pStyle w:val="95"/>
        <w:spacing w:before="156" w:after="156"/>
        <w:rPr>
          <w:highlight w:val="none"/>
        </w:rPr>
      </w:pPr>
      <w:r>
        <w:rPr>
          <w:rFonts w:hint="eastAsia" w:ascii="宋体" w:eastAsia="宋体"/>
          <w:highlight w:val="none"/>
        </w:rPr>
        <w:t>产品</w:t>
      </w:r>
      <w:r>
        <w:rPr>
          <w:rFonts w:hint="eastAsia" w:ascii="宋体" w:eastAsia="宋体"/>
          <w:highlight w:val="none"/>
          <w:lang w:val="en-US" w:eastAsia="zh-CN"/>
        </w:rPr>
        <w:t>碳足迹</w:t>
      </w:r>
      <w:r>
        <w:rPr>
          <w:rFonts w:hint="eastAsia" w:ascii="宋体" w:eastAsia="宋体"/>
          <w:highlight w:val="none"/>
        </w:rPr>
        <w:t>系统边界</w:t>
      </w:r>
      <w:r>
        <w:rPr>
          <w:rFonts w:hint="eastAsia" w:ascii="宋体" w:eastAsia="宋体"/>
          <w:highlight w:val="none"/>
          <w:lang w:val="en-US" w:eastAsia="zh-CN"/>
        </w:rPr>
        <w:t>定义为从“摇篮”到“大门”</w:t>
      </w:r>
      <w:r>
        <w:rPr>
          <w:rFonts w:hint="eastAsia" w:ascii="宋体" w:eastAsia="宋体"/>
          <w:highlight w:val="none"/>
        </w:rPr>
        <w:t>，共分为四个阶段：原辅材料获取加工阶段、原辅材料运输阶段、产品生产阶段</w:t>
      </w:r>
      <w:r>
        <w:rPr>
          <w:rFonts w:hint="eastAsia" w:ascii="宋体" w:eastAsia="宋体"/>
          <w:highlight w:val="none"/>
          <w:lang w:val="en-US" w:eastAsia="zh-CN"/>
        </w:rPr>
        <w:t>和</w:t>
      </w:r>
      <w:r>
        <w:rPr>
          <w:rFonts w:hint="eastAsia" w:ascii="宋体" w:eastAsia="宋体"/>
          <w:highlight w:val="none"/>
        </w:rPr>
        <w:t>下游存储与分销阶段。具体系统边界内容见图1。</w:t>
      </w:r>
    </w:p>
    <w:p>
      <w:pPr>
        <w:pStyle w:val="57"/>
        <w:ind w:left="0" w:leftChars="0" w:firstLine="0" w:firstLineChars="0"/>
        <w:jc w:val="both"/>
      </w:pPr>
      <w:r>
        <w:drawing>
          <wp:inline distT="0" distB="0" distL="114300" distR="114300">
            <wp:extent cx="5932170" cy="3391535"/>
            <wp:effectExtent l="0" t="0" r="11430" b="1206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4"/>
                    <a:stretch>
                      <a:fillRect/>
                    </a:stretch>
                  </pic:blipFill>
                  <pic:spPr>
                    <a:xfrm>
                      <a:off x="0" y="0"/>
                      <a:ext cx="5932170" cy="3391535"/>
                    </a:xfrm>
                    <a:prstGeom prst="rect">
                      <a:avLst/>
                    </a:prstGeom>
                    <a:noFill/>
                    <a:ln>
                      <a:noFill/>
                    </a:ln>
                  </pic:spPr>
                </pic:pic>
              </a:graphicData>
            </a:graphic>
          </wp:inline>
        </w:drawing>
      </w:r>
    </w:p>
    <w:p>
      <w:pPr>
        <w:pStyle w:val="115"/>
        <w:spacing w:before="156" w:after="156"/>
        <w:rPr>
          <w:highlight w:val="none"/>
        </w:rPr>
      </w:pPr>
      <w:r>
        <w:rPr>
          <w:rFonts w:hint="eastAsia"/>
          <w:highlight w:val="none"/>
          <w:lang w:eastAsia="zh-CN"/>
        </w:rPr>
        <w:t>丝绸面料</w:t>
      </w:r>
      <w:r>
        <w:rPr>
          <w:rFonts w:hint="eastAsia"/>
          <w:highlight w:val="none"/>
        </w:rPr>
        <w:t>产品</w:t>
      </w:r>
      <w:r>
        <w:rPr>
          <w:rFonts w:hint="eastAsia"/>
          <w:highlight w:val="none"/>
          <w:lang w:val="en-US" w:eastAsia="zh-CN"/>
        </w:rPr>
        <w:t>碳足迹评价系统边界示意图</w:t>
      </w:r>
    </w:p>
    <w:p>
      <w:pPr>
        <w:pStyle w:val="95"/>
        <w:spacing w:before="156" w:after="156"/>
        <w:rPr>
          <w:rFonts w:ascii="宋体" w:eastAsia="宋体"/>
        </w:rPr>
      </w:pPr>
      <w:r>
        <w:rPr>
          <w:rFonts w:hint="eastAsia" w:ascii="宋体" w:eastAsia="宋体"/>
          <w:lang w:val="en-US" w:eastAsia="zh-CN"/>
        </w:rPr>
        <w:t>丝绸面料</w:t>
      </w:r>
      <w:r>
        <w:rPr>
          <w:rFonts w:hint="eastAsia" w:ascii="宋体" w:eastAsia="宋体"/>
        </w:rPr>
        <w:t>碳足迹评价不包括面料进一步加工生产阶段、消费者使用产品阶段和产品生命末期阶段。</w:t>
      </w:r>
    </w:p>
    <w:p>
      <w:pPr>
        <w:pStyle w:val="95"/>
        <w:spacing w:before="156" w:after="156"/>
        <w:rPr>
          <w:rFonts w:hint="eastAsia" w:ascii="宋体" w:eastAsia="宋体"/>
          <w:lang w:val="en-US" w:eastAsia="zh-CN"/>
        </w:rPr>
      </w:pPr>
      <w:r>
        <w:rPr>
          <w:rFonts w:hint="eastAsia" w:ascii="宋体" w:eastAsia="宋体"/>
          <w:lang w:val="en-US" w:eastAsia="zh-CN"/>
        </w:rPr>
        <w:t>丝绸面料生产企业可选择将下游存储与分销阶段纳入碳足迹的评价范围。如果纳入，应在产品碳足迹报告与声明中予以说明。</w:t>
      </w:r>
    </w:p>
    <w:p>
      <w:pPr>
        <w:pStyle w:val="66"/>
        <w:spacing w:before="156" w:after="156"/>
      </w:pPr>
      <w:r>
        <w:rPr>
          <w:rFonts w:hint="eastAsia"/>
        </w:rPr>
        <w:t>生命周期阶段</w:t>
      </w:r>
    </w:p>
    <w:p>
      <w:pPr>
        <w:pStyle w:val="95"/>
        <w:spacing w:before="156" w:after="156"/>
        <w:rPr>
          <w:highlight w:val="none"/>
        </w:rPr>
      </w:pPr>
      <w:r>
        <w:rPr>
          <w:rFonts w:hint="eastAsia"/>
          <w:highlight w:val="none"/>
          <w:lang w:val="en-US" w:eastAsia="zh-CN"/>
        </w:rPr>
        <w:t>原辅材料获取加工阶段</w:t>
      </w:r>
    </w:p>
    <w:p>
      <w:pPr>
        <w:pStyle w:val="99"/>
        <w:bidi w:val="0"/>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进入系统边界的所有原辅材料可以分为原生材料和循环再生材料。</w:t>
      </w:r>
    </w:p>
    <w:p>
      <w:pPr>
        <w:pStyle w:val="99"/>
        <w:bidi w:val="0"/>
        <w:rPr>
          <w:highlight w:val="none"/>
        </w:rPr>
      </w:pPr>
      <w:r>
        <w:rPr>
          <w:rFonts w:hint="eastAsia" w:ascii="宋体" w:eastAsia="宋体" w:cs="Times New Roman"/>
          <w:sz w:val="21"/>
          <w:highlight w:val="none"/>
          <w:lang w:val="en-US" w:eastAsia="zh-CN" w:bidi="ar-SA"/>
        </w:rPr>
        <w:t>原生材料获取</w:t>
      </w:r>
      <w:r>
        <w:rPr>
          <w:rFonts w:hint="eastAsia" w:ascii="宋体" w:hAnsi="Times New Roman" w:eastAsia="宋体" w:cs="Times New Roman"/>
          <w:sz w:val="21"/>
          <w:highlight w:val="none"/>
          <w:lang w:val="en-US" w:eastAsia="zh-CN" w:bidi="ar-SA"/>
        </w:rPr>
        <w:t>加工阶段包括进入生产阶段的所有原辅材料的</w:t>
      </w:r>
      <w:r>
        <w:rPr>
          <w:rFonts w:hint="eastAsia" w:ascii="宋体" w:eastAsia="宋体" w:cs="Times New Roman"/>
          <w:sz w:val="21"/>
          <w:highlight w:val="none"/>
          <w:lang w:val="en-US" w:eastAsia="zh-CN" w:bidi="ar-SA"/>
        </w:rPr>
        <w:t>获取</w:t>
      </w:r>
      <w:r>
        <w:rPr>
          <w:rFonts w:hint="eastAsia" w:ascii="宋体" w:hAnsi="Times New Roman" w:eastAsia="宋体" w:cs="Times New Roman"/>
          <w:sz w:val="21"/>
          <w:highlight w:val="none"/>
          <w:lang w:val="en-US" w:eastAsia="zh-CN" w:bidi="ar-SA"/>
        </w:rPr>
        <w:t>和加工。在产品碳足迹评价中应</w:t>
      </w:r>
      <w:r>
        <w:rPr>
          <w:rFonts w:hint="eastAsia" w:ascii="宋体" w:eastAsia="宋体" w:cs="Times New Roman"/>
          <w:sz w:val="21"/>
          <w:highlight w:val="none"/>
          <w:lang w:val="en-US" w:eastAsia="zh-CN" w:bidi="ar-SA"/>
        </w:rPr>
        <w:t>包括</w:t>
      </w:r>
      <w:r>
        <w:rPr>
          <w:rFonts w:hint="eastAsia" w:ascii="宋体" w:hAnsi="Times New Roman" w:eastAsia="宋体" w:cs="Times New Roman"/>
          <w:sz w:val="21"/>
          <w:highlight w:val="none"/>
          <w:lang w:val="en-US" w:eastAsia="zh-CN" w:bidi="ar-SA"/>
        </w:rPr>
        <w:t>下列</w:t>
      </w:r>
      <w:r>
        <w:rPr>
          <w:rFonts w:hint="eastAsia" w:ascii="宋体" w:eastAsia="宋体" w:cs="Times New Roman"/>
          <w:sz w:val="21"/>
          <w:highlight w:val="none"/>
          <w:lang w:val="en-US" w:eastAsia="zh-CN" w:bidi="ar-SA"/>
        </w:rPr>
        <w:t>适用</w:t>
      </w:r>
      <w:r>
        <w:rPr>
          <w:rFonts w:hint="eastAsia" w:ascii="宋体" w:hAnsi="Times New Roman" w:eastAsia="宋体" w:cs="Times New Roman"/>
          <w:sz w:val="21"/>
          <w:highlight w:val="none"/>
          <w:lang w:val="en-US" w:eastAsia="zh-CN" w:bidi="ar-SA"/>
        </w:rPr>
        <w:t>过程：</w:t>
      </w:r>
    </w:p>
    <w:p>
      <w:pPr>
        <w:pStyle w:val="175"/>
        <w:numPr>
          <w:ilvl w:val="0"/>
          <w:numId w:val="35"/>
        </w:numPr>
        <w:kinsoku w:val="0"/>
        <w:autoSpaceDE w:val="0"/>
        <w:autoSpaceDN w:val="0"/>
        <w:snapToGrid w:val="0"/>
        <w:spacing w:line="240" w:lineRule="auto"/>
        <w:textAlignment w:val="baseline"/>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蚕茧饲养</w:t>
      </w:r>
      <w:r>
        <w:rPr>
          <w:rFonts w:hint="eastAsia" w:ascii="Times New Roman"/>
          <w:color w:val="000000" w:themeColor="text1"/>
          <w:highlight w:val="none"/>
          <w14:textFill>
            <w14:solidFill>
              <w14:schemeClr w14:val="tx1"/>
            </w14:solidFill>
          </w14:textFill>
        </w:rPr>
        <w:t>的相关过程；</w:t>
      </w:r>
    </w:p>
    <w:p>
      <w:pPr>
        <w:pStyle w:val="175"/>
        <w:numPr>
          <w:ilvl w:val="0"/>
          <w:numId w:val="35"/>
        </w:numPr>
        <w:kinsoku w:val="0"/>
        <w:autoSpaceDE w:val="0"/>
        <w:autoSpaceDN w:val="0"/>
        <w:snapToGrid w:val="0"/>
        <w:spacing w:line="240" w:lineRule="auto"/>
        <w:textAlignment w:val="baseline"/>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植物种植的相关过程；</w:t>
      </w:r>
    </w:p>
    <w:p>
      <w:pPr>
        <w:pStyle w:val="175"/>
        <w:numPr>
          <w:ilvl w:val="0"/>
          <w:numId w:val="35"/>
        </w:numPr>
        <w:kinsoku w:val="0"/>
        <w:autoSpaceDE w:val="0"/>
        <w:autoSpaceDN w:val="0"/>
        <w:snapToGrid w:val="0"/>
        <w:spacing w:line="240" w:lineRule="auto"/>
        <w:textAlignment w:val="baseline"/>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蚕丝的生产（如缫丝、复整等）</w:t>
      </w:r>
      <w:r>
        <w:rPr>
          <w:rFonts w:hint="eastAsia" w:ascii="Times New Roman"/>
          <w:color w:val="000000" w:themeColor="text1"/>
          <w:highlight w:val="none"/>
          <w14:textFill>
            <w14:solidFill>
              <w14:schemeClr w14:val="tx1"/>
            </w14:solidFill>
          </w14:textFill>
        </w:rPr>
        <w:t>的相关过程；</w:t>
      </w:r>
    </w:p>
    <w:p>
      <w:pPr>
        <w:pStyle w:val="175"/>
        <w:numPr>
          <w:ilvl w:val="0"/>
          <w:numId w:val="35"/>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原辅材料获取加工阶段使用的物料（如肥料、杀虫剂的生产以及上游供应链的运输过程）；</w:t>
      </w:r>
    </w:p>
    <w:p>
      <w:pPr>
        <w:pStyle w:val="175"/>
        <w:numPr>
          <w:ilvl w:val="0"/>
          <w:numId w:val="35"/>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其他织造印染辅料的生产以及上游供应链的运输过程；</w:t>
      </w:r>
    </w:p>
    <w:p>
      <w:pPr>
        <w:pStyle w:val="175"/>
        <w:numPr>
          <w:ilvl w:val="0"/>
          <w:numId w:val="35"/>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包装材料的生产以及上游供应链的运输过程；</w:t>
      </w:r>
    </w:p>
    <w:p>
      <w:pPr>
        <w:pStyle w:val="175"/>
        <w:numPr>
          <w:ilvl w:val="0"/>
          <w:numId w:val="35"/>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能源（化石燃料、电力、热力）的开采、生产与输送过程；</w:t>
      </w:r>
    </w:p>
    <w:p>
      <w:pPr>
        <w:pStyle w:val="175"/>
        <w:numPr>
          <w:ilvl w:val="0"/>
          <w:numId w:val="35"/>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自来水的生产和供应过程；</w:t>
      </w:r>
    </w:p>
    <w:p>
      <w:pPr>
        <w:pStyle w:val="175"/>
        <w:numPr>
          <w:ilvl w:val="0"/>
          <w:numId w:val="35"/>
        </w:numPr>
        <w:spacing w:line="240" w:lineRule="auto"/>
        <w:rPr>
          <w:highlight w:val="none"/>
        </w:rPr>
      </w:pPr>
      <w:r>
        <w:rPr>
          <w:rFonts w:hint="eastAsia"/>
          <w:highlight w:val="none"/>
          <w:lang w:eastAsia="zh-CN"/>
        </w:rPr>
        <w:t>原辅材料</w:t>
      </w:r>
      <w:r>
        <w:rPr>
          <w:rFonts w:hint="eastAsia"/>
          <w:highlight w:val="none"/>
        </w:rPr>
        <w:t>提取加工所产生的废水、废气和固体废弃物处理相关过程。</w:t>
      </w:r>
    </w:p>
    <w:p>
      <w:pPr>
        <w:pStyle w:val="99"/>
        <w:bidi w:val="0"/>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生产系统中使用的循环再生材料产品的生命周期阶段确定以下要求：</w:t>
      </w:r>
    </w:p>
    <w:p>
      <w:pPr>
        <w:pStyle w:val="175"/>
        <w:numPr>
          <w:ilvl w:val="0"/>
          <w:numId w:val="36"/>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不应考虑与“前一个生命周期”有关的生产过程；</w:t>
      </w:r>
    </w:p>
    <w:p>
      <w:pPr>
        <w:pStyle w:val="175"/>
        <w:numPr>
          <w:ilvl w:val="0"/>
          <w:numId w:val="36"/>
        </w:numPr>
        <w:kinsoku w:val="0"/>
        <w:autoSpaceDE w:val="0"/>
        <w:autoSpaceDN w:val="0"/>
        <w:snapToGrid w:val="0"/>
        <w:spacing w:line="240" w:lineRule="auto"/>
        <w:textAlignment w:val="baseline"/>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应考虑为新用途制备二次材料所需的生产过程。</w:t>
      </w:r>
    </w:p>
    <w:p>
      <w:pPr>
        <w:pStyle w:val="95"/>
        <w:spacing w:before="156" w:after="156"/>
      </w:pPr>
      <w:r>
        <w:rPr>
          <w:rFonts w:hint="eastAsia"/>
          <w:lang w:val="en-US" w:eastAsia="zh-CN"/>
        </w:rPr>
        <w:t>原辅材料运输阶段</w:t>
      </w:r>
    </w:p>
    <w:p>
      <w:pPr>
        <w:pStyle w:val="57"/>
        <w:ind w:left="0" w:leftChars="0" w:firstLine="420" w:firstLineChars="200"/>
        <w:rPr>
          <w:rFonts w:hint="eastAsia"/>
        </w:rPr>
      </w:pPr>
      <w:r>
        <w:rPr>
          <w:rFonts w:hint="eastAsia"/>
        </w:rPr>
        <w:t>原辅材料运输阶段应包括生产产品所需的原辅材料从供应商到产品生产企业的运输过程，不包括原辅材料生产上游各个阶段的运输过程。</w:t>
      </w:r>
    </w:p>
    <w:p>
      <w:pPr>
        <w:pStyle w:val="57"/>
        <w:rPr>
          <w:sz w:val="18"/>
          <w:szCs w:val="18"/>
        </w:rPr>
      </w:pPr>
      <w:r>
        <w:rPr>
          <w:rFonts w:hint="eastAsia" w:ascii="黑体" w:hAnsi="黑体" w:eastAsia="黑体" w:cs="黑体"/>
          <w:sz w:val="18"/>
          <w:szCs w:val="18"/>
        </w:rPr>
        <w:t>注：</w:t>
      </w:r>
      <w:r>
        <w:rPr>
          <w:rFonts w:hint="eastAsia"/>
          <w:sz w:val="18"/>
          <w:szCs w:val="18"/>
        </w:rPr>
        <w:t>原辅材料生产上游各个阶段的运输过程已包含在原辅材料获取加工阶段。</w:t>
      </w:r>
    </w:p>
    <w:p>
      <w:pPr>
        <w:pStyle w:val="95"/>
        <w:spacing w:before="156" w:after="156"/>
        <w:rPr>
          <w:highlight w:val="none"/>
        </w:rPr>
      </w:pPr>
      <w:r>
        <w:rPr>
          <w:rFonts w:hint="eastAsia"/>
          <w:highlight w:val="none"/>
        </w:rPr>
        <w:t>生产阶段</w:t>
      </w:r>
    </w:p>
    <w:p>
      <w:pPr>
        <w:pStyle w:val="99"/>
        <w:bidi w:val="0"/>
        <w:spacing w:line="240" w:lineRule="auto"/>
        <w:rPr>
          <w:rFonts w:hint="eastAsia" w:ascii="Times New Roman" w:hAnsi="Times New Roman" w:eastAsia="宋体" w:cs="Times New Roman"/>
          <w:sz w:val="21"/>
          <w:highlight w:val="none"/>
          <w:lang w:val="en-US" w:eastAsia="zh-CN" w:bidi="ar-SA"/>
        </w:rPr>
      </w:pPr>
      <w:r>
        <w:rPr>
          <w:rFonts w:hint="eastAsia" w:ascii="Times New Roman" w:hAnsi="Times New Roman" w:eastAsia="宋体" w:cs="Times New Roman"/>
          <w:sz w:val="21"/>
          <w:highlight w:val="none"/>
          <w:lang w:val="en-US" w:eastAsia="zh-CN" w:bidi="ar-SA"/>
        </w:rPr>
        <w:t>生产阶段从原辅材料和能源进入产品生产企业开始到成品离开生产企业为止。鲜茧/干茧可通过选茧、缫丝、织造、印染、裁缝等</w:t>
      </w:r>
      <w:r>
        <w:rPr>
          <w:rFonts w:hint="eastAsia" w:ascii="Times New Roman" w:eastAsia="宋体" w:cs="Times New Roman"/>
          <w:sz w:val="21"/>
          <w:highlight w:val="none"/>
          <w:lang w:val="en-US" w:eastAsia="zh-CN" w:bidi="ar-SA"/>
        </w:rPr>
        <w:t>过程</w:t>
      </w:r>
      <w:r>
        <w:rPr>
          <w:rFonts w:hint="eastAsia" w:ascii="Times New Roman" w:hAnsi="Times New Roman" w:eastAsia="宋体" w:cs="Times New Roman"/>
          <w:sz w:val="21"/>
          <w:highlight w:val="none"/>
          <w:lang w:val="en-US" w:eastAsia="zh-CN" w:bidi="ar-SA"/>
        </w:rPr>
        <w:t>生产丝绸面料；同时，在选茧、缫丝和织造等工艺中产生的副产品可通过制丝绵/绢纺等过程生产丝绸面料。在丝绸面料产品碳足迹评价中应包括下列适用过程：</w:t>
      </w:r>
    </w:p>
    <w:p>
      <w:pPr>
        <w:pStyle w:val="175"/>
        <w:numPr>
          <w:ilvl w:val="0"/>
          <w:numId w:val="37"/>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缫丝、复整、脱胶、梳理、并丝、加捻、整经、面料织造、精炼、染色、后整理、裁剪等相关流程；</w:t>
      </w:r>
    </w:p>
    <w:p>
      <w:pPr>
        <w:pStyle w:val="175"/>
        <w:numPr>
          <w:ilvl w:val="0"/>
          <w:numId w:val="37"/>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产品包装过程；</w:t>
      </w:r>
    </w:p>
    <w:p>
      <w:pPr>
        <w:pStyle w:val="175"/>
        <w:numPr>
          <w:ilvl w:val="0"/>
          <w:numId w:val="37"/>
        </w:numPr>
        <w:kinsoku w:val="0"/>
        <w:autoSpaceDE w:val="0"/>
        <w:autoSpaceDN w:val="0"/>
        <w:snapToGrid w:val="0"/>
        <w:spacing w:line="240" w:lineRule="auto"/>
        <w:textAlignment w:val="baseline"/>
        <w:rPr>
          <w:rFonts w:ascii="Times New Roman"/>
          <w:highlight w:val="none"/>
        </w:rPr>
      </w:pPr>
      <w:r>
        <w:rPr>
          <w:rFonts w:hint="eastAsia" w:ascii="Times New Roman"/>
          <w:highlight w:val="none"/>
        </w:rPr>
        <w:t>生产设备、设施的运行、维护等相关过程；</w:t>
      </w:r>
    </w:p>
    <w:p>
      <w:pPr>
        <w:pStyle w:val="175"/>
        <w:numPr>
          <w:ilvl w:val="0"/>
          <w:numId w:val="37"/>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半成品在生产企业各车间之间的运输过程；</w:t>
      </w:r>
    </w:p>
    <w:p>
      <w:pPr>
        <w:pStyle w:val="175"/>
        <w:numPr>
          <w:ilvl w:val="0"/>
          <w:numId w:val="37"/>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原辅材料和产品</w:t>
      </w:r>
      <w:r>
        <w:rPr>
          <w:rFonts w:hint="eastAsia" w:ascii="Times New Roman"/>
          <w:highlight w:val="none"/>
          <w:lang w:val="en-US" w:eastAsia="zh-CN"/>
        </w:rPr>
        <w:t>的</w:t>
      </w:r>
      <w:r>
        <w:rPr>
          <w:rFonts w:hint="eastAsia" w:ascii="Times New Roman"/>
          <w:highlight w:val="none"/>
        </w:rPr>
        <w:t>存储过程；</w:t>
      </w:r>
    </w:p>
    <w:p>
      <w:pPr>
        <w:pStyle w:val="175"/>
        <w:numPr>
          <w:ilvl w:val="0"/>
          <w:numId w:val="37"/>
        </w:numPr>
        <w:kinsoku w:val="0"/>
        <w:autoSpaceDE w:val="0"/>
        <w:autoSpaceDN w:val="0"/>
        <w:snapToGrid w:val="0"/>
        <w:spacing w:line="240" w:lineRule="auto"/>
        <w:textAlignment w:val="baseline"/>
        <w:rPr>
          <w:rFonts w:ascii="Times New Roman"/>
          <w:highlight w:val="none"/>
        </w:rPr>
      </w:pPr>
      <w:r>
        <w:rPr>
          <w:rFonts w:hint="eastAsia" w:ascii="Times New Roman"/>
          <w:highlight w:val="none"/>
          <w:lang w:val="en-US" w:eastAsia="zh-CN"/>
        </w:rPr>
        <w:t>自行生产</w:t>
      </w:r>
      <w:r>
        <w:rPr>
          <w:rFonts w:hint="eastAsia" w:ascii="Times New Roman"/>
          <w:highlight w:val="none"/>
        </w:rPr>
        <w:t>电力、</w:t>
      </w:r>
      <w:r>
        <w:rPr>
          <w:rFonts w:hint="eastAsia" w:ascii="Times New Roman"/>
          <w:highlight w:val="none"/>
          <w:lang w:val="en-US" w:eastAsia="zh-CN"/>
        </w:rPr>
        <w:t>热力</w:t>
      </w:r>
      <w:r>
        <w:rPr>
          <w:rFonts w:hint="eastAsia" w:ascii="Times New Roman"/>
          <w:highlight w:val="none"/>
        </w:rPr>
        <w:t>和其他能源的生产过程；</w:t>
      </w:r>
    </w:p>
    <w:p>
      <w:pPr>
        <w:pStyle w:val="175"/>
        <w:numPr>
          <w:ilvl w:val="0"/>
          <w:numId w:val="37"/>
        </w:numPr>
        <w:kinsoku w:val="0"/>
        <w:autoSpaceDE w:val="0"/>
        <w:autoSpaceDN w:val="0"/>
        <w:snapToGrid w:val="0"/>
        <w:spacing w:line="240" w:lineRule="auto"/>
        <w:textAlignment w:val="baseline"/>
        <w:rPr>
          <w:rFonts w:ascii="Times New Roman"/>
          <w:highlight w:val="none"/>
        </w:rPr>
      </w:pPr>
      <w:r>
        <w:rPr>
          <w:rFonts w:hint="eastAsia" w:ascii="Times New Roman"/>
          <w:highlight w:val="none"/>
          <w:lang w:val="en-US" w:eastAsia="zh-CN"/>
        </w:rPr>
        <w:t>供水</w:t>
      </w:r>
      <w:r>
        <w:rPr>
          <w:rFonts w:hint="eastAsia" w:ascii="Times New Roman"/>
          <w:highlight w:val="none"/>
        </w:rPr>
        <w:t>相关</w:t>
      </w:r>
      <w:r>
        <w:rPr>
          <w:rFonts w:hint="eastAsia" w:ascii="Times New Roman"/>
          <w:highlight w:val="none"/>
          <w:lang w:val="en-US" w:eastAsia="zh-CN"/>
        </w:rPr>
        <w:t>过程</w:t>
      </w:r>
      <w:r>
        <w:rPr>
          <w:rFonts w:hint="eastAsia" w:ascii="Times New Roman"/>
          <w:highlight w:val="none"/>
        </w:rPr>
        <w:t>；</w:t>
      </w:r>
    </w:p>
    <w:p>
      <w:pPr>
        <w:pStyle w:val="175"/>
        <w:numPr>
          <w:ilvl w:val="0"/>
          <w:numId w:val="37"/>
        </w:numPr>
        <w:kinsoku w:val="0"/>
        <w:autoSpaceDE w:val="0"/>
        <w:autoSpaceDN w:val="0"/>
        <w:snapToGrid w:val="0"/>
        <w:spacing w:line="240" w:lineRule="auto"/>
        <w:textAlignment w:val="baseline"/>
        <w:rPr>
          <w:highlight w:val="none"/>
        </w:rPr>
      </w:pPr>
      <w:r>
        <w:rPr>
          <w:rFonts w:hint="eastAsia" w:ascii="Times New Roman"/>
          <w:highlight w:val="none"/>
        </w:rPr>
        <w:t>废水、废气和固体废弃物处理相关过程，包括企业自行处理的过程</w:t>
      </w:r>
      <w:r>
        <w:rPr>
          <w:rFonts w:hint="eastAsia" w:ascii="Times New Roman"/>
          <w:highlight w:val="none"/>
          <w:lang w:eastAsia="zh-CN"/>
        </w:rPr>
        <w:t>、</w:t>
      </w:r>
      <w:r>
        <w:rPr>
          <w:rFonts w:hint="eastAsia" w:ascii="Times New Roman"/>
          <w:highlight w:val="none"/>
        </w:rPr>
        <w:t>废水、</w:t>
      </w:r>
      <w:r>
        <w:rPr>
          <w:rFonts w:hint="eastAsia" w:ascii="Times New Roman"/>
          <w:highlight w:val="none"/>
          <w:lang w:val="en-US" w:eastAsia="zh-CN"/>
        </w:rPr>
        <w:t>废气和</w:t>
      </w:r>
      <w:r>
        <w:rPr>
          <w:rFonts w:hint="eastAsia" w:ascii="Times New Roman"/>
          <w:highlight w:val="none"/>
        </w:rPr>
        <w:t>固体废弃物交由第三方处理（如废水进入城市或工业园区污水处理厂，固体废弃物处置等）及相关的运输过程。</w:t>
      </w:r>
    </w:p>
    <w:p>
      <w:pPr>
        <w:pStyle w:val="99"/>
        <w:bidi w:val="0"/>
        <w:spacing w:line="240" w:lineRule="auto"/>
        <w:rPr>
          <w:rFonts w:hint="eastAsia"/>
          <w:highlight w:val="none"/>
        </w:rPr>
      </w:pPr>
      <w:r>
        <w:rPr>
          <w:rFonts w:hint="eastAsia" w:ascii="Times New Roman" w:eastAsia="宋体" w:cs="Times New Roman"/>
          <w:sz w:val="21"/>
          <w:highlight w:val="none"/>
          <w:lang w:val="en-US" w:eastAsia="zh-CN" w:bidi="ar-SA"/>
        </w:rPr>
        <w:t>以下过程不纳入产品碳足迹评价范畴：</w:t>
      </w:r>
    </w:p>
    <w:p>
      <w:pPr>
        <w:pStyle w:val="175"/>
        <w:numPr>
          <w:ilvl w:val="0"/>
          <w:numId w:val="38"/>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厂房建筑物等固定资产的建设过程；</w:t>
      </w:r>
    </w:p>
    <w:p>
      <w:pPr>
        <w:pStyle w:val="175"/>
        <w:numPr>
          <w:ilvl w:val="0"/>
          <w:numId w:val="38"/>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生产企业的设备设施生产过程；</w:t>
      </w:r>
    </w:p>
    <w:p>
      <w:pPr>
        <w:pStyle w:val="175"/>
        <w:numPr>
          <w:ilvl w:val="0"/>
          <w:numId w:val="38"/>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生产企业工作人员的公务出行；</w:t>
      </w:r>
    </w:p>
    <w:p>
      <w:pPr>
        <w:pStyle w:val="175"/>
        <w:numPr>
          <w:ilvl w:val="0"/>
          <w:numId w:val="38"/>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生产企业工作人员的通勤；</w:t>
      </w:r>
    </w:p>
    <w:p>
      <w:pPr>
        <w:pStyle w:val="175"/>
        <w:numPr>
          <w:ilvl w:val="0"/>
          <w:numId w:val="38"/>
        </w:numPr>
        <w:kinsoku w:val="0"/>
        <w:autoSpaceDE w:val="0"/>
        <w:autoSpaceDN w:val="0"/>
        <w:snapToGrid w:val="0"/>
        <w:spacing w:line="240" w:lineRule="auto"/>
        <w:textAlignment w:val="baseline"/>
        <w:rPr>
          <w:rFonts w:hint="eastAsia" w:ascii="Times New Roman"/>
          <w:highlight w:val="none"/>
          <w:lang w:eastAsia="zh-CN"/>
        </w:rPr>
      </w:pPr>
      <w:r>
        <w:rPr>
          <w:rFonts w:hint="eastAsia" w:ascii="Times New Roman"/>
          <w:highlight w:val="none"/>
        </w:rPr>
        <w:t>产品</w:t>
      </w:r>
      <w:r>
        <w:rPr>
          <w:rFonts w:hint="eastAsia" w:ascii="Times New Roman"/>
          <w:highlight w:val="none"/>
          <w:lang w:val="en-US" w:eastAsia="zh-CN"/>
        </w:rPr>
        <w:t>设计</w:t>
      </w:r>
      <w:r>
        <w:rPr>
          <w:rFonts w:hint="eastAsia" w:ascii="Times New Roman"/>
          <w:highlight w:val="none"/>
        </w:rPr>
        <w:t>研发活动</w:t>
      </w:r>
      <w:r>
        <w:rPr>
          <w:rFonts w:hint="eastAsia" w:ascii="Times New Roman"/>
          <w:highlight w:val="none"/>
          <w:lang w:eastAsia="zh-CN"/>
        </w:rPr>
        <w:t>。</w:t>
      </w:r>
    </w:p>
    <w:p>
      <w:pPr>
        <w:pStyle w:val="95"/>
        <w:spacing w:before="156" w:after="156"/>
      </w:pPr>
      <w:r>
        <w:rPr>
          <w:rFonts w:ascii="Times New Roman" w:hAnsi="Times New Roman" w:cs="Times New Roman"/>
          <w:b w:val="0"/>
          <w:bCs/>
          <w:sz w:val="21"/>
        </w:rPr>
        <w:t>下游存储和分销阶段</w:t>
      </w:r>
    </w:p>
    <w:p>
      <w:pPr>
        <w:ind w:firstLine="431"/>
        <w:jc w:val="both"/>
        <w:rPr>
          <w:rFonts w:ascii="Times New Roman" w:hAnsi="Times New Roman" w:eastAsia="宋体" w:cs="Times New Roman"/>
        </w:rPr>
      </w:pPr>
      <w:r>
        <w:rPr>
          <w:rFonts w:ascii="Times New Roman" w:hAnsi="Times New Roman" w:eastAsia="宋体" w:cs="Times New Roman"/>
        </w:rPr>
        <w:t>产品从出厂到下游生产加工企业或转运仓库之间的运输和存储的相关过程。具体包括从工厂大门到中转仓库的运输，</w:t>
      </w:r>
      <w:r>
        <w:rPr>
          <w:rFonts w:hint="eastAsia" w:ascii="Times New Roman" w:hAnsi="Times New Roman" w:cs="Times New Roman"/>
          <w:lang w:val="en-US" w:eastAsia="zh-CN"/>
        </w:rPr>
        <w:t>中转</w:t>
      </w:r>
      <w:r>
        <w:rPr>
          <w:rFonts w:ascii="Times New Roman" w:hAnsi="Times New Roman" w:eastAsia="宋体" w:cs="Times New Roman"/>
        </w:rPr>
        <w:t>仓库的储存，以及从</w:t>
      </w:r>
      <w:r>
        <w:rPr>
          <w:rFonts w:hint="eastAsia" w:ascii="Times New Roman" w:hAnsi="Times New Roman" w:cs="Times New Roman"/>
          <w:lang w:val="en-US" w:eastAsia="zh-CN"/>
        </w:rPr>
        <w:t>中转</w:t>
      </w:r>
      <w:r>
        <w:rPr>
          <w:rFonts w:ascii="Times New Roman" w:hAnsi="Times New Roman" w:eastAsia="宋体" w:cs="Times New Roman"/>
        </w:rPr>
        <w:t>仓库到下游客户工厂的运输。</w:t>
      </w:r>
    </w:p>
    <w:p>
      <w:pPr>
        <w:ind w:firstLine="431"/>
        <w:jc w:val="both"/>
        <w:rPr>
          <w:rFonts w:hint="eastAsia" w:ascii="Times New Roman" w:hAnsi="Times New Roman" w:eastAsia="宋体" w:cs="Times New Roman"/>
          <w:lang w:eastAsia="zh-CN"/>
        </w:rPr>
      </w:pPr>
      <w:r>
        <w:rPr>
          <w:rFonts w:ascii="Times New Roman" w:hAnsi="Times New Roman" w:eastAsia="宋体" w:cs="Times New Roman"/>
        </w:rPr>
        <w:t>当该阶段纳入产品碳足迹评价系统边界时，应</w:t>
      </w:r>
      <w:r>
        <w:rPr>
          <w:rFonts w:hint="eastAsia" w:ascii="Times New Roman" w:hAnsi="Times New Roman" w:cs="Times New Roman"/>
          <w:lang w:val="en-US" w:eastAsia="zh-CN"/>
        </w:rPr>
        <w:t>包括下列适用</w:t>
      </w:r>
      <w:r>
        <w:rPr>
          <w:rFonts w:ascii="Times New Roman" w:hAnsi="Times New Roman" w:eastAsia="宋体" w:cs="Times New Roman"/>
        </w:rPr>
        <w:t>过程</w:t>
      </w:r>
      <w:r>
        <w:rPr>
          <w:rFonts w:hint="eastAsia" w:ascii="Times New Roman" w:hAnsi="Times New Roman" w:cs="Times New Roman"/>
          <w:lang w:eastAsia="zh-CN"/>
        </w:rPr>
        <w:t>：</w:t>
      </w:r>
    </w:p>
    <w:p>
      <w:pPr>
        <w:pStyle w:val="175"/>
        <w:numPr>
          <w:ilvl w:val="0"/>
          <w:numId w:val="39"/>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仓库照明</w:t>
      </w:r>
      <w:r>
        <w:rPr>
          <w:rFonts w:hint="eastAsia" w:ascii="Times New Roman"/>
          <w:highlight w:val="none"/>
          <w:lang w:eastAsia="zh-CN"/>
        </w:rPr>
        <w:t>、</w:t>
      </w:r>
      <w:r>
        <w:rPr>
          <w:rFonts w:hint="eastAsia" w:ascii="Times New Roman"/>
          <w:highlight w:val="none"/>
        </w:rPr>
        <w:t>通风</w:t>
      </w:r>
      <w:r>
        <w:rPr>
          <w:rFonts w:hint="eastAsia" w:ascii="Times New Roman"/>
          <w:highlight w:val="none"/>
          <w:lang w:eastAsia="zh-CN"/>
        </w:rPr>
        <w:t>、</w:t>
      </w:r>
      <w:r>
        <w:rPr>
          <w:rFonts w:hint="eastAsia" w:ascii="Times New Roman"/>
          <w:highlight w:val="none"/>
        </w:rPr>
        <w:t>空调和供暖的能源</w:t>
      </w:r>
      <w:r>
        <w:rPr>
          <w:rFonts w:hint="eastAsia" w:ascii="Times New Roman"/>
          <w:highlight w:val="none"/>
          <w:lang w:val="en-US" w:eastAsia="zh-CN"/>
        </w:rPr>
        <w:t>消耗</w:t>
      </w:r>
      <w:r>
        <w:rPr>
          <w:rFonts w:hint="eastAsia" w:ascii="Times New Roman"/>
          <w:highlight w:val="none"/>
          <w:lang w:eastAsia="zh-CN"/>
        </w:rPr>
        <w:t>；</w:t>
      </w:r>
    </w:p>
    <w:p>
      <w:pPr>
        <w:pStyle w:val="175"/>
        <w:numPr>
          <w:ilvl w:val="0"/>
          <w:numId w:val="39"/>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运输的</w:t>
      </w:r>
      <w:r>
        <w:rPr>
          <w:rFonts w:hint="eastAsia" w:ascii="Times New Roman"/>
          <w:highlight w:val="none"/>
          <w:lang w:eastAsia="zh-CN"/>
        </w:rPr>
        <w:t>能源</w:t>
      </w:r>
      <w:r>
        <w:rPr>
          <w:rFonts w:hint="eastAsia" w:ascii="Times New Roman"/>
          <w:highlight w:val="none"/>
        </w:rPr>
        <w:t>消耗。</w:t>
      </w:r>
    </w:p>
    <w:p>
      <w:pPr>
        <w:pStyle w:val="66"/>
        <w:spacing w:before="156" w:after="156"/>
        <w:rPr>
          <w:b w:val="0"/>
          <w:bCs w:val="0"/>
          <w:highlight w:val="none"/>
        </w:rPr>
      </w:pPr>
      <w:r>
        <w:rPr>
          <w:rFonts w:hint="eastAsia"/>
          <w:b w:val="0"/>
          <w:bCs w:val="0"/>
          <w:highlight w:val="none"/>
        </w:rPr>
        <w:t>单元过程</w:t>
      </w:r>
      <w:r>
        <w:rPr>
          <w:rFonts w:hint="eastAsia"/>
          <w:b w:val="0"/>
          <w:bCs w:val="0"/>
          <w:highlight w:val="none"/>
          <w:lang w:val="en-US" w:eastAsia="zh-CN"/>
        </w:rPr>
        <w:t>的划分</w:t>
      </w:r>
    </w:p>
    <w:p>
      <w:pPr>
        <w:pStyle w:val="95"/>
        <w:spacing w:before="156" w:after="156"/>
      </w:pPr>
      <w:r>
        <w:rPr>
          <w:rFonts w:hint="eastAsia" w:ascii="Times New Roman" w:cs="Times New Roman"/>
          <w:b w:val="0"/>
          <w:bCs/>
          <w:sz w:val="21"/>
          <w:lang w:val="en-US" w:eastAsia="zh-CN"/>
        </w:rPr>
        <w:t>划分原则</w:t>
      </w:r>
    </w:p>
    <w:p>
      <w:pPr>
        <w:pStyle w:val="99"/>
        <w:bidi w:val="0"/>
      </w:pPr>
      <w:r>
        <w:rPr>
          <w:rFonts w:hint="eastAsia" w:ascii="宋体" w:hAnsi="宋体" w:eastAsia="宋体"/>
          <w:highlight w:val="none"/>
          <w:lang w:val="en-US" w:eastAsia="zh-CN"/>
        </w:rPr>
        <w:t>应确保</w:t>
      </w:r>
      <w:r>
        <w:rPr>
          <w:rFonts w:hint="eastAsia" w:ascii="宋体" w:hAnsi="宋体" w:eastAsia="宋体"/>
          <w:highlight w:val="none"/>
        </w:rPr>
        <w:t>核算边界内生产过程的完整性、数据的可获得性和可核查性。单元过程不等同于生产工序，可根据数据的可得性和完整性，把多个工序划分为一个单元过程</w:t>
      </w:r>
      <w:r>
        <w:rPr>
          <w:rFonts w:hint="eastAsia" w:ascii="宋体" w:hAnsi="宋体" w:eastAsia="宋体"/>
          <w:highlight w:val="none"/>
          <w:lang w:eastAsia="zh-CN"/>
        </w:rPr>
        <w:t>。</w:t>
      </w:r>
    </w:p>
    <w:p>
      <w:pPr>
        <w:pStyle w:val="99"/>
        <w:bidi w:val="0"/>
      </w:pPr>
      <w:r>
        <w:rPr>
          <w:rFonts w:hint="eastAsia" w:ascii="宋体" w:hAnsi="宋体" w:eastAsia="宋体"/>
          <w:highlight w:val="none"/>
        </w:rPr>
        <w:t>应确保各单元过程输入的原辅材料和能源消耗，以及输出的中间产品、副产品和</w:t>
      </w:r>
      <w:r>
        <w:rPr>
          <w:rFonts w:hint="eastAsia" w:ascii="宋体" w:hAnsi="宋体" w:eastAsia="宋体"/>
          <w:highlight w:val="none"/>
          <w:lang w:eastAsia="zh-CN"/>
        </w:rPr>
        <w:t>固体</w:t>
      </w:r>
      <w:r>
        <w:rPr>
          <w:rFonts w:hint="eastAsia" w:ascii="宋体" w:hAnsi="宋体" w:eastAsia="宋体"/>
          <w:highlight w:val="none"/>
        </w:rPr>
        <w:t>废弃物的数量可获取</w:t>
      </w:r>
      <w:r>
        <w:rPr>
          <w:rFonts w:hint="eastAsia" w:ascii="宋体" w:eastAsia="宋体" w:cs="Times New Roman"/>
          <w:sz w:val="21"/>
          <w:highlight w:val="none"/>
          <w:lang w:val="en-US" w:eastAsia="zh-CN" w:bidi="ar-SA"/>
        </w:rPr>
        <w:t>。</w:t>
      </w:r>
    </w:p>
    <w:p>
      <w:pPr>
        <w:pStyle w:val="99"/>
        <w:bidi w:val="0"/>
      </w:pPr>
      <w:r>
        <w:rPr>
          <w:rFonts w:hint="eastAsia" w:ascii="宋体" w:hAnsi="宋体" w:eastAsia="宋体"/>
          <w:highlight w:val="none"/>
        </w:rPr>
        <w:t>单元过程的划分</w:t>
      </w:r>
      <w:r>
        <w:rPr>
          <w:rFonts w:hint="eastAsia" w:ascii="宋体" w:hAnsi="宋体" w:eastAsia="宋体"/>
          <w:highlight w:val="none"/>
          <w:lang w:val="en-US" w:eastAsia="zh-CN"/>
        </w:rPr>
        <w:t>应确保能</w:t>
      </w:r>
      <w:r>
        <w:rPr>
          <w:rFonts w:hint="eastAsia" w:ascii="宋体" w:hAnsi="宋体" w:eastAsia="宋体"/>
          <w:highlight w:val="none"/>
        </w:rPr>
        <w:t>计算各个单元过程</w:t>
      </w:r>
      <w:r>
        <w:rPr>
          <w:rFonts w:hint="eastAsia" w:ascii="宋体" w:hAnsi="宋体" w:eastAsia="宋体"/>
          <w:highlight w:val="none"/>
          <w:lang w:val="en-US" w:eastAsia="zh-CN"/>
        </w:rPr>
        <w:t>的</w:t>
      </w:r>
      <w:r>
        <w:rPr>
          <w:rFonts w:hint="eastAsia" w:ascii="宋体" w:hAnsi="宋体" w:eastAsia="宋体"/>
          <w:highlight w:val="none"/>
        </w:rPr>
        <w:t>温室气体排放，以及各个单元过程温室气体排放的贡献率，</w:t>
      </w:r>
      <w:r>
        <w:rPr>
          <w:rFonts w:hint="eastAsia" w:ascii="宋体" w:hAnsi="宋体" w:eastAsia="宋体"/>
          <w:highlight w:val="none"/>
          <w:lang w:val="en-US" w:eastAsia="zh-CN"/>
        </w:rPr>
        <w:t>以支撑</w:t>
      </w:r>
      <w:r>
        <w:rPr>
          <w:rFonts w:hint="eastAsia" w:ascii="宋体" w:hAnsi="宋体" w:eastAsia="宋体"/>
          <w:highlight w:val="none"/>
        </w:rPr>
        <w:t>产品、技术</w:t>
      </w:r>
      <w:r>
        <w:rPr>
          <w:rFonts w:hint="eastAsia" w:ascii="宋体" w:hAnsi="宋体" w:eastAsia="宋体"/>
        </w:rPr>
        <w:t>和管理的改进</w:t>
      </w:r>
      <w:r>
        <w:rPr>
          <w:rFonts w:hint="eastAsia" w:ascii="宋体" w:eastAsia="宋体" w:cs="Times New Roman"/>
          <w:sz w:val="21"/>
          <w:highlight w:val="none"/>
          <w:lang w:val="en-US" w:eastAsia="zh-CN" w:bidi="ar-SA"/>
        </w:rPr>
        <w:t>。</w:t>
      </w:r>
    </w:p>
    <w:p>
      <w:pPr>
        <w:pStyle w:val="95"/>
        <w:spacing w:before="156" w:after="156"/>
        <w:rPr>
          <w:rFonts w:ascii="宋体" w:hAnsi="宋体" w:eastAsia="宋体"/>
        </w:rPr>
      </w:pPr>
      <w:r>
        <w:rPr>
          <w:rFonts w:hint="eastAsia" w:ascii="Times New Roman" w:cs="Times New Roman"/>
          <w:b w:val="0"/>
          <w:bCs/>
          <w:sz w:val="21"/>
          <w:lang w:val="en-US" w:eastAsia="zh-CN"/>
        </w:rPr>
        <w:t>流程示意图</w:t>
      </w:r>
    </w:p>
    <w:p>
      <w:pPr>
        <w:pStyle w:val="95"/>
        <w:numPr>
          <w:ilvl w:val="4"/>
          <w:numId w:val="0"/>
        </w:numPr>
        <w:spacing w:before="156" w:after="156"/>
        <w:ind w:leftChars="0" w:firstLine="420" w:firstLineChars="200"/>
        <w:rPr>
          <w:rFonts w:ascii="宋体" w:hAnsi="宋体" w:eastAsia="宋体"/>
        </w:rPr>
      </w:pPr>
      <w:r>
        <w:rPr>
          <w:rFonts w:hint="eastAsia" w:ascii="宋体" w:hAnsi="宋体" w:eastAsia="宋体"/>
          <w:lang w:val="en-US" w:eastAsia="zh-CN"/>
        </w:rPr>
        <w:t>应</w:t>
      </w:r>
      <w:r>
        <w:rPr>
          <w:rFonts w:hint="eastAsia" w:ascii="宋体" w:hAnsi="宋体" w:eastAsia="宋体"/>
        </w:rPr>
        <w:t>画出需要获取的单元过程流程示意图，用于企业数据收集和计算。每个单元过程都应单独收集数据。单元过程流程示意图应至少包括以下几点：</w:t>
      </w:r>
    </w:p>
    <w:p>
      <w:pPr>
        <w:pStyle w:val="175"/>
        <w:numPr>
          <w:ilvl w:val="0"/>
          <w:numId w:val="40"/>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所定义的生命周期各个阶段；</w:t>
      </w:r>
    </w:p>
    <w:p>
      <w:pPr>
        <w:pStyle w:val="175"/>
        <w:numPr>
          <w:ilvl w:val="0"/>
          <w:numId w:val="40"/>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每个生命周期阶段各单元过程的输入和输出的原材料/能量和产品/</w:t>
      </w:r>
      <w:r>
        <w:rPr>
          <w:rFonts w:hint="eastAsia" w:ascii="Times New Roman"/>
          <w:highlight w:val="none"/>
          <w:lang w:val="en-US" w:eastAsia="zh-CN"/>
        </w:rPr>
        <w:t>固体</w:t>
      </w:r>
      <w:r>
        <w:rPr>
          <w:rFonts w:hint="eastAsia" w:ascii="Times New Roman"/>
          <w:highlight w:val="none"/>
        </w:rPr>
        <w:t>废弃物；</w:t>
      </w:r>
    </w:p>
    <w:p>
      <w:pPr>
        <w:pStyle w:val="175"/>
        <w:numPr>
          <w:ilvl w:val="0"/>
          <w:numId w:val="40"/>
        </w:numPr>
        <w:kinsoku w:val="0"/>
        <w:autoSpaceDE w:val="0"/>
        <w:autoSpaceDN w:val="0"/>
        <w:snapToGrid w:val="0"/>
        <w:spacing w:line="240" w:lineRule="auto"/>
        <w:textAlignment w:val="baseline"/>
        <w:rPr>
          <w:rFonts w:hint="eastAsia" w:ascii="Times New Roman"/>
          <w:highlight w:val="none"/>
        </w:rPr>
      </w:pPr>
      <w:r>
        <w:rPr>
          <w:rFonts w:hint="eastAsia" w:ascii="Times New Roman"/>
          <w:highlight w:val="none"/>
        </w:rPr>
        <w:t>明确从系统边界内排除的任何过程。</w:t>
      </w:r>
    </w:p>
    <w:p>
      <w:pPr>
        <w:pStyle w:val="95"/>
        <w:spacing w:before="156" w:after="156"/>
        <w:rPr>
          <w:rFonts w:hint="eastAsia" w:ascii="Times New Roman" w:cs="Times New Roman"/>
          <w:b w:val="0"/>
          <w:bCs/>
          <w:sz w:val="21"/>
          <w:lang w:val="en-US" w:eastAsia="zh-CN"/>
        </w:rPr>
      </w:pPr>
      <w:r>
        <w:rPr>
          <w:rFonts w:hint="eastAsia" w:ascii="Times New Roman" w:cs="Times New Roman"/>
          <w:b w:val="0"/>
          <w:bCs/>
          <w:sz w:val="21"/>
          <w:lang w:val="en-US" w:eastAsia="zh-CN"/>
        </w:rPr>
        <w:t>实景单元过程和背景单元过程</w:t>
      </w:r>
    </w:p>
    <w:p>
      <w:pPr>
        <w:pStyle w:val="99"/>
        <w:bidi w:val="0"/>
        <w:rPr>
          <w:rFonts w:hint="eastAsia" w:ascii="宋体" w:hAnsi="宋体" w:eastAsia="宋体"/>
          <w:highlight w:val="none"/>
        </w:rPr>
      </w:pPr>
      <w:r>
        <w:rPr>
          <w:rFonts w:hint="eastAsia" w:ascii="宋体" w:hAnsi="宋体" w:eastAsia="宋体"/>
          <w:highlight w:val="none"/>
        </w:rPr>
        <w:t>实景单元过程一般</w:t>
      </w:r>
      <w:r>
        <w:rPr>
          <w:rFonts w:hint="eastAsia" w:ascii="宋体" w:hAnsi="宋体" w:eastAsia="宋体"/>
          <w:highlight w:val="none"/>
          <w:lang w:val="en-US" w:eastAsia="zh-CN"/>
        </w:rPr>
        <w:t>指</w:t>
      </w:r>
      <w:r>
        <w:rPr>
          <w:rFonts w:hint="eastAsia" w:ascii="宋体" w:hAnsi="宋体" w:eastAsia="宋体"/>
          <w:highlight w:val="none"/>
        </w:rPr>
        <w:t>产品“生产阶段”的一个或多个单元过程，在数据可获得的情况下，也</w:t>
      </w:r>
      <w:r>
        <w:rPr>
          <w:rFonts w:hint="eastAsia" w:ascii="宋体" w:hAnsi="宋体" w:eastAsia="宋体"/>
          <w:highlight w:val="none"/>
          <w:lang w:val="en-US" w:eastAsia="zh-CN"/>
        </w:rPr>
        <w:t>可是</w:t>
      </w:r>
      <w:r>
        <w:rPr>
          <w:rFonts w:hint="eastAsia" w:ascii="宋体" w:hAnsi="宋体" w:eastAsia="宋体"/>
          <w:highlight w:val="none"/>
        </w:rPr>
        <w:t>主要原辅材料生产涉及的单元过程，</w:t>
      </w:r>
      <w:r>
        <w:rPr>
          <w:rFonts w:hint="eastAsia" w:ascii="宋体" w:hAnsi="宋体" w:eastAsia="宋体"/>
          <w:highlight w:val="none"/>
          <w:lang w:val="en-US" w:eastAsia="zh-CN"/>
        </w:rPr>
        <w:t>尤其</w:t>
      </w:r>
      <w:r>
        <w:rPr>
          <w:rFonts w:hint="eastAsia" w:ascii="宋体" w:hAnsi="宋体" w:eastAsia="宋体"/>
          <w:highlight w:val="none"/>
        </w:rPr>
        <w:t>是原辅材料一级供应商生产涉及的单元过程，以及主要原辅材料运输涉及的单元过程。</w:t>
      </w:r>
    </w:p>
    <w:p>
      <w:pPr>
        <w:pStyle w:val="99"/>
        <w:bidi w:val="0"/>
        <w:rPr>
          <w:rFonts w:ascii="宋体" w:hAnsi="宋体" w:eastAsia="宋体"/>
          <w:highlight w:val="none"/>
        </w:rPr>
      </w:pPr>
      <w:r>
        <w:rPr>
          <w:rFonts w:hint="eastAsia" w:ascii="宋体" w:hAnsi="宋体" w:eastAsia="宋体"/>
          <w:highlight w:val="none"/>
        </w:rPr>
        <w:t>背景单元过程</w:t>
      </w:r>
      <w:r>
        <w:rPr>
          <w:rFonts w:hint="eastAsia" w:ascii="宋体" w:hAnsi="宋体" w:eastAsia="宋体"/>
          <w:highlight w:val="none"/>
          <w:lang w:val="en-US" w:eastAsia="zh-CN"/>
        </w:rPr>
        <w:t>指的</w:t>
      </w:r>
      <w:r>
        <w:rPr>
          <w:rFonts w:hint="eastAsia" w:ascii="宋体" w:hAnsi="宋体" w:eastAsia="宋体"/>
          <w:highlight w:val="none"/>
        </w:rPr>
        <w:t>是“原辅材料获取与加工阶段”“原辅材料运输阶段”和“下游存储和分销阶段”涉及的单元过程，可选用次级数据计算背景单元</w:t>
      </w:r>
      <w:r>
        <w:rPr>
          <w:rFonts w:hint="eastAsia" w:ascii="宋体" w:hAnsi="宋体" w:eastAsia="宋体"/>
          <w:highlight w:val="none"/>
          <w:lang w:eastAsia="zh-CN"/>
        </w:rPr>
        <w:t>过程</w:t>
      </w:r>
      <w:r>
        <w:rPr>
          <w:rFonts w:hint="eastAsia" w:ascii="宋体" w:hAnsi="宋体" w:eastAsia="宋体"/>
          <w:highlight w:val="none"/>
        </w:rPr>
        <w:t>的温室气体排放</w:t>
      </w:r>
      <w:r>
        <w:rPr>
          <w:rFonts w:hint="eastAsia" w:ascii="宋体" w:hAnsi="宋体" w:eastAsia="宋体"/>
          <w:highlight w:val="none"/>
          <w:lang w:val="en-US" w:eastAsia="zh-CN"/>
        </w:rPr>
        <w:t>与清除</w:t>
      </w:r>
      <w:r>
        <w:rPr>
          <w:rFonts w:hint="eastAsia" w:ascii="宋体" w:hAnsi="宋体" w:eastAsia="宋体"/>
          <w:highlight w:val="none"/>
        </w:rPr>
        <w:t>。</w:t>
      </w:r>
    </w:p>
    <w:p>
      <w:pPr>
        <w:pStyle w:val="66"/>
        <w:spacing w:before="156" w:after="156"/>
      </w:pPr>
      <w:r>
        <w:rPr>
          <w:rFonts w:hint="eastAsia"/>
        </w:rPr>
        <w:t>取舍准则</w:t>
      </w:r>
    </w:p>
    <w:p>
      <w:pPr>
        <w:pStyle w:val="95"/>
        <w:spacing w:before="156" w:after="156"/>
        <w:rPr>
          <w:rFonts w:hint="eastAsia" w:ascii="宋体" w:hAnsi="宋体" w:eastAsia="宋体"/>
          <w:highlight w:val="none"/>
        </w:rPr>
      </w:pPr>
      <w:r>
        <w:rPr>
          <w:rFonts w:hint="eastAsia" w:ascii="宋体" w:hAnsi="宋体" w:eastAsia="宋体"/>
          <w:highlight w:val="none"/>
        </w:rPr>
        <w:t>在</w:t>
      </w:r>
      <w:r>
        <w:rPr>
          <w:rFonts w:hint="eastAsia" w:ascii="宋体" w:hAnsi="宋体" w:eastAsia="宋体"/>
          <w:highlight w:val="none"/>
          <w:lang w:eastAsia="zh-CN"/>
        </w:rPr>
        <w:t>丝绸面料</w:t>
      </w:r>
      <w:r>
        <w:rPr>
          <w:rFonts w:hint="eastAsia" w:ascii="宋体" w:hAnsi="宋体" w:eastAsia="宋体"/>
          <w:highlight w:val="none"/>
        </w:rPr>
        <w:t>产品碳足迹</w:t>
      </w:r>
      <w:r>
        <w:rPr>
          <w:rFonts w:hint="eastAsia" w:ascii="宋体" w:hAnsi="宋体" w:eastAsia="宋体"/>
          <w:highlight w:val="none"/>
          <w:lang w:val="en-US" w:eastAsia="zh-CN"/>
        </w:rPr>
        <w:t>评价</w:t>
      </w:r>
      <w:r>
        <w:rPr>
          <w:rFonts w:hint="eastAsia" w:ascii="宋体" w:hAnsi="宋体" w:eastAsia="宋体"/>
          <w:highlight w:val="none"/>
        </w:rPr>
        <w:t>过程中，不应将对</w:t>
      </w:r>
      <w:r>
        <w:rPr>
          <w:rFonts w:hint="eastAsia" w:ascii="宋体" w:hAnsi="宋体" w:eastAsia="宋体"/>
          <w:highlight w:val="none"/>
          <w:lang w:eastAsia="zh-CN"/>
        </w:rPr>
        <w:t>丝绸面料</w:t>
      </w:r>
      <w:r>
        <w:rPr>
          <w:rFonts w:hint="eastAsia" w:ascii="宋体" w:hAnsi="宋体" w:eastAsia="宋体"/>
          <w:highlight w:val="none"/>
          <w:lang w:val="en-US" w:eastAsia="zh-CN"/>
        </w:rPr>
        <w:t>产品</w:t>
      </w:r>
      <w:r>
        <w:rPr>
          <w:rFonts w:hint="eastAsia" w:ascii="宋体" w:hAnsi="宋体" w:eastAsia="宋体"/>
          <w:highlight w:val="none"/>
        </w:rPr>
        <w:t>碳足迹有实质性贡献的温室气体排放与清除排除在外。应量化至少95%与</w:t>
      </w:r>
      <w:r>
        <w:rPr>
          <w:rFonts w:hint="eastAsia" w:ascii="宋体" w:hAnsi="宋体" w:eastAsia="宋体"/>
          <w:highlight w:val="none"/>
          <w:lang w:val="en-US" w:eastAsia="zh-CN"/>
        </w:rPr>
        <w:t>产品</w:t>
      </w:r>
      <w:r>
        <w:rPr>
          <w:rFonts w:hint="eastAsia" w:ascii="宋体" w:hAnsi="宋体" w:eastAsia="宋体"/>
          <w:highlight w:val="none"/>
        </w:rPr>
        <w:t>相关的生命周期内预计会产生的温室气体排放与清除，即温室气体排放或清除量小于所评价产品温室气体总排放或清除估测值1%的可</w:t>
      </w:r>
      <w:r>
        <w:rPr>
          <w:rFonts w:hint="eastAsia" w:ascii="宋体" w:hAnsi="宋体" w:eastAsia="宋体"/>
          <w:highlight w:val="none"/>
          <w:lang w:val="en-US" w:eastAsia="zh-CN"/>
        </w:rPr>
        <w:t>予以</w:t>
      </w:r>
      <w:r>
        <w:rPr>
          <w:rFonts w:hint="eastAsia" w:ascii="宋体" w:hAnsi="宋体" w:eastAsia="宋体"/>
          <w:highlight w:val="none"/>
          <w:lang w:eastAsia="zh-CN"/>
        </w:rPr>
        <w:t>忽略</w:t>
      </w:r>
      <w:r>
        <w:rPr>
          <w:rFonts w:hint="eastAsia" w:ascii="宋体" w:hAnsi="宋体" w:eastAsia="宋体"/>
          <w:highlight w:val="none"/>
        </w:rPr>
        <w:t>，但累计不应超过5%。</w:t>
      </w:r>
    </w:p>
    <w:p>
      <w:pPr>
        <w:pStyle w:val="95"/>
        <w:spacing w:before="156" w:after="156"/>
        <w:rPr>
          <w:rFonts w:hint="eastAsia" w:ascii="宋体" w:hAnsi="宋体" w:eastAsia="宋体"/>
          <w:highlight w:val="none"/>
        </w:rPr>
      </w:pPr>
      <w:r>
        <w:rPr>
          <w:rFonts w:hint="eastAsia" w:ascii="宋体" w:hAnsi="宋体" w:eastAsia="宋体"/>
          <w:highlight w:val="none"/>
        </w:rPr>
        <w:t>当评估温室气体排放占比存在较大困难时，可采用原辅材料重量代替。当某种原辅材料重量占比不超过1%时可予以忽略，累计忽略的重量不应超过原辅材料总重量的5%。</w:t>
      </w:r>
    </w:p>
    <w:p>
      <w:pPr>
        <w:pStyle w:val="95"/>
        <w:spacing w:before="156" w:after="156"/>
        <w:rPr>
          <w:rFonts w:hint="eastAsia" w:ascii="宋体" w:hAnsi="宋体" w:eastAsia="宋体"/>
          <w:highlight w:val="none"/>
        </w:rPr>
      </w:pPr>
      <w:r>
        <w:rPr>
          <w:rFonts w:hint="eastAsia" w:ascii="宋体" w:hAnsi="宋体" w:eastAsia="宋体"/>
          <w:highlight w:val="none"/>
        </w:rPr>
        <w:t>印染过程中，染料和助剂的种类繁多且通常涉及企业机密。当部分染料助剂种类及用量难以获取时，可予以忽略，但应在产品碳足迹评价报告中予以说明。</w:t>
      </w:r>
    </w:p>
    <w:p>
      <w:pPr>
        <w:pStyle w:val="95"/>
        <w:spacing w:before="156" w:after="156"/>
        <w:rPr>
          <w:rFonts w:ascii="宋体" w:hAnsi="宋体" w:eastAsia="宋体"/>
        </w:rPr>
      </w:pPr>
      <w:r>
        <w:rPr>
          <w:rFonts w:hint="eastAsia" w:ascii="宋体" w:hAnsi="宋体" w:eastAsia="宋体"/>
        </w:rPr>
        <w:t>舍去的温室气体排放与清除应</w:t>
      </w:r>
      <w:r>
        <w:rPr>
          <w:rFonts w:hint="eastAsia" w:ascii="宋体" w:hAnsi="宋体" w:eastAsia="宋体"/>
          <w:lang w:val="en-US" w:eastAsia="zh-CN"/>
        </w:rPr>
        <w:t>建有</w:t>
      </w:r>
      <w:r>
        <w:rPr>
          <w:rFonts w:hint="eastAsia" w:ascii="宋体" w:hAnsi="宋体" w:eastAsia="宋体"/>
        </w:rPr>
        <w:t>书面记录。所选择的取舍准则对评价结果产生的影响应在报告中做出解释。</w:t>
      </w:r>
    </w:p>
    <w:p>
      <w:pPr>
        <w:pStyle w:val="105"/>
        <w:spacing w:before="312" w:after="312"/>
      </w:pPr>
      <w:bookmarkStart w:id="42" w:name="_Toc1888"/>
      <w:bookmarkStart w:id="43" w:name="_Toc25477"/>
      <w:r>
        <w:rPr>
          <w:rFonts w:hint="eastAsia"/>
        </w:rPr>
        <w:t>数据收集和数据质量控制</w:t>
      </w:r>
      <w:bookmarkEnd w:id="42"/>
      <w:bookmarkEnd w:id="43"/>
    </w:p>
    <w:p>
      <w:pPr>
        <w:pStyle w:val="106"/>
        <w:spacing w:before="156" w:after="156"/>
      </w:pPr>
      <w:r>
        <w:rPr>
          <w:rFonts w:hint="eastAsia"/>
        </w:rPr>
        <w:t>数据质量控制</w:t>
      </w:r>
      <w:r>
        <w:rPr>
          <w:rFonts w:hint="eastAsia"/>
          <w:lang w:val="en-US" w:eastAsia="zh-CN"/>
        </w:rPr>
        <w:t>要求</w:t>
      </w:r>
    </w:p>
    <w:p>
      <w:pPr>
        <w:pStyle w:val="57"/>
        <w:ind w:firstLine="420"/>
      </w:pPr>
      <w:r>
        <w:rPr>
          <w:rFonts w:hint="eastAsia"/>
          <w:lang w:eastAsia="zh-CN"/>
        </w:rPr>
        <w:t>丝绸面料</w:t>
      </w:r>
      <w:r>
        <w:rPr>
          <w:rFonts w:hint="eastAsia"/>
          <w:lang w:val="en-US" w:eastAsia="zh-CN"/>
        </w:rPr>
        <w:t>产品</w:t>
      </w:r>
      <w:r>
        <w:rPr>
          <w:rFonts w:hint="eastAsia"/>
        </w:rPr>
        <w:t>碳足迹评价过程中使用的数据应满足以下要求：</w:t>
      </w:r>
    </w:p>
    <w:p>
      <w:pPr>
        <w:pStyle w:val="175"/>
        <w:numPr>
          <w:ilvl w:val="0"/>
          <w:numId w:val="41"/>
        </w:numPr>
        <w:spacing w:line="240" w:lineRule="auto"/>
      </w:pPr>
      <w:r>
        <w:rPr>
          <w:rFonts w:hint="eastAsia"/>
        </w:rPr>
        <w:t>完整性：涵盖对评价的产品系统有实质性贡献的所有温室气体的排放与清除；</w:t>
      </w:r>
    </w:p>
    <w:p>
      <w:pPr>
        <w:pStyle w:val="175"/>
        <w:numPr>
          <w:ilvl w:val="0"/>
          <w:numId w:val="41"/>
        </w:numPr>
        <w:spacing w:line="240" w:lineRule="auto"/>
      </w:pPr>
      <w:r>
        <w:rPr>
          <w:rFonts w:hint="eastAsia" w:ascii="Times New Roman"/>
        </w:rPr>
        <w:t>代表性：使用对评价产品而言具有时间、地理</w:t>
      </w:r>
      <w:r>
        <w:rPr>
          <w:rFonts w:hint="eastAsia" w:ascii="Times New Roman"/>
          <w:lang w:val="en-US" w:eastAsia="zh-CN"/>
        </w:rPr>
        <w:t>和</w:t>
      </w:r>
      <w:r>
        <w:rPr>
          <w:rFonts w:hint="eastAsia" w:ascii="Times New Roman"/>
        </w:rPr>
        <w:t>技术</w:t>
      </w:r>
      <w:r>
        <w:rPr>
          <w:rFonts w:hint="eastAsia" w:ascii="Times New Roman"/>
          <w:lang w:val="en-US" w:eastAsia="zh-CN"/>
        </w:rPr>
        <w:t>代表</w:t>
      </w:r>
      <w:r>
        <w:rPr>
          <w:rFonts w:hint="eastAsia" w:ascii="Times New Roman"/>
        </w:rPr>
        <w:t>性的数据；</w:t>
      </w:r>
    </w:p>
    <w:p>
      <w:pPr>
        <w:pStyle w:val="175"/>
        <w:numPr>
          <w:ilvl w:val="0"/>
          <w:numId w:val="41"/>
        </w:numPr>
        <w:spacing w:line="240" w:lineRule="auto"/>
      </w:pPr>
      <w:r>
        <w:rPr>
          <w:rFonts w:hint="eastAsia"/>
        </w:rPr>
        <w:t>准确性：避免非必要偏差和不确定度；</w:t>
      </w:r>
    </w:p>
    <w:p>
      <w:pPr>
        <w:pStyle w:val="175"/>
        <w:numPr>
          <w:ilvl w:val="0"/>
          <w:numId w:val="41"/>
        </w:numPr>
        <w:spacing w:line="240" w:lineRule="auto"/>
      </w:pPr>
      <w:r>
        <w:rPr>
          <w:rFonts w:hint="eastAsia"/>
          <w:lang w:val="en-US" w:eastAsia="zh-CN"/>
        </w:rPr>
        <w:t>初级数据</w:t>
      </w:r>
      <w:r>
        <w:rPr>
          <w:rFonts w:hint="eastAsia"/>
        </w:rPr>
        <w:t>应使用最近一年的平均数据，若产品生产不足一年，应使用从生产初始至评价前的累计平均数据；</w:t>
      </w:r>
    </w:p>
    <w:p>
      <w:pPr>
        <w:pStyle w:val="175"/>
        <w:numPr>
          <w:ilvl w:val="0"/>
          <w:numId w:val="41"/>
        </w:numPr>
        <w:spacing w:line="240" w:lineRule="auto"/>
      </w:pPr>
      <w:r>
        <w:rPr>
          <w:rFonts w:hint="eastAsia" w:ascii="Times New Roman"/>
        </w:rPr>
        <w:t>优先使用初级数据，</w:t>
      </w:r>
      <w:r>
        <w:rPr>
          <w:rFonts w:hint="eastAsia" w:ascii="Times New Roman"/>
          <w:lang w:val="en-US" w:eastAsia="zh-CN"/>
        </w:rPr>
        <w:t>若无法</w:t>
      </w:r>
      <w:r>
        <w:rPr>
          <w:rFonts w:hint="eastAsia" w:ascii="Times New Roman"/>
        </w:rPr>
        <w:t>获取初级数据，可使用次级数据，并进行书面记录，解释数据来源和使用理由。</w:t>
      </w:r>
    </w:p>
    <w:p>
      <w:pPr>
        <w:pStyle w:val="175"/>
        <w:numPr>
          <w:ilvl w:val="0"/>
          <w:numId w:val="41"/>
        </w:numPr>
        <w:spacing w:line="240" w:lineRule="auto"/>
        <w:rPr>
          <w:rFonts w:ascii="Times New Roman"/>
        </w:rPr>
      </w:pPr>
      <w:r>
        <w:rPr>
          <w:rFonts w:hint="eastAsia" w:ascii="Times New Roman"/>
        </w:rPr>
        <w:t>产品碳足迹评价</w:t>
      </w:r>
      <w:r>
        <w:rPr>
          <w:rFonts w:hint="eastAsia" w:ascii="Times New Roman"/>
          <w:lang w:val="en-US" w:eastAsia="zh-CN"/>
        </w:rPr>
        <w:t>应</w:t>
      </w:r>
      <w:r>
        <w:rPr>
          <w:rFonts w:hint="eastAsia" w:ascii="Times New Roman"/>
        </w:rPr>
        <w:t>使用能获取到的具有最高质量的数据，以减少偏向性和不确定性。</w:t>
      </w:r>
    </w:p>
    <w:p>
      <w:pPr>
        <w:pStyle w:val="175"/>
        <w:numPr>
          <w:ilvl w:val="0"/>
          <w:numId w:val="41"/>
        </w:numPr>
        <w:spacing w:line="240" w:lineRule="auto"/>
        <w:rPr>
          <w:highlight w:val="none"/>
        </w:rPr>
      </w:pPr>
      <w:r>
        <w:rPr>
          <w:rFonts w:hint="eastAsia"/>
          <w:highlight w:val="none"/>
        </w:rPr>
        <w:t>应优先选择不确定性较低的参数、情景和模型。</w:t>
      </w:r>
    </w:p>
    <w:p>
      <w:pPr>
        <w:pStyle w:val="13"/>
        <w:widowControl/>
        <w:kinsoku w:val="0"/>
        <w:autoSpaceDE w:val="0"/>
        <w:autoSpaceDN w:val="0"/>
        <w:snapToGrid w:val="0"/>
        <w:spacing w:before="71" w:after="0" w:line="270" w:lineRule="auto"/>
        <w:ind w:left="828" w:right="2" w:hanging="459"/>
        <w:jc w:val="left"/>
        <w:textAlignment w:val="baseline"/>
        <w:rPr>
          <w:highlight w:val="none"/>
        </w:rPr>
      </w:pPr>
      <w:r>
        <w:rPr>
          <w:rFonts w:hint="eastAsia" w:ascii="黑体" w:hAnsi="黑体" w:eastAsia="黑体" w:cs="黑体"/>
          <w:snapToGrid w:val="0"/>
          <w:color w:val="000000"/>
          <w:spacing w:val="2"/>
          <w:kern w:val="0"/>
          <w:sz w:val="18"/>
          <w:szCs w:val="18"/>
          <w:lang w:val="en-US" w:eastAsia="zh-CN"/>
        </w:rPr>
        <w:t>注：</w:t>
      </w:r>
      <w:r>
        <w:rPr>
          <w:rFonts w:hint="eastAsia" w:ascii="宋体" w:hAnsi="Times New Roman" w:eastAsia="宋体" w:cs="Times New Roman"/>
          <w:sz w:val="18"/>
          <w:szCs w:val="18"/>
          <w:highlight w:val="none"/>
          <w:lang w:val="en-US" w:eastAsia="en-US" w:bidi="ar-SA"/>
        </w:rPr>
        <w:t>不确定性包括参数（如排放因子、活动数据）、情景（如使用阶段情景或生命末期阶段情景）及模型的不确定性。</w:t>
      </w:r>
    </w:p>
    <w:p>
      <w:pPr>
        <w:pStyle w:val="106"/>
        <w:spacing w:before="156" w:after="156"/>
        <w:rPr>
          <w:highlight w:val="none"/>
        </w:rPr>
      </w:pPr>
      <w:r>
        <w:rPr>
          <w:rFonts w:hint="eastAsia"/>
          <w:highlight w:val="none"/>
        </w:rPr>
        <w:t>数据收集要求</w:t>
      </w:r>
    </w:p>
    <w:p>
      <w:pPr>
        <w:pStyle w:val="66"/>
        <w:bidi w:val="0"/>
        <w:rPr>
          <w:highlight w:val="none"/>
        </w:rPr>
      </w:pPr>
      <w:r>
        <w:rPr>
          <w:rFonts w:hint="eastAsia"/>
          <w:highlight w:val="none"/>
          <w:lang w:val="en-US" w:eastAsia="zh-CN"/>
        </w:rPr>
        <w:t>总体要求</w:t>
      </w:r>
    </w:p>
    <w:p>
      <w:pPr>
        <w:pStyle w:val="95"/>
        <w:bidi w:val="0"/>
        <w:rPr>
          <w:rFonts w:hint="eastAsia" w:ascii="宋体" w:hAnsi="宋体" w:eastAsia="宋体" w:cs="Times New Roman"/>
          <w:sz w:val="21"/>
          <w:highlight w:val="none"/>
          <w:lang w:val="en-US" w:eastAsia="zh-CN" w:bidi="ar-SA"/>
        </w:rPr>
      </w:pPr>
      <w:r>
        <w:rPr>
          <w:rFonts w:hint="eastAsia" w:ascii="宋体" w:hAnsi="宋体" w:eastAsia="宋体" w:cs="Times New Roman"/>
          <w:sz w:val="21"/>
          <w:highlight w:val="none"/>
          <w:lang w:val="en-US" w:eastAsia="zh-CN" w:bidi="ar-SA"/>
        </w:rPr>
        <w:t>丝绸面料产品生命周期碳足迹评价中使用的活动数据应优先使用初级数据，在无法获得完整的初级数据时，可使用次级数据。</w:t>
      </w:r>
    </w:p>
    <w:p>
      <w:pPr>
        <w:pStyle w:val="95"/>
        <w:bidi w:val="0"/>
        <w:rPr>
          <w:rFonts w:hint="eastAsia" w:ascii="宋体" w:hAnsi="宋体" w:eastAsia="宋体" w:cs="Times New Roman"/>
          <w:sz w:val="21"/>
          <w:highlight w:val="none"/>
          <w:lang w:val="en-US" w:eastAsia="zh-CN" w:bidi="ar-SA"/>
        </w:rPr>
      </w:pPr>
      <w:r>
        <w:rPr>
          <w:rFonts w:hint="eastAsia" w:ascii="宋体" w:hAnsi="宋体" w:eastAsia="宋体" w:cs="Times New Roman"/>
          <w:sz w:val="21"/>
          <w:highlight w:val="none"/>
          <w:lang w:val="en-US" w:eastAsia="zh-CN" w:bidi="ar-SA"/>
        </w:rPr>
        <w:t>若单元过程的输入数据来自多个源头，应选择具有代表性的数据样本计算温室气体排放和清除。选取的数据应满足5.1规定的要求。</w:t>
      </w:r>
    </w:p>
    <w:p>
      <w:pPr>
        <w:pStyle w:val="95"/>
        <w:bidi w:val="0"/>
        <w:rPr>
          <w:rFonts w:hint="eastAsia" w:ascii="宋体" w:hAnsi="宋体" w:eastAsia="宋体" w:cs="Times New Roman"/>
          <w:sz w:val="21"/>
          <w:highlight w:val="none"/>
          <w:lang w:val="en-US" w:eastAsia="zh-CN" w:bidi="ar-SA"/>
        </w:rPr>
      </w:pPr>
      <w:r>
        <w:rPr>
          <w:rFonts w:hint="eastAsia" w:ascii="宋体" w:hAnsi="宋体" w:eastAsia="宋体" w:cs="Times New Roman"/>
          <w:sz w:val="21"/>
          <w:highlight w:val="none"/>
          <w:lang w:val="en-US" w:eastAsia="zh-CN" w:bidi="ar-SA"/>
        </w:rPr>
        <w:t>若单一原辅材料来自多个供应商时，应收集所有供应商的初级数据。若获取初级数据存在较大困难，应至少收集供应原辅材料数量50%及以上的或具有代表性的供应商的初级数据，其加权平均值可作为无法获取相关初级数据供应商的次级数据。</w:t>
      </w:r>
    </w:p>
    <w:p>
      <w:pPr>
        <w:pStyle w:val="95"/>
        <w:bidi w:val="0"/>
        <w:rPr>
          <w:rFonts w:hint="eastAsia" w:ascii="宋体" w:hAnsi="宋体" w:eastAsia="宋体" w:cs="Times New Roman"/>
          <w:sz w:val="21"/>
          <w:highlight w:val="none"/>
          <w:lang w:val="en-US" w:eastAsia="zh-CN" w:bidi="ar-SA"/>
        </w:rPr>
      </w:pPr>
      <w:r>
        <w:rPr>
          <w:rFonts w:hint="eastAsia" w:ascii="宋体" w:hAnsi="宋体" w:eastAsia="宋体" w:cs="Times New Roman"/>
          <w:sz w:val="21"/>
          <w:highlight w:val="none"/>
          <w:lang w:val="en-US" w:eastAsia="zh-CN" w:bidi="ar-SA"/>
        </w:rPr>
        <w:t>若产品运输路线多于一条，应收集所有路线的初级数据。若收集所有初级数据存在困难，则应收集销售量占总销售量50%及以上的或具有代表性的主要销售点的运输路线，其加权平均值可作为无法取得数据的路线的次级数据。</w:t>
      </w:r>
    </w:p>
    <w:p>
      <w:pPr>
        <w:pStyle w:val="66"/>
        <w:spacing w:before="156" w:after="156"/>
        <w:rPr>
          <w:color w:val="auto"/>
          <w:highlight w:val="none"/>
        </w:rPr>
      </w:pPr>
      <w:r>
        <w:rPr>
          <w:rFonts w:hint="eastAsia"/>
          <w:color w:val="auto"/>
          <w:highlight w:val="none"/>
          <w:lang w:eastAsia="zh-CN"/>
        </w:rPr>
        <w:t>原辅材料获取与加工</w:t>
      </w:r>
      <w:r>
        <w:rPr>
          <w:rFonts w:hint="eastAsia"/>
          <w:color w:val="auto"/>
          <w:highlight w:val="none"/>
        </w:rPr>
        <w:t>阶段</w:t>
      </w:r>
    </w:p>
    <w:p>
      <w:pPr>
        <w:pStyle w:val="95"/>
        <w:bidi w:val="0"/>
        <w:rPr>
          <w:rFonts w:hint="eastAsia" w:ascii="宋体" w:hAnsi="宋体" w:eastAsia="宋体" w:cs="Times New Roman"/>
          <w:color w:val="auto"/>
          <w:sz w:val="21"/>
          <w:highlight w:val="none"/>
          <w:lang w:val="en-US" w:eastAsia="zh-CN" w:bidi="ar-SA"/>
        </w:rPr>
      </w:pPr>
      <w:r>
        <w:rPr>
          <w:rFonts w:hint="eastAsia" w:ascii="宋体" w:hAnsi="宋体" w:eastAsia="宋体" w:cs="Times New Roman"/>
          <w:color w:val="auto"/>
          <w:sz w:val="21"/>
          <w:highlight w:val="none"/>
          <w:lang w:val="en-US" w:eastAsia="zh-CN" w:bidi="ar-SA"/>
        </w:rPr>
        <w:t>原辅材料获取与加工和运输阶段在数据可获得的情况下应优先选用初级数据，在初级数据不可获得的情况下可采用次级数据。应结合企业自身实际对一级供应商的生产过程进行调研，而非直接采用数据库的数据。</w:t>
      </w:r>
    </w:p>
    <w:p>
      <w:pPr>
        <w:pStyle w:val="95"/>
        <w:bidi w:val="0"/>
        <w:rPr>
          <w:color w:val="auto"/>
          <w:highlight w:val="none"/>
        </w:rPr>
      </w:pPr>
      <w:r>
        <w:rPr>
          <w:rFonts w:hint="eastAsia" w:ascii="宋体" w:eastAsia="宋体" w:cs="Times New Roman"/>
          <w:color w:val="auto"/>
          <w:sz w:val="21"/>
          <w:highlight w:val="none"/>
          <w:lang w:val="en-US" w:eastAsia="zh-CN" w:bidi="ar-SA"/>
        </w:rPr>
        <w:t>可采用的初级数据主要包括：</w:t>
      </w:r>
    </w:p>
    <w:p>
      <w:pPr>
        <w:pStyle w:val="175"/>
        <w:numPr>
          <w:ilvl w:val="0"/>
          <w:numId w:val="42"/>
        </w:numPr>
        <w:ind w:left="850" w:hanging="425"/>
        <w:rPr>
          <w:rFonts w:hint="eastAsia"/>
          <w:highlight w:val="none"/>
          <w:lang w:val="en-US" w:eastAsia="zh-CN"/>
        </w:rPr>
      </w:pPr>
      <w:r>
        <w:rPr>
          <w:rFonts w:hint="eastAsia"/>
          <w:highlight w:val="none"/>
          <w:lang w:val="en-US" w:eastAsia="zh-CN"/>
        </w:rPr>
        <w:t>各类原辅材料的投入量；</w:t>
      </w:r>
    </w:p>
    <w:p>
      <w:pPr>
        <w:pStyle w:val="175"/>
        <w:numPr>
          <w:ilvl w:val="0"/>
          <w:numId w:val="42"/>
        </w:numPr>
        <w:ind w:left="850" w:hanging="425"/>
        <w:rPr>
          <w:rFonts w:hint="eastAsia"/>
          <w:highlight w:val="none"/>
          <w:lang w:val="en-US" w:eastAsia="zh-CN"/>
        </w:rPr>
      </w:pPr>
      <w:r>
        <w:rPr>
          <w:rFonts w:hint="eastAsia"/>
          <w:highlight w:val="none"/>
          <w:lang w:val="en-US" w:eastAsia="zh-CN"/>
        </w:rPr>
        <w:t>化石燃料、电力、热力等能源和水消耗量；</w:t>
      </w:r>
    </w:p>
    <w:p>
      <w:pPr>
        <w:pStyle w:val="175"/>
        <w:numPr>
          <w:ilvl w:val="0"/>
          <w:numId w:val="42"/>
        </w:numPr>
        <w:ind w:left="850" w:hanging="425"/>
        <w:rPr>
          <w:rFonts w:hint="eastAsia"/>
          <w:highlight w:val="none"/>
          <w:lang w:val="en-US" w:eastAsia="zh-CN"/>
        </w:rPr>
      </w:pPr>
      <w:r>
        <w:rPr>
          <w:rFonts w:hint="eastAsia"/>
          <w:highlight w:val="none"/>
          <w:lang w:val="en-US" w:eastAsia="zh-CN"/>
        </w:rPr>
        <w:t>废水、废气、固体废物去处理的原辅材料投入量；</w:t>
      </w:r>
    </w:p>
    <w:p>
      <w:pPr>
        <w:pStyle w:val="175"/>
        <w:numPr>
          <w:ilvl w:val="0"/>
          <w:numId w:val="42"/>
        </w:numPr>
        <w:ind w:left="850" w:hanging="425"/>
        <w:rPr>
          <w:rFonts w:hint="eastAsia"/>
          <w:highlight w:val="none"/>
          <w:lang w:val="en-US" w:eastAsia="zh-CN"/>
        </w:rPr>
      </w:pPr>
      <w:r>
        <w:rPr>
          <w:rFonts w:hint="eastAsia"/>
          <w:highlight w:val="none"/>
          <w:lang w:val="en-US" w:eastAsia="zh-CN"/>
        </w:rPr>
        <w:t>蚕丝、染料助剂的产量。</w:t>
      </w:r>
    </w:p>
    <w:p>
      <w:pPr>
        <w:pStyle w:val="175"/>
        <w:numPr>
          <w:ilvl w:val="0"/>
          <w:numId w:val="42"/>
        </w:numPr>
        <w:ind w:left="850" w:hanging="425"/>
        <w:rPr>
          <w:rFonts w:hint="eastAsia"/>
          <w:highlight w:val="none"/>
          <w:lang w:val="en-US" w:eastAsia="zh-CN"/>
        </w:rPr>
      </w:pPr>
      <w:r>
        <w:rPr>
          <w:rFonts w:hint="eastAsia"/>
          <w:highlight w:val="none"/>
          <w:lang w:val="en-US" w:eastAsia="zh-CN"/>
        </w:rPr>
        <w:t>原辅材料生产过程中废气、废水、固体废弃物的产生量。</w:t>
      </w:r>
    </w:p>
    <w:p>
      <w:pPr>
        <w:pStyle w:val="95"/>
        <w:spacing w:before="156" w:after="156"/>
        <w:rPr>
          <w:highlight w:val="none"/>
        </w:rPr>
      </w:pPr>
      <w:r>
        <w:rPr>
          <w:rFonts w:hint="eastAsia" w:ascii="宋体" w:eastAsia="宋体" w:cs="Times New Roman"/>
          <w:color w:val="auto"/>
          <w:sz w:val="21"/>
          <w:highlight w:val="none"/>
          <w:lang w:val="en-US" w:eastAsia="zh-CN" w:bidi="ar-SA"/>
        </w:rPr>
        <w:t>可采用的次级数据主要包括</w:t>
      </w:r>
      <w:r>
        <w:rPr>
          <w:rFonts w:hint="eastAsia" w:ascii="宋体" w:hAnsi="Times New Roman" w:eastAsia="宋体" w:cs="Times New Roman"/>
          <w:sz w:val="21"/>
          <w:highlight w:val="none"/>
          <w:lang w:val="en-US" w:eastAsia="zh-CN" w:bidi="ar-SA"/>
        </w:rPr>
        <w:t>：</w:t>
      </w:r>
    </w:p>
    <w:p>
      <w:pPr>
        <w:pStyle w:val="175"/>
        <w:numPr>
          <w:ilvl w:val="0"/>
          <w:numId w:val="43"/>
        </w:numPr>
        <w:ind w:left="850" w:hanging="425"/>
        <w:rPr>
          <w:highlight w:val="none"/>
        </w:rPr>
      </w:pPr>
      <w:r>
        <w:rPr>
          <w:rFonts w:hint="eastAsia"/>
          <w:highlight w:val="none"/>
          <w:lang w:val="en-US" w:eastAsia="zh-CN"/>
        </w:rPr>
        <w:t>原辅材料从摇篮到大门的温室气体排放与清除因子</w:t>
      </w:r>
      <w:r>
        <w:rPr>
          <w:rFonts w:hint="eastAsia"/>
          <w:highlight w:val="none"/>
        </w:rPr>
        <w:t>；</w:t>
      </w:r>
    </w:p>
    <w:p>
      <w:pPr>
        <w:pStyle w:val="175"/>
        <w:numPr>
          <w:ilvl w:val="0"/>
          <w:numId w:val="43"/>
        </w:numPr>
        <w:ind w:left="850" w:hanging="425"/>
        <w:rPr>
          <w:highlight w:val="none"/>
        </w:rPr>
      </w:pPr>
      <w:r>
        <w:rPr>
          <w:rFonts w:hint="eastAsia"/>
          <w:highlight w:val="none"/>
          <w:lang w:val="en-US" w:eastAsia="zh-CN"/>
        </w:rPr>
        <w:t>染料助剂及其他辅助、包装材料从摇篮到大门</w:t>
      </w:r>
      <w:r>
        <w:rPr>
          <w:rFonts w:hint="eastAsia"/>
          <w:highlight w:val="none"/>
        </w:rPr>
        <w:t>的温室气体排放与清除</w:t>
      </w:r>
      <w:r>
        <w:rPr>
          <w:rFonts w:hint="eastAsia"/>
          <w:highlight w:val="none"/>
          <w:lang w:val="en-US" w:eastAsia="zh-CN"/>
        </w:rPr>
        <w:t>因子</w:t>
      </w:r>
      <w:r>
        <w:rPr>
          <w:rFonts w:hint="eastAsia"/>
          <w:highlight w:val="none"/>
        </w:rPr>
        <w:t>；</w:t>
      </w:r>
    </w:p>
    <w:p>
      <w:pPr>
        <w:pStyle w:val="175"/>
        <w:numPr>
          <w:ilvl w:val="0"/>
          <w:numId w:val="43"/>
        </w:numPr>
        <w:ind w:left="850" w:hanging="425"/>
        <w:rPr>
          <w:highlight w:val="none"/>
        </w:rPr>
      </w:pPr>
      <w:r>
        <w:rPr>
          <w:rFonts w:hint="eastAsia"/>
          <w:highlight w:val="none"/>
          <w:lang w:val="en-US" w:eastAsia="zh-CN"/>
        </w:rPr>
        <w:t>化石燃料、电力、热力等能源和水</w:t>
      </w:r>
      <w:r>
        <w:rPr>
          <w:rFonts w:hint="eastAsia"/>
          <w:highlight w:val="none"/>
        </w:rPr>
        <w:t>的温室气体排放与清除</w:t>
      </w:r>
      <w:r>
        <w:rPr>
          <w:rFonts w:hint="eastAsia"/>
          <w:highlight w:val="none"/>
          <w:lang w:val="en-US" w:eastAsia="zh-CN"/>
        </w:rPr>
        <w:t>因子</w:t>
      </w:r>
      <w:r>
        <w:rPr>
          <w:rFonts w:hint="eastAsia"/>
          <w:highlight w:val="none"/>
        </w:rPr>
        <w:t>；</w:t>
      </w:r>
    </w:p>
    <w:p>
      <w:pPr>
        <w:pStyle w:val="175"/>
        <w:numPr>
          <w:ilvl w:val="0"/>
          <w:numId w:val="43"/>
        </w:numPr>
        <w:ind w:left="850" w:hanging="425"/>
        <w:rPr>
          <w:rFonts w:ascii="Times New Roman"/>
          <w:highlight w:val="none"/>
        </w:rPr>
      </w:pPr>
      <w:r>
        <w:rPr>
          <w:rFonts w:hint="eastAsia" w:ascii="Times New Roman"/>
          <w:highlight w:val="none"/>
          <w:lang w:val="en-US" w:eastAsia="zh-CN"/>
        </w:rPr>
        <w:t>废水、废气、固体废弃物处理过程中的温室气体排放与清除因子</w:t>
      </w:r>
      <w:r>
        <w:rPr>
          <w:rFonts w:hint="eastAsia" w:ascii="Times New Roman"/>
          <w:highlight w:val="none"/>
        </w:rPr>
        <w:t>。</w:t>
      </w:r>
    </w:p>
    <w:p>
      <w:pPr>
        <w:pStyle w:val="66"/>
        <w:bidi w:val="0"/>
        <w:rPr>
          <w:highlight w:val="none"/>
        </w:rPr>
      </w:pPr>
      <w:r>
        <w:rPr>
          <w:rFonts w:hint="eastAsia"/>
          <w:highlight w:val="none"/>
          <w:lang w:val="en-US" w:eastAsia="zh-CN"/>
        </w:rPr>
        <w:t>原辅材料运输阶段</w:t>
      </w:r>
    </w:p>
    <w:p>
      <w:pPr>
        <w:pStyle w:val="95"/>
        <w:spacing w:before="156" w:after="156" w:line="240" w:lineRule="auto"/>
        <w:rPr>
          <w:rFonts w:hint="eastAsia" w:ascii="宋体" w:eastAsia="宋体" w:cs="Times New Roman"/>
          <w:sz w:val="21"/>
          <w:highlight w:val="none"/>
          <w:lang w:val="en-US" w:eastAsia="zh-CN" w:bidi="ar-SA"/>
        </w:rPr>
      </w:pPr>
      <w:r>
        <w:rPr>
          <w:rFonts w:hint="eastAsia" w:ascii="宋体" w:eastAsia="宋体" w:cs="Times New Roman"/>
          <w:sz w:val="21"/>
          <w:highlight w:val="none"/>
          <w:lang w:val="en-US" w:eastAsia="zh-CN" w:bidi="ar-SA"/>
        </w:rPr>
        <w:t>应收集原辅材料运输阶段的初级数据，可行时应包括；</w:t>
      </w:r>
    </w:p>
    <w:p>
      <w:pPr>
        <w:pStyle w:val="175"/>
        <w:numPr>
          <w:ilvl w:val="0"/>
          <w:numId w:val="44"/>
        </w:numPr>
        <w:ind w:left="850" w:hanging="425"/>
        <w:rPr>
          <w:rFonts w:hint="eastAsia"/>
          <w:lang w:val="en-US" w:eastAsia="zh-CN"/>
        </w:rPr>
      </w:pPr>
      <w:r>
        <w:rPr>
          <w:rFonts w:hint="eastAsia"/>
          <w:lang w:val="en-US" w:eastAsia="zh-CN"/>
        </w:rPr>
        <w:t>进入生产企业的原辅材料和包装材料的运输方式；</w:t>
      </w:r>
    </w:p>
    <w:p>
      <w:pPr>
        <w:pStyle w:val="175"/>
        <w:numPr>
          <w:ilvl w:val="0"/>
          <w:numId w:val="44"/>
        </w:numPr>
        <w:ind w:left="850" w:hanging="425"/>
        <w:rPr>
          <w:rFonts w:hint="eastAsia"/>
          <w:lang w:val="en-US" w:eastAsia="zh-CN"/>
        </w:rPr>
      </w:pPr>
      <w:r>
        <w:rPr>
          <w:rFonts w:hint="eastAsia"/>
          <w:lang w:val="en-US" w:eastAsia="zh-CN"/>
        </w:rPr>
        <w:t>每种运输方式的运输数量和重量；</w:t>
      </w:r>
    </w:p>
    <w:p>
      <w:pPr>
        <w:pStyle w:val="175"/>
        <w:numPr>
          <w:ilvl w:val="0"/>
          <w:numId w:val="44"/>
        </w:numPr>
        <w:ind w:left="850" w:hanging="425"/>
        <w:rPr>
          <w:rFonts w:hint="eastAsia"/>
          <w:lang w:val="en-US" w:eastAsia="zh-CN"/>
        </w:rPr>
      </w:pPr>
      <w:r>
        <w:rPr>
          <w:rFonts w:hint="eastAsia"/>
          <w:lang w:val="en-US" w:eastAsia="zh-CN"/>
        </w:rPr>
        <w:t>每种运输方式的吨公里数或里程数；</w:t>
      </w:r>
    </w:p>
    <w:p>
      <w:pPr>
        <w:pStyle w:val="175"/>
        <w:numPr>
          <w:ilvl w:val="0"/>
          <w:numId w:val="44"/>
        </w:numPr>
        <w:ind w:left="850" w:hanging="425"/>
        <w:rPr>
          <w:rFonts w:hint="eastAsia"/>
          <w:lang w:val="en-US" w:eastAsia="zh-CN"/>
        </w:rPr>
      </w:pPr>
      <w:r>
        <w:rPr>
          <w:rFonts w:hint="eastAsia"/>
          <w:lang w:val="en-US" w:eastAsia="zh-CN"/>
        </w:rPr>
        <w:t>每种运输方式的能源消耗量，或其它可计算获得能源消耗量的数据。</w:t>
      </w:r>
    </w:p>
    <w:p>
      <w:pPr>
        <w:pStyle w:val="95"/>
        <w:numPr>
          <w:ilvl w:val="4"/>
          <w:numId w:val="0"/>
        </w:numPr>
        <w:spacing w:before="156" w:after="156"/>
        <w:ind w:leftChars="0" w:firstLine="360" w:firstLineChars="200"/>
        <w:rPr>
          <w:highlight w:val="none"/>
        </w:rPr>
      </w:pPr>
      <w:r>
        <w:rPr>
          <w:rFonts w:hint="eastAsia" w:ascii="黑体" w:hAnsi="黑体" w:eastAsia="黑体" w:cs="黑体"/>
          <w:sz w:val="18"/>
          <w:szCs w:val="18"/>
          <w:highlight w:val="none"/>
          <w:lang w:val="en-US" w:eastAsia="zh-CN" w:bidi="ar-SA"/>
        </w:rPr>
        <w:t>注：</w:t>
      </w:r>
      <w:r>
        <w:rPr>
          <w:rFonts w:hint="eastAsia" w:ascii="宋体" w:hAnsi="Times New Roman" w:eastAsia="宋体" w:cs="Times New Roman"/>
          <w:sz w:val="18"/>
          <w:szCs w:val="18"/>
          <w:highlight w:val="none"/>
          <w:lang w:val="en-US" w:eastAsia="zh-CN" w:bidi="ar-SA"/>
        </w:rPr>
        <w:t>其它可计算获得能源消耗量的数据包括单位距离能源消耗量和运输距离、运输费用和能源单价等</w:t>
      </w:r>
    </w:p>
    <w:p>
      <w:pPr>
        <w:pStyle w:val="95"/>
        <w:spacing w:before="156" w:after="156"/>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原辅材料运输相关的温室气体排放与清除因子可使用次级数据</w:t>
      </w:r>
      <w:r>
        <w:rPr>
          <w:rFonts w:hint="eastAsia" w:ascii="宋体" w:eastAsia="宋体" w:cs="Times New Roman"/>
          <w:sz w:val="21"/>
          <w:highlight w:val="none"/>
          <w:lang w:val="en-US" w:eastAsia="zh-CN" w:bidi="ar-SA"/>
        </w:rPr>
        <w:t>。</w:t>
      </w:r>
    </w:p>
    <w:p>
      <w:pPr>
        <w:pStyle w:val="66"/>
        <w:bidi w:val="0"/>
        <w:rPr>
          <w:highlight w:val="none"/>
        </w:rPr>
      </w:pPr>
      <w:r>
        <w:rPr>
          <w:rFonts w:hint="eastAsia"/>
          <w:highlight w:val="none"/>
          <w:lang w:val="en-US" w:eastAsia="zh-CN"/>
        </w:rPr>
        <w:t>产品生产阶段</w:t>
      </w:r>
    </w:p>
    <w:p>
      <w:pPr>
        <w:pStyle w:val="95"/>
        <w:spacing w:before="156" w:after="156"/>
        <w:rPr>
          <w:highlight w:val="none"/>
        </w:rPr>
      </w:pPr>
      <w:r>
        <w:rPr>
          <w:rFonts w:hint="eastAsia" w:ascii="宋体" w:hAnsi="Times New Roman" w:eastAsia="宋体" w:cs="Times New Roman"/>
          <w:sz w:val="21"/>
          <w:highlight w:val="none"/>
          <w:lang w:val="en-US" w:eastAsia="zh-CN" w:bidi="ar-SA"/>
        </w:rPr>
        <w:t>应收集</w:t>
      </w:r>
      <w:r>
        <w:rPr>
          <w:rFonts w:hint="eastAsia" w:ascii="宋体" w:eastAsia="宋体" w:cs="Times New Roman"/>
          <w:sz w:val="21"/>
          <w:highlight w:val="none"/>
          <w:lang w:val="en-US" w:eastAsia="zh-CN" w:bidi="ar-SA"/>
        </w:rPr>
        <w:t>生产阶段的</w:t>
      </w:r>
      <w:r>
        <w:rPr>
          <w:rFonts w:hint="eastAsia" w:ascii="宋体" w:hAnsi="Times New Roman" w:eastAsia="宋体" w:cs="Times New Roman"/>
          <w:sz w:val="21"/>
          <w:highlight w:val="none"/>
          <w:lang w:val="en-US" w:eastAsia="zh-CN" w:bidi="ar-SA"/>
        </w:rPr>
        <w:t>初级数据</w:t>
      </w:r>
      <w:r>
        <w:rPr>
          <w:rFonts w:hint="eastAsia" w:ascii="宋体" w:eastAsia="宋体" w:cs="Times New Roman"/>
          <w:sz w:val="21"/>
          <w:highlight w:val="none"/>
          <w:lang w:val="en-US" w:eastAsia="zh-CN" w:bidi="ar-SA"/>
        </w:rPr>
        <w:t>，可行时</w:t>
      </w:r>
      <w:r>
        <w:rPr>
          <w:rFonts w:hint="eastAsia" w:ascii="宋体" w:hAnsi="Times New Roman" w:eastAsia="宋体" w:cs="Times New Roman"/>
          <w:sz w:val="21"/>
          <w:highlight w:val="none"/>
          <w:lang w:val="en-US" w:eastAsia="zh-CN" w:bidi="ar-SA"/>
        </w:rPr>
        <w:t>包括：</w:t>
      </w:r>
    </w:p>
    <w:p>
      <w:pPr>
        <w:pStyle w:val="175"/>
        <w:numPr>
          <w:ilvl w:val="0"/>
          <w:numId w:val="45"/>
        </w:numPr>
        <w:ind w:left="850" w:hanging="425"/>
        <w:rPr>
          <w:rFonts w:hint="eastAsia"/>
          <w:lang w:val="en-US" w:eastAsia="zh-CN"/>
        </w:rPr>
      </w:pPr>
      <w:r>
        <w:rPr>
          <w:rFonts w:hint="eastAsia"/>
          <w:lang w:val="en-US" w:eastAsia="zh-CN"/>
        </w:rPr>
        <w:t>干蚕、鲜蚕投入量；</w:t>
      </w:r>
    </w:p>
    <w:p>
      <w:pPr>
        <w:pStyle w:val="175"/>
        <w:numPr>
          <w:ilvl w:val="0"/>
          <w:numId w:val="45"/>
        </w:numPr>
        <w:ind w:left="850" w:hanging="425"/>
        <w:rPr>
          <w:rFonts w:hint="eastAsia"/>
          <w:lang w:val="en-US" w:eastAsia="zh-CN"/>
        </w:rPr>
      </w:pPr>
      <w:r>
        <w:rPr>
          <w:rFonts w:hint="eastAsia"/>
          <w:lang w:val="en-US" w:eastAsia="zh-CN"/>
        </w:rPr>
        <w:t>缫丝、织造、印染辅料投入量；</w:t>
      </w:r>
    </w:p>
    <w:p>
      <w:pPr>
        <w:pStyle w:val="175"/>
        <w:numPr>
          <w:ilvl w:val="0"/>
          <w:numId w:val="45"/>
        </w:numPr>
        <w:ind w:left="850" w:hanging="425"/>
        <w:rPr>
          <w:rFonts w:hint="eastAsia"/>
          <w:lang w:val="en-US" w:eastAsia="zh-CN"/>
        </w:rPr>
      </w:pPr>
      <w:r>
        <w:rPr>
          <w:rFonts w:hint="eastAsia"/>
          <w:lang w:val="en-US" w:eastAsia="zh-CN"/>
        </w:rPr>
        <w:t>染料助剂的投入量；</w:t>
      </w:r>
    </w:p>
    <w:p>
      <w:pPr>
        <w:pStyle w:val="175"/>
        <w:numPr>
          <w:ilvl w:val="0"/>
          <w:numId w:val="45"/>
        </w:numPr>
        <w:ind w:left="850" w:hanging="425"/>
        <w:rPr>
          <w:rFonts w:hint="eastAsia"/>
          <w:lang w:val="en-US" w:eastAsia="zh-CN"/>
        </w:rPr>
      </w:pPr>
      <w:r>
        <w:rPr>
          <w:rFonts w:hint="eastAsia"/>
          <w:lang w:val="en-US" w:eastAsia="zh-CN"/>
        </w:rPr>
        <w:t>其他辅料（包括废水和废气处理的原辅材料）投入量；</w:t>
      </w:r>
    </w:p>
    <w:p>
      <w:pPr>
        <w:pStyle w:val="175"/>
        <w:numPr>
          <w:ilvl w:val="0"/>
          <w:numId w:val="45"/>
        </w:numPr>
        <w:ind w:left="850" w:hanging="425"/>
        <w:rPr>
          <w:rFonts w:hint="eastAsia"/>
          <w:lang w:val="en-US" w:eastAsia="zh-CN"/>
        </w:rPr>
      </w:pPr>
      <w:r>
        <w:rPr>
          <w:rFonts w:hint="eastAsia"/>
          <w:lang w:val="en-US" w:eastAsia="zh-CN"/>
        </w:rPr>
        <w:t>包装材料投入量；</w:t>
      </w:r>
    </w:p>
    <w:p>
      <w:pPr>
        <w:pStyle w:val="175"/>
        <w:numPr>
          <w:ilvl w:val="0"/>
          <w:numId w:val="45"/>
        </w:numPr>
        <w:ind w:left="850" w:hanging="425"/>
        <w:rPr>
          <w:rFonts w:hint="eastAsia"/>
          <w:lang w:val="en-US" w:eastAsia="zh-CN"/>
        </w:rPr>
      </w:pPr>
      <w:r>
        <w:rPr>
          <w:rFonts w:hint="eastAsia"/>
          <w:lang w:val="en-US" w:eastAsia="zh-CN"/>
        </w:rPr>
        <w:t>化石燃料、电力、热力等能源和水的消耗量；</w:t>
      </w:r>
    </w:p>
    <w:p>
      <w:pPr>
        <w:pStyle w:val="175"/>
        <w:numPr>
          <w:ilvl w:val="0"/>
          <w:numId w:val="45"/>
        </w:numPr>
        <w:ind w:left="850" w:hanging="425"/>
        <w:rPr>
          <w:rFonts w:hint="eastAsia"/>
          <w:lang w:val="en-US" w:eastAsia="zh-CN"/>
        </w:rPr>
      </w:pPr>
      <w:r>
        <w:rPr>
          <w:rFonts w:hint="eastAsia"/>
          <w:lang w:val="en-US" w:eastAsia="zh-CN"/>
        </w:rPr>
        <w:t>丝绸面料产出量；</w:t>
      </w:r>
    </w:p>
    <w:p>
      <w:pPr>
        <w:pStyle w:val="175"/>
        <w:numPr>
          <w:ilvl w:val="0"/>
          <w:numId w:val="45"/>
        </w:numPr>
        <w:ind w:left="850" w:hanging="425"/>
        <w:rPr>
          <w:rFonts w:hint="eastAsia"/>
          <w:lang w:val="en-US" w:eastAsia="zh-CN"/>
        </w:rPr>
      </w:pPr>
      <w:r>
        <w:rPr>
          <w:rFonts w:hint="eastAsia"/>
          <w:lang w:val="en-US" w:eastAsia="zh-CN"/>
        </w:rPr>
        <w:t>废水、固体废弃物和废气的产生量。</w:t>
      </w:r>
    </w:p>
    <w:p>
      <w:pPr>
        <w:pStyle w:val="95"/>
        <w:spacing w:before="156" w:after="156"/>
        <w:rPr>
          <w:highlight w:val="none"/>
        </w:rPr>
      </w:pPr>
      <w:r>
        <w:rPr>
          <w:rFonts w:hint="eastAsia" w:ascii="宋体" w:eastAsia="宋体" w:cs="Times New Roman"/>
          <w:sz w:val="21"/>
          <w:highlight w:val="none"/>
          <w:lang w:val="en-US" w:eastAsia="zh-CN" w:bidi="ar-SA"/>
        </w:rPr>
        <w:t>可使用次级数据主要</w:t>
      </w:r>
      <w:r>
        <w:rPr>
          <w:rFonts w:hint="eastAsia" w:ascii="宋体" w:hAnsi="Times New Roman" w:eastAsia="宋体" w:cs="Times New Roman"/>
          <w:sz w:val="21"/>
          <w:highlight w:val="none"/>
          <w:lang w:val="en-US" w:eastAsia="zh-CN" w:bidi="ar-SA"/>
        </w:rPr>
        <w:t>包括</w:t>
      </w:r>
      <w:r>
        <w:rPr>
          <w:rFonts w:hint="eastAsia"/>
          <w:highlight w:val="none"/>
        </w:rPr>
        <w:t>：</w:t>
      </w:r>
    </w:p>
    <w:p>
      <w:pPr>
        <w:pStyle w:val="175"/>
        <w:numPr>
          <w:ilvl w:val="0"/>
          <w:numId w:val="46"/>
        </w:numPr>
        <w:ind w:left="850" w:hanging="425"/>
        <w:rPr>
          <w:rFonts w:hint="eastAsia"/>
          <w:lang w:val="en-US" w:eastAsia="zh-CN"/>
        </w:rPr>
      </w:pPr>
      <w:r>
        <w:rPr>
          <w:rFonts w:hint="eastAsia"/>
          <w:lang w:val="en-US" w:eastAsia="zh-CN"/>
        </w:rPr>
        <w:t>能源和水消耗相关的温室气体排放与清除因子；</w:t>
      </w:r>
    </w:p>
    <w:p>
      <w:pPr>
        <w:pStyle w:val="175"/>
        <w:numPr>
          <w:ilvl w:val="0"/>
          <w:numId w:val="46"/>
        </w:numPr>
        <w:ind w:left="850" w:hanging="425"/>
        <w:rPr>
          <w:rFonts w:hint="eastAsia"/>
          <w:lang w:val="en-US" w:eastAsia="zh-CN"/>
        </w:rPr>
      </w:pPr>
      <w:r>
        <w:rPr>
          <w:rFonts w:hint="eastAsia"/>
          <w:lang w:val="en-US" w:eastAsia="zh-CN"/>
        </w:rPr>
        <w:t>废气、废水和固体废弃物处理相关的温室气体排放与清除因子。</w:t>
      </w:r>
    </w:p>
    <w:p>
      <w:pPr>
        <w:pStyle w:val="95"/>
        <w:spacing w:before="156" w:after="156"/>
        <w:rPr>
          <w:rFonts w:ascii="宋体" w:hAnsi="宋体" w:eastAsia="宋体"/>
          <w:highlight w:val="none"/>
        </w:rPr>
      </w:pPr>
      <w:r>
        <w:rPr>
          <w:rFonts w:hint="eastAsia" w:ascii="宋体" w:hAnsi="宋体" w:eastAsia="宋体"/>
          <w:highlight w:val="none"/>
        </w:rPr>
        <w:t>对于部分生产过程外包的企业，外包企业生产部分的温室气体排放计算应使用初级数据。</w:t>
      </w:r>
    </w:p>
    <w:p>
      <w:pPr>
        <w:pStyle w:val="66"/>
        <w:spacing w:before="156" w:after="156"/>
        <w:rPr>
          <w:highlight w:val="none"/>
        </w:rPr>
      </w:pPr>
      <w:r>
        <w:rPr>
          <w:rFonts w:hint="eastAsia"/>
          <w:highlight w:val="none"/>
          <w:lang w:val="en-US" w:eastAsia="zh-CN"/>
        </w:rPr>
        <w:t>下游存储与分销阶段</w:t>
      </w:r>
    </w:p>
    <w:p>
      <w:pPr>
        <w:pStyle w:val="95"/>
        <w:spacing w:before="156" w:after="156"/>
        <w:rPr>
          <w:highlight w:val="none"/>
        </w:rPr>
      </w:pPr>
      <w:r>
        <w:rPr>
          <w:rFonts w:hint="eastAsia"/>
          <w:highlight w:val="none"/>
        </w:rPr>
        <w:t>初级数据</w:t>
      </w:r>
      <w:r>
        <w:rPr>
          <w:rFonts w:hint="eastAsia"/>
          <w:highlight w:val="none"/>
          <w:lang w:val="en-US" w:eastAsia="zh-CN"/>
        </w:rPr>
        <w:t>收集</w:t>
      </w:r>
    </w:p>
    <w:p>
      <w:pPr>
        <w:pStyle w:val="175"/>
        <w:numPr>
          <w:ilvl w:val="0"/>
          <w:numId w:val="0"/>
        </w:numPr>
        <w:spacing w:line="240" w:lineRule="auto"/>
        <w:ind w:left="425" w:leftChars="0"/>
        <w:rPr>
          <w:rFonts w:hint="default" w:eastAsia="宋体"/>
          <w:highlight w:val="none"/>
          <w:lang w:val="en-US" w:eastAsia="zh-CN"/>
        </w:rPr>
      </w:pPr>
      <w:r>
        <w:rPr>
          <w:rFonts w:hint="eastAsia"/>
          <w:highlight w:val="none"/>
          <w:lang w:val="en-US" w:eastAsia="zh-CN"/>
        </w:rPr>
        <w:t>应收集下游存储与分销阶段的初级数据，可行时应包括：</w:t>
      </w:r>
    </w:p>
    <w:p>
      <w:pPr>
        <w:pStyle w:val="175"/>
        <w:numPr>
          <w:ilvl w:val="0"/>
          <w:numId w:val="47"/>
        </w:numPr>
        <w:spacing w:line="240" w:lineRule="auto"/>
        <w:rPr>
          <w:highlight w:val="none"/>
        </w:rPr>
      </w:pPr>
      <w:r>
        <w:rPr>
          <w:rFonts w:hint="eastAsia"/>
          <w:highlight w:val="none"/>
        </w:rPr>
        <w:t>每种运输方式的产品运输数量</w:t>
      </w:r>
      <w:r>
        <w:rPr>
          <w:rFonts w:hint="eastAsia"/>
          <w:highlight w:val="none"/>
          <w:lang w:val="en-US" w:eastAsia="zh-CN"/>
        </w:rPr>
        <w:t>和重量</w:t>
      </w:r>
      <w:r>
        <w:rPr>
          <w:rFonts w:hint="eastAsia"/>
          <w:highlight w:val="none"/>
        </w:rPr>
        <w:t>；</w:t>
      </w:r>
    </w:p>
    <w:p>
      <w:pPr>
        <w:pStyle w:val="175"/>
        <w:numPr>
          <w:ilvl w:val="0"/>
          <w:numId w:val="47"/>
        </w:numPr>
        <w:spacing w:line="240" w:lineRule="auto"/>
        <w:rPr>
          <w:highlight w:val="none"/>
        </w:rPr>
      </w:pPr>
      <w:r>
        <w:rPr>
          <w:rFonts w:hint="eastAsia"/>
          <w:highlight w:val="none"/>
        </w:rPr>
        <w:t>每种运输方式的吨公里数</w:t>
      </w:r>
      <w:r>
        <w:rPr>
          <w:rFonts w:hint="eastAsia"/>
          <w:highlight w:val="none"/>
          <w:lang w:val="en-US" w:eastAsia="zh-CN"/>
        </w:rPr>
        <w:t>或里程数</w:t>
      </w:r>
      <w:r>
        <w:rPr>
          <w:rFonts w:hint="eastAsia"/>
          <w:highlight w:val="none"/>
        </w:rPr>
        <w:t>；</w:t>
      </w:r>
    </w:p>
    <w:p>
      <w:pPr>
        <w:pStyle w:val="175"/>
        <w:numPr>
          <w:ilvl w:val="0"/>
          <w:numId w:val="47"/>
        </w:numPr>
        <w:spacing w:line="240" w:lineRule="auto"/>
        <w:rPr>
          <w:rFonts w:ascii="Times New Roman"/>
        </w:rPr>
      </w:pPr>
      <w:r>
        <w:rPr>
          <w:rFonts w:ascii="Times New Roman"/>
          <w:highlight w:val="none"/>
        </w:rPr>
        <w:t>每种运输方式的</w:t>
      </w:r>
      <w:r>
        <w:rPr>
          <w:rFonts w:hint="eastAsia" w:ascii="Times New Roman"/>
          <w:highlight w:val="none"/>
          <w:lang w:eastAsia="zh-CN"/>
        </w:rPr>
        <w:t>能源</w:t>
      </w:r>
      <w:r>
        <w:rPr>
          <w:rFonts w:ascii="Times New Roman"/>
          <w:highlight w:val="none"/>
        </w:rPr>
        <w:t>消耗量，或其它可计算获得</w:t>
      </w:r>
      <w:r>
        <w:rPr>
          <w:rFonts w:hint="eastAsia" w:ascii="Times New Roman"/>
          <w:highlight w:val="none"/>
          <w:lang w:eastAsia="zh-CN"/>
        </w:rPr>
        <w:t>能源</w:t>
      </w:r>
      <w:r>
        <w:rPr>
          <w:rFonts w:ascii="Times New Roman"/>
        </w:rPr>
        <w:t>消耗量的数据。</w:t>
      </w:r>
    </w:p>
    <w:p>
      <w:pPr>
        <w:pStyle w:val="180"/>
      </w:pPr>
      <w:r>
        <w:rPr>
          <w:rFonts w:hint="eastAsia"/>
        </w:rPr>
        <w:t>其它可计算获得</w:t>
      </w:r>
      <w:r>
        <w:rPr>
          <w:rFonts w:hint="eastAsia"/>
          <w:lang w:eastAsia="zh-CN"/>
        </w:rPr>
        <w:t>能源</w:t>
      </w:r>
      <w:r>
        <w:rPr>
          <w:rFonts w:hint="eastAsia"/>
        </w:rPr>
        <w:t>消耗量的数据包括单位距离</w:t>
      </w:r>
      <w:r>
        <w:rPr>
          <w:rFonts w:hint="eastAsia"/>
          <w:lang w:eastAsia="zh-CN"/>
        </w:rPr>
        <w:t>能源</w:t>
      </w:r>
      <w:r>
        <w:rPr>
          <w:rFonts w:hint="eastAsia"/>
        </w:rPr>
        <w:t>消耗量和运输距离、运输费用和</w:t>
      </w:r>
      <w:r>
        <w:rPr>
          <w:rFonts w:hint="eastAsia"/>
          <w:lang w:eastAsia="zh-CN"/>
        </w:rPr>
        <w:t>能源</w:t>
      </w:r>
      <w:r>
        <w:rPr>
          <w:rFonts w:hint="eastAsia"/>
        </w:rPr>
        <w:t>单价等。</w:t>
      </w:r>
    </w:p>
    <w:p>
      <w:pPr>
        <w:pStyle w:val="95"/>
        <w:spacing w:before="156" w:after="156"/>
        <w:rPr>
          <w:rFonts w:hint="eastAsia" w:ascii="宋体" w:hAnsi="Times New Roman" w:eastAsia="宋体" w:cs="Times New Roman"/>
          <w:sz w:val="21"/>
          <w:lang w:val="en-US" w:eastAsia="zh-CN" w:bidi="ar-SA"/>
        </w:rPr>
      </w:pPr>
      <w:r>
        <w:rPr>
          <w:rFonts w:hint="eastAsia"/>
        </w:rPr>
        <w:t>次级数据</w:t>
      </w:r>
      <w:r>
        <w:rPr>
          <w:rFonts w:hint="eastAsia"/>
          <w:lang w:val="en-US" w:eastAsia="zh-CN"/>
        </w:rPr>
        <w:t>收集</w:t>
      </w:r>
    </w:p>
    <w:p>
      <w:pPr>
        <w:pStyle w:val="95"/>
        <w:numPr>
          <w:ilvl w:val="4"/>
          <w:numId w:val="0"/>
        </w:numPr>
        <w:spacing w:before="156" w:after="156"/>
        <w:ind w:leftChars="0" w:firstLine="420" w:firstLineChars="20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运输相关的温室气体排放因子，</w:t>
      </w:r>
      <w:r>
        <w:rPr>
          <w:rFonts w:hint="eastAsia" w:ascii="宋体" w:eastAsia="宋体" w:cs="Times New Roman"/>
          <w:sz w:val="21"/>
          <w:lang w:val="en-US" w:eastAsia="zh-CN" w:bidi="ar-SA"/>
        </w:rPr>
        <w:t>能源</w:t>
      </w:r>
      <w:r>
        <w:rPr>
          <w:rFonts w:hint="eastAsia" w:ascii="宋体" w:hAnsi="Times New Roman" w:eastAsia="宋体" w:cs="Times New Roman"/>
          <w:sz w:val="21"/>
          <w:lang w:val="en-US" w:eastAsia="zh-CN" w:bidi="ar-SA"/>
        </w:rPr>
        <w:t>、电力等能源消耗相关的温室气体排放因子。</w:t>
      </w:r>
    </w:p>
    <w:p>
      <w:pPr>
        <w:pStyle w:val="180"/>
        <w:rPr>
          <w:rFonts w:hint="eastAsia"/>
        </w:rPr>
      </w:pPr>
      <w:r>
        <w:rPr>
          <w:rFonts w:hint="eastAsia"/>
          <w:lang w:val="en-US" w:eastAsia="zh-CN"/>
        </w:rPr>
        <w:t>单元过程数据收集表模板参见附录A。</w:t>
      </w:r>
    </w:p>
    <w:p>
      <w:pPr>
        <w:pStyle w:val="106"/>
        <w:spacing w:before="156" w:after="156"/>
        <w:rPr>
          <w:rFonts w:hint="eastAsia"/>
          <w:highlight w:val="none"/>
        </w:rPr>
      </w:pPr>
      <w:r>
        <w:rPr>
          <w:rFonts w:hint="eastAsia"/>
          <w:highlight w:val="none"/>
          <w:lang w:val="en-US" w:eastAsia="zh-CN"/>
        </w:rPr>
        <w:t>数据质量评价</w:t>
      </w:r>
    </w:p>
    <w:p>
      <w:pPr>
        <w:pStyle w:val="66"/>
        <w:spacing w:before="156" w:after="156"/>
        <w:rPr>
          <w:rFonts w:hint="eastAsia" w:ascii="宋体" w:hAnsi="Times New Roman" w:eastAsia="宋体" w:cs="Times New Roman"/>
          <w:sz w:val="21"/>
          <w:highlight w:val="none"/>
          <w:lang w:val="en-US" w:eastAsia="zh-CN" w:bidi="ar-SA"/>
        </w:rPr>
      </w:pPr>
      <w:r>
        <w:rPr>
          <w:rFonts w:hint="eastAsia" w:ascii="宋体" w:eastAsia="宋体" w:cs="Times New Roman"/>
          <w:sz w:val="21"/>
          <w:highlight w:val="none"/>
          <w:lang w:val="en-US" w:eastAsia="zh-CN" w:bidi="ar-SA"/>
        </w:rPr>
        <w:t>丝绸</w:t>
      </w:r>
      <w:r>
        <w:rPr>
          <w:rFonts w:hint="eastAsia" w:ascii="宋体" w:hAnsi="Times New Roman" w:eastAsia="宋体" w:cs="Times New Roman"/>
          <w:sz w:val="21"/>
          <w:highlight w:val="none"/>
          <w:lang w:val="en-US" w:eastAsia="zh-CN" w:bidi="ar-SA"/>
        </w:rPr>
        <w:t>面料碳足迹评价报告中需要对使用的数据进行数据质量评价。具体评价方法应符合附录</w:t>
      </w:r>
      <w:r>
        <w:rPr>
          <w:rFonts w:hint="eastAsia" w:ascii="宋体" w:eastAsia="宋体" w:cs="Times New Roman"/>
          <w:sz w:val="21"/>
          <w:highlight w:val="none"/>
          <w:lang w:val="en-US" w:eastAsia="zh-CN" w:bidi="ar-SA"/>
        </w:rPr>
        <w:t>B</w:t>
      </w:r>
      <w:r>
        <w:rPr>
          <w:rFonts w:hint="eastAsia" w:ascii="宋体" w:hAnsi="Times New Roman" w:eastAsia="宋体" w:cs="Times New Roman"/>
          <w:sz w:val="21"/>
          <w:highlight w:val="none"/>
          <w:lang w:val="en-US" w:eastAsia="zh-CN" w:bidi="ar-SA"/>
        </w:rPr>
        <w:t>的要求。</w:t>
      </w:r>
    </w:p>
    <w:p>
      <w:pPr>
        <w:pStyle w:val="66"/>
        <w:spacing w:before="156" w:after="156"/>
        <w:rPr>
          <w:rFonts w:hint="default"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在进行产品碳足迹评价过程中，如使用数据库中的数据（次级数据）时，覆盖70%的碳排放所包含的数据质量评分应≥3。</w:t>
      </w:r>
    </w:p>
    <w:p>
      <w:pPr>
        <w:pStyle w:val="106"/>
        <w:spacing w:before="156" w:after="156"/>
        <w:rPr>
          <w:rFonts w:hint="eastAsia"/>
          <w:highlight w:val="none"/>
        </w:rPr>
      </w:pPr>
      <w:r>
        <w:rPr>
          <w:rFonts w:ascii="黑体" w:hAnsi="宋体" w:eastAsia="黑体" w:cs="黑体"/>
          <w:color w:val="000000"/>
          <w:kern w:val="0"/>
          <w:sz w:val="20"/>
          <w:szCs w:val="20"/>
          <w:highlight w:val="none"/>
          <w:lang w:val="en-US" w:eastAsia="zh-CN" w:bidi="ar"/>
        </w:rPr>
        <w:t>数据库的选用</w:t>
      </w:r>
    </w:p>
    <w:p>
      <w:pPr>
        <w:pStyle w:val="66"/>
        <w:spacing w:before="156" w:after="156"/>
        <w:rPr>
          <w:highlight w:val="none"/>
        </w:rPr>
      </w:pPr>
      <w:r>
        <w:rPr>
          <w:rFonts w:hint="eastAsia" w:ascii="宋体" w:hAnsi="宋体" w:eastAsia="宋体" w:cs="宋体"/>
          <w:color w:val="000000"/>
          <w:kern w:val="0"/>
          <w:sz w:val="21"/>
          <w:szCs w:val="21"/>
          <w:highlight w:val="none"/>
          <w:lang w:val="en-US" w:eastAsia="zh-CN" w:bidi="ar"/>
        </w:rPr>
        <w:t>数据库的选择应当遵循以下原则：</w:t>
      </w:r>
    </w:p>
    <w:p>
      <w:pPr>
        <w:pStyle w:val="175"/>
        <w:numPr>
          <w:ilvl w:val="0"/>
          <w:numId w:val="48"/>
        </w:numPr>
        <w:spacing w:line="240" w:lineRule="auto"/>
        <w:rPr>
          <w:rFonts w:hint="eastAsia" w:ascii="Times New Roman"/>
          <w:spacing w:val="-4"/>
          <w:highlight w:val="none"/>
          <w:lang w:val="en-US" w:eastAsia="zh-CN"/>
        </w:rPr>
      </w:pPr>
      <w:r>
        <w:rPr>
          <w:rFonts w:hint="eastAsia" w:ascii="Times New Roman"/>
          <w:spacing w:val="-4"/>
          <w:highlight w:val="none"/>
          <w:lang w:val="en-US" w:eastAsia="zh-CN"/>
        </w:rPr>
        <w:t>完整性：数据库应该涵盖IPCC规定的温室气体种类；数据库所提供的数据应具有完整的全生</w:t>
      </w:r>
    </w:p>
    <w:p>
      <w:pPr>
        <w:pStyle w:val="175"/>
        <w:numPr>
          <w:ilvl w:val="0"/>
          <w:numId w:val="0"/>
        </w:numPr>
        <w:spacing w:line="240" w:lineRule="auto"/>
        <w:ind w:left="425" w:leftChars="0" w:firstLine="404" w:firstLineChars="200"/>
        <w:rPr>
          <w:rFonts w:hint="eastAsia" w:ascii="Times New Roman"/>
          <w:spacing w:val="-4"/>
          <w:highlight w:val="none"/>
          <w:lang w:val="en-US" w:eastAsia="zh-CN"/>
        </w:rPr>
      </w:pPr>
      <w:r>
        <w:rPr>
          <w:rFonts w:hint="eastAsia" w:ascii="Times New Roman"/>
          <w:spacing w:val="-4"/>
          <w:highlight w:val="none"/>
          <w:lang w:val="en-US" w:eastAsia="zh-CN"/>
        </w:rPr>
        <w:t>命周期碳足迹核算范围；</w:t>
      </w:r>
    </w:p>
    <w:p>
      <w:pPr>
        <w:pStyle w:val="175"/>
        <w:numPr>
          <w:ilvl w:val="0"/>
          <w:numId w:val="48"/>
        </w:numPr>
        <w:spacing w:line="240" w:lineRule="auto"/>
        <w:rPr>
          <w:rFonts w:hint="eastAsia" w:ascii="Times New Roman"/>
          <w:spacing w:val="-4"/>
          <w:highlight w:val="none"/>
          <w:lang w:val="en-US" w:eastAsia="zh-CN"/>
        </w:rPr>
      </w:pPr>
      <w:r>
        <w:rPr>
          <w:rFonts w:hint="eastAsia" w:ascii="Times New Roman"/>
          <w:spacing w:val="-4"/>
          <w:highlight w:val="none"/>
          <w:lang w:val="en-US" w:eastAsia="zh-CN"/>
        </w:rPr>
        <w:t>透明性：数据库应有公开的数据库指南，用于说明数据库开发的方法。此外，数据库的每个</w:t>
      </w:r>
    </w:p>
    <w:p>
      <w:pPr>
        <w:pStyle w:val="175"/>
        <w:numPr>
          <w:ilvl w:val="0"/>
          <w:numId w:val="0"/>
        </w:numPr>
        <w:spacing w:line="240" w:lineRule="auto"/>
        <w:ind w:left="425" w:leftChars="0" w:firstLine="404" w:firstLineChars="200"/>
        <w:rPr>
          <w:rFonts w:hint="eastAsia" w:ascii="Times New Roman"/>
          <w:spacing w:val="-4"/>
          <w:highlight w:val="none"/>
          <w:lang w:val="en-US" w:eastAsia="zh-CN"/>
        </w:rPr>
      </w:pPr>
      <w:r>
        <w:rPr>
          <w:rFonts w:hint="eastAsia" w:ascii="Times New Roman"/>
          <w:spacing w:val="-4"/>
          <w:highlight w:val="none"/>
          <w:lang w:val="en-US" w:eastAsia="zh-CN"/>
        </w:rPr>
        <w:t>数据集应有完整的文档，包括模型完整性和数据代表性，数据来源和同行评审意见。</w:t>
      </w:r>
    </w:p>
    <w:p>
      <w:pPr>
        <w:pStyle w:val="66"/>
        <w:spacing w:before="156" w:after="156"/>
        <w:rPr>
          <w:rFonts w:hint="eastAsia" w:ascii="黑体" w:hAnsi="Times New Roman" w:eastAsia="黑体" w:cs="Times New Roman"/>
          <w:kern w:val="0"/>
          <w:sz w:val="21"/>
          <w:szCs w:val="20"/>
          <w:highlight w:val="none"/>
          <w:lang w:val="en-US" w:eastAsia="zh-CN" w:bidi="ar-SA"/>
        </w:rPr>
      </w:pPr>
      <w:r>
        <w:rPr>
          <w:rFonts w:hint="eastAsia" w:ascii="宋体" w:hAnsi="宋体" w:eastAsia="宋体" w:cs="宋体"/>
          <w:color w:val="000000"/>
          <w:kern w:val="0"/>
          <w:sz w:val="21"/>
          <w:szCs w:val="21"/>
          <w:highlight w:val="none"/>
          <w:lang w:val="en-US" w:eastAsia="zh-CN" w:bidi="ar"/>
        </w:rPr>
        <w:t>产品碳足迹评价过程中的数据库选用，应遵循以下优先级：</w:t>
      </w:r>
    </w:p>
    <w:p>
      <w:pPr>
        <w:pStyle w:val="175"/>
        <w:numPr>
          <w:ilvl w:val="0"/>
          <w:numId w:val="49"/>
        </w:numPr>
        <w:spacing w:line="240" w:lineRule="auto"/>
        <w:rPr>
          <w:rFonts w:hint="eastAsia" w:ascii="Times New Roman"/>
          <w:spacing w:val="-4"/>
          <w:highlight w:val="none"/>
          <w:lang w:val="en-US" w:eastAsia="zh-CN"/>
        </w:rPr>
      </w:pPr>
      <w:r>
        <w:rPr>
          <w:rFonts w:hint="eastAsia" w:ascii="Times New Roman"/>
          <w:spacing w:val="-4"/>
          <w:highlight w:val="none"/>
          <w:lang w:val="en-US" w:eastAsia="zh-CN"/>
        </w:rPr>
        <w:t>第一优先级为本地数据库；</w:t>
      </w:r>
    </w:p>
    <w:p>
      <w:pPr>
        <w:pStyle w:val="175"/>
        <w:numPr>
          <w:ilvl w:val="0"/>
          <w:numId w:val="49"/>
        </w:numPr>
        <w:spacing w:line="240" w:lineRule="auto"/>
        <w:rPr>
          <w:rFonts w:hint="eastAsia" w:ascii="Times New Roman"/>
          <w:spacing w:val="-4"/>
          <w:highlight w:val="none"/>
          <w:lang w:val="en-US" w:eastAsia="zh-CN"/>
        </w:rPr>
      </w:pPr>
      <w:r>
        <w:rPr>
          <w:rFonts w:hint="eastAsia" w:ascii="Times New Roman"/>
          <w:spacing w:val="-4"/>
          <w:highlight w:val="none"/>
          <w:lang w:val="en-US" w:eastAsia="zh-CN"/>
        </w:rPr>
        <w:t>其次为本国数据库；</w:t>
      </w:r>
    </w:p>
    <w:p>
      <w:pPr>
        <w:pStyle w:val="175"/>
        <w:numPr>
          <w:ilvl w:val="0"/>
          <w:numId w:val="49"/>
        </w:numPr>
        <w:spacing w:line="240" w:lineRule="auto"/>
        <w:rPr>
          <w:rFonts w:hint="eastAsia" w:ascii="Times New Roman"/>
          <w:spacing w:val="-4"/>
          <w:highlight w:val="none"/>
          <w:lang w:val="en-US" w:eastAsia="zh-CN"/>
        </w:rPr>
      </w:pPr>
      <w:r>
        <w:rPr>
          <w:rFonts w:hint="eastAsia" w:ascii="Times New Roman"/>
          <w:spacing w:val="-4"/>
          <w:highlight w:val="none"/>
          <w:lang w:val="en-US" w:eastAsia="zh-CN"/>
        </w:rPr>
        <w:t>再次为国外数据库（应包括本国在内的区域平均数据或全球平均数据）。</w:t>
      </w:r>
    </w:p>
    <w:p>
      <w:pPr>
        <w:pStyle w:val="105"/>
        <w:spacing w:before="312" w:after="312"/>
        <w:rPr>
          <w:rFonts w:hint="default"/>
          <w:highlight w:val="none"/>
          <w:lang w:val="en-US" w:eastAsia="zh-CN"/>
        </w:rPr>
      </w:pPr>
      <w:bookmarkStart w:id="44" w:name="_Toc13014"/>
      <w:bookmarkStart w:id="45" w:name="_Toc17560"/>
      <w:r>
        <w:rPr>
          <w:rFonts w:hint="eastAsia"/>
          <w:highlight w:val="none"/>
        </w:rPr>
        <w:t>产品碳足迹的量化与评价</w:t>
      </w:r>
      <w:bookmarkEnd w:id="44"/>
      <w:bookmarkEnd w:id="45"/>
    </w:p>
    <w:p>
      <w:pPr>
        <w:pStyle w:val="106"/>
        <w:spacing w:before="156" w:after="156"/>
        <w:rPr>
          <w:highlight w:val="none"/>
        </w:rPr>
      </w:pPr>
      <w:r>
        <w:rPr>
          <w:rFonts w:hint="eastAsia"/>
          <w:highlight w:val="none"/>
        </w:rPr>
        <w:t>产品</w:t>
      </w:r>
      <w:r>
        <w:rPr>
          <w:rFonts w:hint="eastAsia"/>
          <w:highlight w:val="none"/>
          <w:lang w:eastAsia="zh-CN"/>
        </w:rPr>
        <w:t>碳足迹</w:t>
      </w:r>
      <w:r>
        <w:rPr>
          <w:rFonts w:hint="eastAsia"/>
          <w:highlight w:val="none"/>
          <w:lang w:val="en-US" w:eastAsia="zh-CN"/>
        </w:rPr>
        <w:t>核算</w:t>
      </w:r>
    </w:p>
    <w:p>
      <w:pPr>
        <w:pStyle w:val="66"/>
        <w:spacing w:before="156" w:after="156"/>
        <w:rPr>
          <w:highlight w:val="none"/>
        </w:rPr>
      </w:pPr>
      <w:r>
        <w:rPr>
          <w:rFonts w:hint="eastAsia"/>
          <w:highlight w:val="none"/>
        </w:rPr>
        <w:t>产品</w:t>
      </w:r>
      <w:r>
        <w:rPr>
          <w:rFonts w:hint="eastAsia"/>
          <w:highlight w:val="none"/>
          <w:lang w:val="en-US" w:eastAsia="zh-CN"/>
        </w:rPr>
        <w:t>碳足迹</w:t>
      </w:r>
    </w:p>
    <w:p>
      <w:pPr>
        <w:pStyle w:val="95"/>
        <w:spacing w:before="156" w:after="156"/>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丝绸面料产品碳足迹的核算应包括原辅材料获取加工阶段、产品生产阶段、原辅材料运输阶段涉及的所有单元过程，计算见公式（1）：</w:t>
      </w:r>
    </w:p>
    <w:p>
      <w:pPr>
        <w:pStyle w:val="235"/>
        <w:ind w:firstLine="0" w:firstLineChars="0"/>
        <w:jc w:val="center"/>
        <w:rPr>
          <w:rFonts w:hint="eastAsia" w:hAnsi="宋体" w:eastAsia="宋体"/>
          <w:highlight w:val="none"/>
          <w:lang w:eastAsia="zh-CN"/>
        </w:rPr>
      </w:pPr>
      <w:r>
        <w:rPr>
          <w:rFonts w:hint="eastAsia" w:hAnsi="Cambria Math"/>
          <w:i w:val="0"/>
          <w:highlight w:val="none"/>
          <w:lang w:val="en-US" w:eastAsia="zh-CN"/>
        </w:rPr>
        <w:tab/>
      </w:r>
      <m:oMath>
        <m:sSub>
          <m:sSubPr>
            <m:ctrlPr>
              <w:rPr>
                <w:rFonts w:ascii="Cambria Math" w:hAnsi="Cambria Math"/>
                <w:i/>
                <w:highlight w:val="none"/>
              </w:rPr>
            </m:ctrlPr>
          </m:sSubPr>
          <m:e>
            <m:r>
              <m:rPr/>
              <w:rPr>
                <w:rFonts w:hint="default" w:ascii="Cambria Math" w:hAnsi="Cambria Math"/>
                <w:highlight w:val="none"/>
                <w:lang w:val="en-US"/>
              </w:rPr>
              <m:t>CFP</m:t>
            </m:r>
            <m:ctrlPr>
              <w:rPr>
                <w:rFonts w:ascii="Cambria Math" w:hAnsi="Cambria Math"/>
                <w:i/>
                <w:highlight w:val="none"/>
              </w:rPr>
            </m:ctrlPr>
          </m:e>
          <m:sub>
            <m:r>
              <m:rPr/>
              <w:rPr>
                <w:rFonts w:hint="eastAsia" w:ascii="Cambria Math" w:hAnsi="Cambria Math"/>
                <w:highlight w:val="none"/>
                <w:lang w:val="en-US" w:eastAsia="zh-CN"/>
              </w:rPr>
              <m:t>产品</m:t>
            </m:r>
            <m:ctrlPr>
              <w:rPr>
                <w:rFonts w:ascii="Cambria Math" w:hAnsi="Cambria Math"/>
                <w:i/>
                <w:highlight w:val="none"/>
              </w:rPr>
            </m:ctrlPr>
          </m:sub>
        </m:sSub>
        <m:r>
          <m:rPr/>
          <w:rPr>
            <w:rFonts w:ascii="Cambria Math" w:hAnsi="Cambria Math"/>
            <w:highlight w:val="none"/>
          </w:rPr>
          <m:t>=</m:t>
        </m:r>
        <m:f>
          <m:fPr>
            <m:ctrlPr>
              <w:rPr>
                <w:rFonts w:ascii="Cambria Math" w:hAnsi="Cambria Math"/>
                <w:i/>
                <w:highlight w:val="none"/>
              </w:rPr>
            </m:ctrlPr>
          </m:fPr>
          <m:num>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运输</m:t>
                </m:r>
                <m:ctrlPr>
                  <w:rPr>
                    <w:rFonts w:ascii="Cambria Math" w:hAnsi="Cambria Math"/>
                    <w:i/>
                    <w:highlight w:val="none"/>
                  </w:rPr>
                </m:ctrlPr>
              </m:sub>
            </m:sSub>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生产</m:t>
                </m:r>
                <m:ctrlPr>
                  <w:rPr>
                    <w:rFonts w:ascii="Cambria Math" w:hAnsi="Cambria Math"/>
                    <w:i/>
                    <w:highlight w:val="none"/>
                  </w:rPr>
                </m:ctrlPr>
              </m:sub>
            </m:sSub>
            <m:ctrlPr>
              <w:rPr>
                <w:rFonts w:ascii="Cambria Math" w:hAnsi="Cambria Math"/>
                <w:i/>
                <w:highlight w:val="none"/>
              </w:rPr>
            </m:ctrlPr>
          </m:num>
          <m:den>
            <m:r>
              <m:rPr/>
              <w:rPr>
                <w:rFonts w:hint="default" w:ascii="Cambria Math" w:hAnsi="Cambria Math"/>
                <w:highlight w:val="none"/>
                <w:lang w:val="en-US" w:eastAsia="zh-CN"/>
              </w:rPr>
              <m:t>Q</m:t>
            </m:r>
            <m:ctrlPr>
              <w:rPr>
                <w:rFonts w:ascii="Cambria Math" w:hAnsi="Cambria Math"/>
                <w:i/>
                <w:highlight w:val="none"/>
              </w:rPr>
            </m:ctrlPr>
          </m:den>
        </m:f>
        <m:r>
          <m:rPr/>
          <w:rPr>
            <w:rFonts w:hint="default" w:ascii="Cambria Math" w:hAnsi="Cambria Math"/>
            <w:highlight w:val="none"/>
            <w:lang w:val="en-US" w:eastAsia="zh-CN"/>
          </w:rPr>
          <m:t>+</m:t>
        </m:r>
        <m:nary>
          <m:naryPr>
            <m:chr m:val="∑"/>
            <m:limLoc m:val="undOvr"/>
            <m:subHide m:val="true"/>
            <m:supHide m:val="true"/>
            <m:ctrlPr>
              <w:rPr>
                <w:rFonts w:ascii="Cambria Math" w:hAnsi="Cambria Math"/>
                <w:i/>
                <w:highlight w:val="none"/>
              </w:rPr>
            </m:ctrlPr>
          </m:naryPr>
          <m:sub>
            <m:ctrlPr>
              <w:rPr>
                <w:rFonts w:ascii="Cambria Math" w:hAnsi="Cambria Math"/>
                <w:i/>
                <w:highlight w:val="none"/>
              </w:rPr>
            </m:ctrlPr>
          </m:sub>
          <m:sup>
            <m:ctrlPr>
              <w:rPr>
                <w:rFonts w:ascii="Cambria Math" w:hAnsi="Cambria Math"/>
                <w:i/>
                <w:highlight w:val="none"/>
              </w:rPr>
            </m:ctrlPr>
          </m:sup>
          <m:e>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原辅材料</m:t>
                </m:r>
                <m:ctrlPr>
                  <w:rPr>
                    <w:rFonts w:ascii="Cambria Math" w:hAnsi="Cambria Math"/>
                    <w:i/>
                    <w:highlight w:val="none"/>
                  </w:rPr>
                </m:ctrlPr>
              </m:sub>
            </m:sSub>
            <m:ctrlPr>
              <w:rPr>
                <w:rFonts w:ascii="Cambria Math" w:hAnsi="Cambria Math"/>
                <w:i/>
                <w:highlight w:val="none"/>
              </w:rPr>
            </m:ctrlPr>
          </m:e>
        </m:nary>
      </m:oMath>
      <w:r>
        <w:rPr>
          <w:rFonts w:hint="eastAsia" w:hAnsi="Cambria Math"/>
          <w:i w:val="0"/>
          <w:highlight w:val="none"/>
          <w:lang w:val="en-US" w:eastAsia="zh-CN"/>
        </w:rPr>
        <w:tab/>
      </w:r>
      <w:r>
        <w:rPr>
          <w:rFonts w:hint="eastAsia" w:hAnsi="宋体"/>
          <w:highlight w:val="none"/>
          <w:lang w:eastAsia="zh-CN"/>
        </w:rPr>
        <w:t>（</w:t>
      </w:r>
      <w:r>
        <w:rPr>
          <w:rFonts w:hAnsi="宋体"/>
          <w:highlight w:val="none"/>
        </w:rPr>
        <w:t>1</w:t>
      </w:r>
      <w:r>
        <w:rPr>
          <w:rFonts w:hint="eastAsia" w:hAnsi="宋体"/>
          <w:highlight w:val="none"/>
          <w:lang w:eastAsia="zh-CN"/>
        </w:rPr>
        <w:t>）</w:t>
      </w:r>
    </w:p>
    <w:p>
      <w:pPr>
        <w:pStyle w:val="235"/>
        <w:rPr>
          <w:rFonts w:hAnsi="宋体"/>
          <w:highlight w:val="none"/>
        </w:rPr>
      </w:pPr>
      <w:r>
        <w:rPr>
          <w:rFonts w:hint="eastAsia" w:hAnsi="宋体"/>
          <w:highlight w:val="none"/>
        </w:rPr>
        <w:t>式中：</w:t>
      </w:r>
    </w:p>
    <w:p>
      <w:pPr>
        <w:pStyle w:val="235"/>
        <w:rPr>
          <w:rFonts w:hAnsi="宋体"/>
          <w:highlight w:val="none"/>
        </w:rPr>
      </w:pPr>
      <m:oMath>
        <m:sSub>
          <m:sSubPr>
            <m:ctrlPr>
              <w:rPr>
                <w:rFonts w:ascii="Cambria Math" w:hAnsi="Cambria Math"/>
                <w:i/>
                <w:highlight w:val="none"/>
              </w:rPr>
            </m:ctrlPr>
          </m:sSubPr>
          <m:e>
            <m:r>
              <m:rPr/>
              <w:rPr>
                <w:rFonts w:hint="default" w:ascii="Cambria Math" w:hAnsi="Cambria Math"/>
                <w:highlight w:val="none"/>
                <w:lang w:val="en-US"/>
              </w:rPr>
              <m:t>CFP</m:t>
            </m:r>
            <m:ctrlPr>
              <w:rPr>
                <w:rFonts w:ascii="Cambria Math" w:hAnsi="Cambria Math"/>
                <w:i/>
                <w:highlight w:val="none"/>
              </w:rPr>
            </m:ctrlPr>
          </m:e>
          <m:sub>
            <m:r>
              <m:rPr/>
              <w:rPr>
                <w:rFonts w:hint="eastAsia" w:ascii="Cambria Math" w:hAnsi="Cambria Math"/>
                <w:highlight w:val="none"/>
                <w:lang w:val="en-US" w:eastAsia="zh-CN"/>
              </w:rPr>
              <m:t>产品</m:t>
            </m:r>
            <m:ctrlPr>
              <w:rPr>
                <w:rFonts w:ascii="Cambria Math" w:hAnsi="Cambria Math"/>
                <w:i/>
                <w:highlight w:val="none"/>
              </w:rPr>
            </m:ctrlPr>
          </m:sub>
        </m:sSub>
      </m:oMath>
      <w:r>
        <w:rPr>
          <w:rFonts w:hint="eastAsia" w:hAnsi="宋体"/>
          <w:highlight w:val="none"/>
        </w:rPr>
        <w:t>——产品碳足迹，即声明单位</w:t>
      </w:r>
      <w:r>
        <w:rPr>
          <w:rFonts w:hint="eastAsia" w:hAnsi="宋体"/>
          <w:highlight w:val="none"/>
          <w:lang w:val="en-US" w:eastAsia="zh-CN"/>
        </w:rPr>
        <w:t>丝绸</w:t>
      </w:r>
      <w:r>
        <w:rPr>
          <w:rFonts w:hint="eastAsia" w:hAnsi="宋体"/>
          <w:highlight w:val="none"/>
        </w:rPr>
        <w:t>面料从摇篮到大门</w:t>
      </w:r>
      <w:r>
        <w:rPr>
          <w:rFonts w:hint="eastAsia" w:hAnsi="宋体"/>
          <w:highlight w:val="none"/>
          <w:lang w:val="en-US" w:eastAsia="zh-CN"/>
        </w:rPr>
        <w:t>的</w:t>
      </w:r>
      <w:r>
        <w:rPr>
          <w:rFonts w:hint="eastAsia" w:hAnsi="宋体"/>
          <w:highlight w:val="none"/>
        </w:rPr>
        <w:t>温室气体排放量（kgCO</w:t>
      </w:r>
      <w:r>
        <w:rPr>
          <w:rFonts w:hint="eastAsia" w:hAnsi="宋体"/>
          <w:highlight w:val="none"/>
          <w:vertAlign w:val="subscript"/>
        </w:rPr>
        <w:t>2</w:t>
      </w:r>
      <w:r>
        <w:rPr>
          <w:rFonts w:hint="eastAsia" w:hAnsi="宋体"/>
          <w:highlight w:val="none"/>
        </w:rPr>
        <w:t>e/m</w:t>
      </w:r>
      <w:r>
        <w:rPr>
          <w:rFonts w:hint="eastAsia" w:hAnsi="宋体"/>
          <w:highlight w:val="none"/>
          <w:vertAlign w:val="superscript"/>
        </w:rPr>
        <w:t>2</w:t>
      </w:r>
      <w:r>
        <w:rPr>
          <w:rFonts w:hint="eastAsia" w:hAnsi="宋体"/>
          <w:highlight w:val="none"/>
          <w:lang w:val="en-US" w:eastAsia="zh-CN"/>
        </w:rPr>
        <w:t>）</w:t>
      </w:r>
      <w:r>
        <w:rPr>
          <w:rFonts w:hint="eastAsia" w:hAnsi="宋体"/>
          <w:highlight w:val="none"/>
        </w:rPr>
        <w:t>；</w:t>
      </w:r>
    </w:p>
    <w:p>
      <w:pPr>
        <w:pStyle w:val="235"/>
        <w:rPr>
          <w:rFonts w:hAnsi="宋体"/>
          <w:highlight w:val="none"/>
        </w:rPr>
      </w:pP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原辅材料</m:t>
            </m:r>
            <m:ctrlPr>
              <w:rPr>
                <w:rFonts w:ascii="Cambria Math" w:hAnsi="Cambria Math"/>
                <w:i/>
                <w:highlight w:val="none"/>
              </w:rPr>
            </m:ctrlPr>
          </m:sub>
        </m:sSub>
      </m:oMath>
      <w:r>
        <w:rPr>
          <w:rFonts w:hint="eastAsia" w:hAnsi="宋体"/>
          <w:highlight w:val="none"/>
        </w:rPr>
        <w:t>——原辅材料在获取加工阶段产生的对应单位</w:t>
      </w:r>
      <w:r>
        <w:rPr>
          <w:rFonts w:hint="eastAsia" w:hAnsi="宋体"/>
          <w:highlight w:val="none"/>
          <w:lang w:val="en-US" w:eastAsia="zh-CN"/>
        </w:rPr>
        <w:t>丝绸</w:t>
      </w:r>
      <w:r>
        <w:rPr>
          <w:rFonts w:hint="eastAsia" w:hAnsi="宋体"/>
          <w:highlight w:val="none"/>
        </w:rPr>
        <w:t>面料产品的温室气体排放量（kgCO</w:t>
      </w:r>
      <w:r>
        <w:rPr>
          <w:rFonts w:hint="eastAsia" w:hAnsi="宋体"/>
          <w:highlight w:val="none"/>
          <w:vertAlign w:val="subscript"/>
        </w:rPr>
        <w:t>2</w:t>
      </w:r>
      <w:r>
        <w:rPr>
          <w:rFonts w:hint="eastAsia" w:hAnsi="宋体"/>
          <w:highlight w:val="none"/>
        </w:rPr>
        <w:t>e/m</w:t>
      </w:r>
      <w:r>
        <w:rPr>
          <w:rFonts w:hint="eastAsia" w:hAnsi="宋体"/>
          <w:highlight w:val="none"/>
          <w:vertAlign w:val="superscript"/>
        </w:rPr>
        <w:t>2</w:t>
      </w:r>
      <w:r>
        <w:rPr>
          <w:rFonts w:hint="eastAsia" w:hAnsi="宋体"/>
          <w:highlight w:val="none"/>
        </w:rPr>
        <w:t>）；</w:t>
      </w:r>
    </w:p>
    <w:p>
      <w:pPr>
        <w:pStyle w:val="235"/>
        <w:rPr>
          <w:rFonts w:hint="eastAsia"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运输</m:t>
            </m:r>
            <m:ctrlPr>
              <w:rPr>
                <w:rFonts w:ascii="Cambria Math" w:hAnsi="Cambria Math"/>
                <w:i/>
                <w:highlight w:val="none"/>
              </w:rPr>
            </m:ctrlPr>
          </m:sub>
        </m:sSub>
      </m:oMath>
      <w:r>
        <w:rPr>
          <w:rFonts w:hint="eastAsia" w:hAnsi="宋体"/>
          <w:highlight w:val="none"/>
        </w:rPr>
        <w:t>——原辅材料运输阶段</w:t>
      </w:r>
      <w:r>
        <w:rPr>
          <w:rFonts w:hint="eastAsia" w:hAnsi="宋体"/>
          <w:highlight w:val="none"/>
          <w:lang w:val="en-US" w:eastAsia="zh-CN"/>
        </w:rPr>
        <w:t>产生的</w:t>
      </w:r>
      <w:r>
        <w:rPr>
          <w:rFonts w:hint="eastAsia" w:hAnsi="宋体"/>
          <w:highlight w:val="none"/>
        </w:rPr>
        <w:t>温室气体排放量（kgCO</w:t>
      </w:r>
      <w:r>
        <w:rPr>
          <w:rFonts w:hint="eastAsia" w:hAnsi="宋体"/>
          <w:highlight w:val="none"/>
          <w:vertAlign w:val="subscript"/>
        </w:rPr>
        <w:t>2</w:t>
      </w:r>
      <w:r>
        <w:rPr>
          <w:rFonts w:hint="eastAsia" w:hAnsi="宋体"/>
          <w:highlight w:val="none"/>
        </w:rPr>
        <w:t>e）；</w:t>
      </w:r>
    </w:p>
    <w:p>
      <w:pPr>
        <w:pStyle w:val="235"/>
        <w:rPr>
          <w:rFonts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生产</m:t>
            </m:r>
            <m:ctrlPr>
              <w:rPr>
                <w:rFonts w:ascii="Cambria Math" w:hAnsi="Cambria Math"/>
                <w:i/>
                <w:highlight w:val="none"/>
              </w:rPr>
            </m:ctrlPr>
          </m:sub>
        </m:sSub>
      </m:oMath>
      <w:r>
        <w:rPr>
          <w:rFonts w:hint="eastAsia" w:hAnsi="宋体"/>
          <w:highlight w:val="none"/>
        </w:rPr>
        <w:t>——产品生产阶段温室气体排放量（kgCO</w:t>
      </w:r>
      <w:r>
        <w:rPr>
          <w:rFonts w:hint="eastAsia" w:hAnsi="宋体"/>
          <w:highlight w:val="none"/>
          <w:vertAlign w:val="subscript"/>
        </w:rPr>
        <w:t>2</w:t>
      </w:r>
      <w:r>
        <w:rPr>
          <w:rFonts w:hint="eastAsia" w:hAnsi="宋体"/>
          <w:highlight w:val="none"/>
        </w:rPr>
        <w:t>e）；</w:t>
      </w:r>
    </w:p>
    <w:p>
      <w:pPr>
        <w:pStyle w:val="235"/>
        <w:rPr>
          <w:rFonts w:hint="eastAsia" w:hAnsi="宋体"/>
          <w:highlight w:val="none"/>
          <w:lang w:eastAsia="zh-CN"/>
        </w:rPr>
      </w:pPr>
      <m:oMath>
        <m:r>
          <m:rPr/>
          <w:rPr>
            <w:rFonts w:hint="default" w:ascii="Cambria Math" w:hAnsi="Cambria Math" w:cs="Times New Roman"/>
            <w:sz w:val="21"/>
            <w:highlight w:val="none"/>
            <w:lang w:val="en-US" w:eastAsia="zh-CN" w:bidi="ar-SA"/>
          </w:rPr>
          <m:t>Q</m:t>
        </m:r>
      </m:oMath>
      <w:r>
        <w:rPr>
          <w:rFonts w:hint="eastAsia" w:hAnsi="宋体"/>
          <w:highlight w:val="none"/>
        </w:rPr>
        <w:t>——产品的产量</w:t>
      </w:r>
      <w:r>
        <w:rPr>
          <w:rFonts w:hint="eastAsia" w:hAnsi="宋体"/>
          <w:highlight w:val="none"/>
          <w:lang w:eastAsia="zh-CN"/>
        </w:rPr>
        <w:t>（</w:t>
      </w:r>
      <w:r>
        <w:rPr>
          <w:rFonts w:hint="eastAsia" w:hAnsi="宋体"/>
          <w:highlight w:val="none"/>
          <w:lang w:val="en-US" w:eastAsia="zh-CN"/>
        </w:rPr>
        <w:t>m</w:t>
      </w:r>
      <w:r>
        <w:rPr>
          <w:rFonts w:hint="eastAsia" w:hAnsi="宋体"/>
          <w:highlight w:val="none"/>
          <w:vertAlign w:val="superscript"/>
          <w:lang w:val="en-US" w:eastAsia="zh-CN"/>
        </w:rPr>
        <w:t>2</w:t>
      </w:r>
      <w:r>
        <w:rPr>
          <w:rFonts w:hint="eastAsia" w:hAnsi="宋体"/>
          <w:highlight w:val="none"/>
          <w:lang w:eastAsia="zh-CN"/>
        </w:rPr>
        <w:t>）。</w:t>
      </w:r>
    </w:p>
    <w:p>
      <w:pPr>
        <w:pStyle w:val="95"/>
        <w:spacing w:before="156" w:after="156"/>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上游原辅材料获取加工阶段温室气体的碳足迹计算见公式（2）：</w:t>
      </w:r>
    </w:p>
    <w:p>
      <w:pPr>
        <w:pStyle w:val="235"/>
        <w:ind w:firstLine="0" w:firstLineChars="0"/>
        <w:jc w:val="right"/>
        <w:rPr>
          <w:rFonts w:hint="default" w:hAnsi="宋体" w:eastAsia="宋体"/>
          <w:highlight w:val="none"/>
          <w:lang w:val="en-US" w:eastAsia="zh-CN"/>
        </w:rPr>
      </w:pPr>
      <w:r>
        <w:rPr>
          <w:rFonts w:hint="eastAsia" w:hAnsi="Cambria Math"/>
          <w:i w:val="0"/>
          <w:highlight w:val="none"/>
          <w:lang w:val="en-US" w:eastAsia="zh-CN"/>
        </w:rPr>
        <w:tab/>
      </w: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原辅材料</m:t>
            </m:r>
            <m:ctrlPr>
              <w:rPr>
                <w:rFonts w:ascii="Cambria Math" w:hAnsi="Cambria Math"/>
                <w:i/>
                <w:highlight w:val="none"/>
              </w:rPr>
            </m:ctrlPr>
          </m:sub>
        </m:sSub>
        <m:r>
          <m:rPr/>
          <w:rPr>
            <w:rFonts w:ascii="Cambria Math" w:hAnsi="Cambria Math"/>
            <w:highlight w:val="none"/>
          </w:rPr>
          <m:t>=</m:t>
        </m:r>
        <m:f>
          <m:fPr>
            <m:ctrlPr>
              <w:rPr>
                <w:rFonts w:ascii="Cambria Math" w:hAnsi="Cambria Math"/>
                <w:i/>
                <w:highlight w:val="none"/>
              </w:rPr>
            </m:ctrlPr>
          </m:fPr>
          <m:num>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蚕饲养</m:t>
                </m:r>
                <m:ctrlPr>
                  <w:rPr>
                    <w:rFonts w:ascii="Cambria Math" w:hAnsi="Cambria Math"/>
                    <w:i/>
                    <w:highlight w:val="none"/>
                  </w:rPr>
                </m:ctrlPr>
              </m:sub>
            </m:sSub>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植物种植</m:t>
                </m:r>
                <m:ctrlPr>
                  <w:rPr>
                    <w:rFonts w:ascii="Cambria Math" w:hAnsi="Cambria Math"/>
                    <w:i/>
                    <w:highlight w:val="none"/>
                  </w:rPr>
                </m:ctrlPr>
              </m:sub>
            </m:sSub>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蚕丝生产</m:t>
                </m:r>
                <m:ctrlPr>
                  <w:rPr>
                    <w:rFonts w:ascii="Cambria Math" w:hAnsi="Cambria Math"/>
                    <w:i/>
                    <w:highlight w:val="none"/>
                  </w:rPr>
                </m:ctrlPr>
              </m:sub>
            </m:sSub>
            <m:ctrlPr>
              <w:rPr>
                <w:rFonts w:ascii="Cambria Math" w:hAnsi="Cambria Math"/>
                <w:i/>
                <w:highlight w:val="none"/>
              </w:rPr>
            </m:ctrlPr>
          </m:num>
          <m:den>
            <m:r>
              <m:rPr/>
              <w:rPr>
                <w:rFonts w:hint="default" w:ascii="Cambria Math" w:hAnsi="Cambria Math"/>
                <w:highlight w:val="none"/>
                <w:lang w:val="en-US" w:eastAsia="zh-CN"/>
              </w:rPr>
              <m:t>Q</m:t>
            </m:r>
            <m:ctrlPr>
              <w:rPr>
                <w:rFonts w:ascii="Cambria Math" w:hAnsi="Cambria Math"/>
                <w:i/>
                <w:highlight w:val="none"/>
              </w:rPr>
            </m:ctrlPr>
          </m:den>
        </m:f>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染料助剂</m:t>
            </m:r>
            <m:ctrlPr>
              <w:rPr>
                <w:rFonts w:ascii="Cambria Math" w:hAnsi="Cambria Math"/>
                <w:i/>
                <w:highlight w:val="none"/>
              </w:rPr>
            </m:ctrlPr>
          </m:sub>
        </m:sSub>
      </m:oMath>
      <w:r>
        <w:rPr>
          <w:rFonts w:hint="eastAsia" w:hAnsi="Cambria Math"/>
          <w:i w:val="0"/>
          <w:highlight w:val="none"/>
          <w:lang w:val="en-US" w:eastAsia="zh-CN"/>
        </w:rPr>
        <w:t>+</w:t>
      </w: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包装</m:t>
            </m:r>
            <m:ctrlPr>
              <w:rPr>
                <w:rFonts w:ascii="Cambria Math" w:hAnsi="Cambria Math"/>
                <w:i/>
                <w:highlight w:val="none"/>
              </w:rPr>
            </m:ctrlPr>
          </m:sub>
        </m:sSub>
      </m:oMath>
      <w:r>
        <w:rPr>
          <w:rFonts w:hint="eastAsia" w:hAnsi="Cambria Math"/>
          <w:i w:val="0"/>
          <w:highlight w:val="none"/>
          <w:lang w:val="en-US" w:eastAsia="zh-CN"/>
        </w:rPr>
        <w:t>+</w:t>
      </w: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其他辅材</m:t>
            </m:r>
            <m:ctrlPr>
              <w:rPr>
                <w:rFonts w:ascii="Cambria Math" w:hAnsi="Cambria Math"/>
                <w:i/>
                <w:highlight w:val="none"/>
              </w:rPr>
            </m:ctrlPr>
          </m:sub>
        </m:sSub>
      </m:oMath>
      <w:r>
        <w:rPr>
          <w:rFonts w:hint="eastAsia" w:hAnsi="Cambria Math"/>
          <w:i w:val="0"/>
          <w:highlight w:val="none"/>
          <w:lang w:val="en-US" w:eastAsia="zh-CN"/>
        </w:rPr>
        <w:tab/>
      </w:r>
      <w:r>
        <w:rPr>
          <w:rFonts w:hint="eastAsia" w:hAnsi="宋体"/>
          <w:highlight w:val="none"/>
          <w:lang w:eastAsia="zh-CN"/>
        </w:rPr>
        <w:t>（</w:t>
      </w:r>
      <w:r>
        <w:rPr>
          <w:rFonts w:hint="eastAsia" w:hAnsi="宋体"/>
          <w:highlight w:val="none"/>
          <w:lang w:val="en-US" w:eastAsia="zh-CN"/>
        </w:rPr>
        <w:t>2</w:t>
      </w:r>
      <w:r>
        <w:rPr>
          <w:rFonts w:hint="eastAsia" w:hAnsi="宋体"/>
          <w:highlight w:val="none"/>
          <w:lang w:eastAsia="zh-CN"/>
        </w:rPr>
        <w:t>）</w:t>
      </w:r>
    </w:p>
    <w:p>
      <w:pPr>
        <w:pStyle w:val="235"/>
        <w:rPr>
          <w:rFonts w:hAnsi="宋体"/>
          <w:highlight w:val="none"/>
        </w:rPr>
      </w:pPr>
      <w:r>
        <w:rPr>
          <w:rFonts w:hint="eastAsia" w:hAnsi="宋体"/>
          <w:highlight w:val="none"/>
        </w:rPr>
        <w:t>式中：</w:t>
      </w:r>
    </w:p>
    <w:p>
      <w:pPr>
        <w:pStyle w:val="235"/>
        <w:rPr>
          <w:rFonts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蚕饲养</m:t>
            </m:r>
            <m:ctrlPr>
              <w:rPr>
                <w:rFonts w:ascii="Cambria Math" w:hAnsi="Cambria Math"/>
                <w:i/>
                <w:highlight w:val="none"/>
              </w:rPr>
            </m:ctrlPr>
          </m:sub>
        </m:sSub>
      </m:oMath>
      <w:r>
        <w:rPr>
          <w:rFonts w:hint="eastAsia" w:hAnsi="宋体"/>
          <w:highlight w:val="none"/>
        </w:rPr>
        <w:t>——</w:t>
      </w:r>
      <w:r>
        <w:rPr>
          <w:rFonts w:hint="eastAsia" w:hAnsi="宋体"/>
          <w:highlight w:val="none"/>
          <w:lang w:val="en-US" w:eastAsia="zh-CN"/>
        </w:rPr>
        <w:t>蚕饲养</w:t>
      </w:r>
      <w:r>
        <w:rPr>
          <w:rFonts w:hint="eastAsia" w:hAnsi="宋体"/>
          <w:highlight w:val="none"/>
        </w:rPr>
        <w:t>阶段的温室气体排放量（kgCO</w:t>
      </w:r>
      <w:r>
        <w:rPr>
          <w:rFonts w:hint="eastAsia" w:hAnsi="宋体"/>
          <w:highlight w:val="none"/>
          <w:vertAlign w:val="subscript"/>
        </w:rPr>
        <w:t>2</w:t>
      </w:r>
      <w:r>
        <w:rPr>
          <w:rFonts w:hint="eastAsia" w:hAnsi="宋体"/>
          <w:highlight w:val="none"/>
        </w:rPr>
        <w:t>e）；</w:t>
      </w:r>
    </w:p>
    <w:p>
      <w:pPr>
        <w:pStyle w:val="235"/>
        <w:rPr>
          <w:rFonts w:hint="eastAsia" w:hAnsi="宋体" w:eastAsia="宋体"/>
          <w:highlight w:val="none"/>
          <w:lang w:val="en-US" w:eastAsia="zh-CN"/>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植物种植</m:t>
            </m:r>
            <m:ctrlPr>
              <w:rPr>
                <w:rFonts w:ascii="Cambria Math" w:hAnsi="Cambria Math"/>
                <w:i/>
                <w:highlight w:val="none"/>
              </w:rPr>
            </m:ctrlPr>
          </m:sub>
        </m:sSub>
      </m:oMath>
      <w:r>
        <w:rPr>
          <w:rFonts w:hint="eastAsia" w:hAnsi="宋体"/>
          <w:highlight w:val="none"/>
        </w:rPr>
        <w:t>——</w:t>
      </w:r>
      <w:r>
        <w:rPr>
          <w:rFonts w:hint="eastAsia" w:hAnsi="宋体"/>
          <w:highlight w:val="none"/>
          <w:lang w:val="en-US" w:eastAsia="zh-CN"/>
        </w:rPr>
        <w:t>桑树</w:t>
      </w:r>
      <w:r>
        <w:rPr>
          <w:rFonts w:hint="eastAsia" w:hAnsi="宋体"/>
          <w:highlight w:val="none"/>
        </w:rPr>
        <w:t>等种植阶段的温室气体排放量（kgCO</w:t>
      </w:r>
      <w:r>
        <w:rPr>
          <w:rFonts w:hint="eastAsia" w:hAnsi="宋体"/>
          <w:highlight w:val="none"/>
          <w:vertAlign w:val="subscript"/>
        </w:rPr>
        <w:t>2</w:t>
      </w:r>
      <w:r>
        <w:rPr>
          <w:rFonts w:hint="eastAsia" w:hAnsi="宋体"/>
          <w:highlight w:val="none"/>
        </w:rPr>
        <w:t>e）；</w:t>
      </w:r>
    </w:p>
    <w:p>
      <w:pPr>
        <w:pStyle w:val="235"/>
        <w:rPr>
          <w:rFonts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蚕丝生产</m:t>
            </m:r>
            <m:ctrlPr>
              <w:rPr>
                <w:rFonts w:ascii="Cambria Math" w:hAnsi="Cambria Math"/>
                <w:i/>
                <w:highlight w:val="none"/>
              </w:rPr>
            </m:ctrlPr>
          </m:sub>
        </m:sSub>
      </m:oMath>
      <w:r>
        <w:rPr>
          <w:rFonts w:hint="eastAsia" w:hAnsi="宋体"/>
          <w:highlight w:val="none"/>
        </w:rPr>
        <w:t>——</w:t>
      </w:r>
      <w:r>
        <w:rPr>
          <w:rFonts w:hint="eastAsia" w:hAnsi="宋体"/>
          <w:highlight w:val="none"/>
          <w:lang w:val="en-US" w:eastAsia="zh-CN"/>
        </w:rPr>
        <w:t>蚕丝生产阶段的温室气体排放量</w:t>
      </w:r>
      <w:r>
        <w:rPr>
          <w:rFonts w:hint="eastAsia" w:hAnsi="宋体"/>
          <w:highlight w:val="none"/>
        </w:rPr>
        <w:t>（kgCO</w:t>
      </w:r>
      <w:r>
        <w:rPr>
          <w:rFonts w:hint="eastAsia" w:hAnsi="宋体"/>
          <w:highlight w:val="none"/>
          <w:vertAlign w:val="subscript"/>
        </w:rPr>
        <w:t>2</w:t>
      </w:r>
      <w:r>
        <w:rPr>
          <w:rFonts w:hint="eastAsia" w:hAnsi="宋体"/>
          <w:highlight w:val="none"/>
        </w:rPr>
        <w:t>e）；</w:t>
      </w:r>
    </w:p>
    <w:p>
      <w:pPr>
        <w:pStyle w:val="235"/>
        <w:rPr>
          <w:rFonts w:hint="eastAsia" w:hAnsi="宋体"/>
          <w:highlight w:val="none"/>
        </w:rPr>
      </w:pP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染料助剂</m:t>
            </m:r>
            <m:ctrlPr>
              <w:rPr>
                <w:rFonts w:ascii="Cambria Math" w:hAnsi="Cambria Math"/>
                <w:i/>
                <w:highlight w:val="none"/>
              </w:rPr>
            </m:ctrlPr>
          </m:sub>
        </m:sSub>
      </m:oMath>
      <w:r>
        <w:rPr>
          <w:rFonts w:hint="eastAsia" w:hAnsi="宋体"/>
          <w:highlight w:val="none"/>
        </w:rPr>
        <w:t>——对应单位</w:t>
      </w:r>
      <w:r>
        <w:rPr>
          <w:rFonts w:hint="eastAsia" w:hAnsi="宋体"/>
          <w:highlight w:val="none"/>
          <w:lang w:val="en-US" w:eastAsia="zh-CN"/>
        </w:rPr>
        <w:t>丝绸</w:t>
      </w:r>
      <w:r>
        <w:rPr>
          <w:rFonts w:hint="eastAsia" w:hAnsi="宋体"/>
          <w:highlight w:val="none"/>
        </w:rPr>
        <w:t>面料产品生产所需染料助剂，从摇篮到大门的温室气体排放</w:t>
      </w:r>
      <w:r>
        <w:rPr>
          <w:rFonts w:hint="eastAsia" w:hAnsi="宋体"/>
          <w:highlight w:val="none"/>
          <w:lang w:val="en-US" w:eastAsia="zh-CN"/>
        </w:rPr>
        <w:t>量</w:t>
      </w:r>
      <w:r>
        <w:rPr>
          <w:rFonts w:hint="eastAsia" w:hAnsi="宋体"/>
          <w:highlight w:val="none"/>
        </w:rPr>
        <w:t>（kgCO</w:t>
      </w:r>
      <w:r>
        <w:rPr>
          <w:rFonts w:hint="eastAsia" w:hAnsi="宋体"/>
          <w:highlight w:val="none"/>
          <w:vertAlign w:val="subscript"/>
        </w:rPr>
        <w:t>2</w:t>
      </w:r>
      <w:r>
        <w:rPr>
          <w:rFonts w:hint="eastAsia" w:hAnsi="宋体"/>
          <w:highlight w:val="none"/>
        </w:rPr>
        <w:t>e/m</w:t>
      </w:r>
      <w:r>
        <w:rPr>
          <w:rFonts w:hint="eastAsia" w:hAnsi="宋体"/>
          <w:highlight w:val="none"/>
          <w:vertAlign w:val="superscript"/>
        </w:rPr>
        <w:t>2</w:t>
      </w:r>
      <w:r>
        <w:rPr>
          <w:rFonts w:hint="eastAsia" w:hAnsi="宋体"/>
          <w:highlight w:val="none"/>
        </w:rPr>
        <w:t>）；</w:t>
      </w:r>
    </w:p>
    <w:p>
      <w:pPr>
        <w:pStyle w:val="235"/>
        <w:rPr>
          <w:rFonts w:hint="eastAsia" w:hAnsi="宋体" w:eastAsia="宋体"/>
          <w:highlight w:val="none"/>
          <w:lang w:eastAsia="zh-CN"/>
        </w:rPr>
      </w:pP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包装</m:t>
            </m:r>
            <m:ctrlPr>
              <w:rPr>
                <w:rFonts w:ascii="Cambria Math" w:hAnsi="Cambria Math"/>
                <w:i/>
                <w:highlight w:val="none"/>
              </w:rPr>
            </m:ctrlPr>
          </m:sub>
        </m:sSub>
      </m:oMath>
      <w:r>
        <w:rPr>
          <w:rFonts w:hint="eastAsia" w:hAnsi="宋体"/>
          <w:highlight w:val="none"/>
        </w:rPr>
        <w:t>——对应单位</w:t>
      </w:r>
      <w:r>
        <w:rPr>
          <w:rFonts w:hint="eastAsia" w:hAnsi="宋体"/>
          <w:highlight w:val="none"/>
          <w:lang w:val="en-US" w:eastAsia="zh-CN"/>
        </w:rPr>
        <w:t>丝绸</w:t>
      </w:r>
      <w:r>
        <w:rPr>
          <w:rFonts w:hint="eastAsia" w:hAnsi="宋体"/>
          <w:highlight w:val="none"/>
        </w:rPr>
        <w:t>面料产品生产所需包装材料，从摇篮到大门的温室气体排放</w:t>
      </w:r>
      <w:r>
        <w:rPr>
          <w:rFonts w:hint="eastAsia" w:hAnsi="宋体"/>
          <w:highlight w:val="none"/>
          <w:lang w:val="en-US" w:eastAsia="zh-CN"/>
        </w:rPr>
        <w:t>量</w:t>
      </w:r>
      <w:r>
        <w:rPr>
          <w:rFonts w:hint="eastAsia" w:hAnsi="宋体"/>
          <w:highlight w:val="none"/>
        </w:rPr>
        <w:t>（kgCO</w:t>
      </w:r>
      <w:r>
        <w:rPr>
          <w:rFonts w:hint="eastAsia" w:hAnsi="宋体"/>
          <w:highlight w:val="none"/>
          <w:vertAlign w:val="subscript"/>
        </w:rPr>
        <w:t>2</w:t>
      </w:r>
      <w:r>
        <w:rPr>
          <w:rFonts w:hint="eastAsia" w:hAnsi="宋体"/>
          <w:highlight w:val="none"/>
        </w:rPr>
        <w:t>e/m</w:t>
      </w:r>
      <w:r>
        <w:rPr>
          <w:rFonts w:hint="eastAsia" w:hAnsi="宋体"/>
          <w:highlight w:val="none"/>
          <w:vertAlign w:val="superscript"/>
        </w:rPr>
        <w:t>2</w:t>
      </w:r>
      <w:r>
        <w:rPr>
          <w:rFonts w:hint="eastAsia" w:hAnsi="宋体"/>
          <w:highlight w:val="none"/>
        </w:rPr>
        <w:t>）</w:t>
      </w:r>
      <w:r>
        <w:rPr>
          <w:rFonts w:hint="eastAsia" w:hAnsi="宋体"/>
          <w:highlight w:val="none"/>
          <w:lang w:eastAsia="zh-CN"/>
        </w:rPr>
        <w:t>；</w:t>
      </w:r>
    </w:p>
    <w:p>
      <w:pPr>
        <w:pStyle w:val="235"/>
        <w:rPr>
          <w:rFonts w:hint="eastAsia" w:hAnsi="宋体"/>
          <w:highlight w:val="none"/>
          <w:lang w:eastAsia="zh-CN"/>
        </w:rPr>
      </w:pPr>
      <m:oMath>
        <m:sSub>
          <m:sSubPr>
            <m:ctrlPr>
              <w:rPr>
                <w:rFonts w:ascii="Cambria Math" w:hAnsi="Cambria Math"/>
                <w:i/>
                <w:highlight w:val="none"/>
              </w:rPr>
            </m:ctrlPr>
          </m:sSubPr>
          <m:e>
            <m:r>
              <m:rPr/>
              <w:rPr>
                <w:rFonts w:hint="default" w:ascii="Cambria Math" w:hAnsi="Cambria Math"/>
                <w:highlight w:val="none"/>
                <w:lang w:val="en-US" w:eastAsia="zh-CN"/>
              </w:rPr>
              <m:t>CFP</m:t>
            </m:r>
            <m:ctrlPr>
              <w:rPr>
                <w:rFonts w:ascii="Cambria Math" w:hAnsi="Cambria Math"/>
                <w:i/>
                <w:highlight w:val="none"/>
              </w:rPr>
            </m:ctrlPr>
          </m:e>
          <m:sub>
            <m:r>
              <m:rPr/>
              <w:rPr>
                <w:rFonts w:hint="eastAsia" w:ascii="Cambria Math" w:hAnsi="Cambria Math"/>
                <w:highlight w:val="none"/>
                <w:lang w:val="en-US" w:eastAsia="zh-CN"/>
              </w:rPr>
              <m:t>其他辅材</m:t>
            </m:r>
            <m:ctrlPr>
              <w:rPr>
                <w:rFonts w:ascii="Cambria Math" w:hAnsi="Cambria Math"/>
                <w:i/>
                <w:highlight w:val="none"/>
              </w:rPr>
            </m:ctrlPr>
          </m:sub>
        </m:sSub>
      </m:oMath>
      <w:r>
        <w:rPr>
          <w:rFonts w:hint="eastAsia" w:hAnsi="宋体"/>
          <w:highlight w:val="none"/>
        </w:rPr>
        <w:t>——对应单位</w:t>
      </w:r>
      <w:r>
        <w:rPr>
          <w:rFonts w:hint="eastAsia" w:hAnsi="宋体"/>
          <w:highlight w:val="none"/>
          <w:lang w:val="en-US" w:eastAsia="zh-CN"/>
        </w:rPr>
        <w:t>丝绸</w:t>
      </w:r>
      <w:r>
        <w:rPr>
          <w:rFonts w:hint="eastAsia" w:hAnsi="宋体"/>
          <w:highlight w:val="none"/>
        </w:rPr>
        <w:t>面料产品生产所需</w:t>
      </w:r>
      <w:r>
        <w:rPr>
          <w:rFonts w:hint="eastAsia" w:hAnsi="宋体"/>
          <w:highlight w:val="none"/>
          <w:lang w:val="en-US" w:eastAsia="zh-CN"/>
        </w:rPr>
        <w:t>其他辅助材料</w:t>
      </w:r>
      <w:r>
        <w:rPr>
          <w:rFonts w:hint="eastAsia" w:hAnsi="宋体"/>
          <w:highlight w:val="none"/>
        </w:rPr>
        <w:t>，从摇篮到大门的温室气体排放</w:t>
      </w:r>
      <w:r>
        <w:rPr>
          <w:rFonts w:hint="eastAsia" w:hAnsi="宋体"/>
          <w:highlight w:val="none"/>
          <w:lang w:val="en-US" w:eastAsia="zh-CN"/>
        </w:rPr>
        <w:t>量</w:t>
      </w:r>
      <w:r>
        <w:rPr>
          <w:rFonts w:hint="eastAsia" w:hAnsi="宋体"/>
          <w:highlight w:val="none"/>
        </w:rPr>
        <w:t>（kgCO</w:t>
      </w:r>
      <w:r>
        <w:rPr>
          <w:rFonts w:hint="eastAsia" w:hAnsi="宋体"/>
          <w:highlight w:val="none"/>
          <w:vertAlign w:val="subscript"/>
        </w:rPr>
        <w:t>2</w:t>
      </w:r>
      <w:r>
        <w:rPr>
          <w:rFonts w:hint="eastAsia" w:hAnsi="宋体"/>
          <w:highlight w:val="none"/>
        </w:rPr>
        <w:t>e/m</w:t>
      </w:r>
      <w:r>
        <w:rPr>
          <w:rFonts w:hint="eastAsia" w:hAnsi="宋体"/>
          <w:highlight w:val="none"/>
          <w:vertAlign w:val="superscript"/>
        </w:rPr>
        <w:t>2</w:t>
      </w:r>
      <w:r>
        <w:rPr>
          <w:rFonts w:hint="eastAsia" w:hAnsi="宋体"/>
          <w:highlight w:val="none"/>
        </w:rPr>
        <w:t>）</w:t>
      </w:r>
      <w:r>
        <w:rPr>
          <w:rFonts w:hint="eastAsia" w:hAnsi="宋体"/>
          <w:highlight w:val="none"/>
          <w:lang w:eastAsia="zh-CN"/>
        </w:rPr>
        <w:t>。</w:t>
      </w:r>
    </w:p>
    <w:p>
      <w:pPr>
        <w:pStyle w:val="235"/>
        <w:rPr>
          <w:rFonts w:hint="eastAsia" w:hAnsi="宋体"/>
          <w:highlight w:val="none"/>
          <w:lang w:eastAsia="zh-CN"/>
        </w:rPr>
      </w:pPr>
      <m:oMath>
        <m:r>
          <m:rPr/>
          <w:rPr>
            <w:rFonts w:hint="default" w:ascii="Cambria Math" w:hAnsi="Cambria Math" w:cs="Times New Roman"/>
            <w:sz w:val="21"/>
            <w:highlight w:val="none"/>
            <w:lang w:val="en-US" w:eastAsia="zh-CN" w:bidi="ar-SA"/>
          </w:rPr>
          <m:t>Q</m:t>
        </m:r>
      </m:oMath>
      <w:r>
        <w:rPr>
          <w:rFonts w:hint="eastAsia" w:hAnsi="宋体"/>
          <w:highlight w:val="none"/>
        </w:rPr>
        <w:t>——产品的产量</w:t>
      </w:r>
      <w:r>
        <w:rPr>
          <w:rFonts w:hint="eastAsia" w:hAnsi="宋体"/>
          <w:highlight w:val="none"/>
          <w:lang w:eastAsia="zh-CN"/>
        </w:rPr>
        <w:t>（</w:t>
      </w:r>
      <w:r>
        <w:rPr>
          <w:rFonts w:hint="eastAsia" w:hAnsi="宋体"/>
          <w:highlight w:val="none"/>
          <w:lang w:val="en-US" w:eastAsia="zh-CN"/>
        </w:rPr>
        <w:t>m</w:t>
      </w:r>
      <w:r>
        <w:rPr>
          <w:rFonts w:hint="eastAsia" w:hAnsi="宋体"/>
          <w:highlight w:val="none"/>
          <w:vertAlign w:val="superscript"/>
          <w:lang w:val="en-US" w:eastAsia="zh-CN"/>
        </w:rPr>
        <w:t>2</w:t>
      </w:r>
      <w:r>
        <w:rPr>
          <w:rFonts w:hint="eastAsia" w:hAnsi="宋体"/>
          <w:highlight w:val="none"/>
          <w:lang w:eastAsia="zh-CN"/>
        </w:rPr>
        <w:t>）。</w:t>
      </w:r>
    </w:p>
    <w:p>
      <w:pPr>
        <w:pStyle w:val="95"/>
        <w:spacing w:before="156" w:after="156"/>
        <w:rPr>
          <w:rFonts w:hint="eastAsia" w:ascii="宋体" w:hAnsi="宋体" w:eastAsia="宋体" w:cs="宋体"/>
          <w:color w:val="000000"/>
          <w:kern w:val="0"/>
          <w:sz w:val="20"/>
          <w:szCs w:val="20"/>
          <w:highlight w:val="none"/>
          <w:lang w:val="en-US" w:eastAsia="zh-CN" w:bidi="ar"/>
        </w:rPr>
      </w:pPr>
      <w:r>
        <w:rPr>
          <w:rFonts w:hint="eastAsia" w:ascii="宋体" w:hAnsi="Times New Roman" w:eastAsia="宋体" w:cs="Times New Roman"/>
          <w:kern w:val="0"/>
          <w:sz w:val="21"/>
          <w:szCs w:val="20"/>
          <w:highlight w:val="none"/>
          <w:lang w:val="en-US" w:eastAsia="zh-CN" w:bidi="ar-SA"/>
        </w:rPr>
        <w:t>每个单元过程的碳足迹核算涉及化石燃料燃烧直接排放、输入电力和热力的间接排放和过程排放，计算见公式（</w:t>
      </w:r>
      <w:r>
        <w:rPr>
          <w:rFonts w:hint="eastAsia" w:ascii="宋体" w:eastAsia="宋体" w:cs="Times New Roman"/>
          <w:kern w:val="0"/>
          <w:sz w:val="21"/>
          <w:szCs w:val="20"/>
          <w:highlight w:val="none"/>
          <w:lang w:val="en-US" w:eastAsia="zh-CN" w:bidi="ar-SA"/>
        </w:rPr>
        <w:t>3</w:t>
      </w:r>
      <w:r>
        <w:rPr>
          <w:rFonts w:hint="eastAsia" w:ascii="宋体" w:hAnsi="Times New Roman" w:eastAsia="宋体" w:cs="Times New Roman"/>
          <w:kern w:val="0"/>
          <w:sz w:val="21"/>
          <w:szCs w:val="20"/>
          <w:highlight w:val="none"/>
          <w:lang w:val="en-US" w:eastAsia="zh-CN" w:bidi="ar-SA"/>
        </w:rPr>
        <w:t>）：</w:t>
      </w:r>
    </w:p>
    <w:p>
      <w:pPr>
        <w:pStyle w:val="235"/>
        <w:ind w:firstLine="0" w:firstLineChars="0"/>
        <w:jc w:val="right"/>
        <w:rPr>
          <w:rFonts w:hint="default" w:hAnsi="宋体" w:eastAsia="宋体"/>
          <w:highlight w:val="none"/>
          <w:lang w:val="en-US" w:eastAsia="zh-CN"/>
        </w:rPr>
      </w:pPr>
      <w:r>
        <w:rPr>
          <w:rFonts w:hint="eastAsia" w:hAnsi="Cambria Math"/>
          <w:i w:val="0"/>
          <w:highlight w:val="none"/>
          <w:lang w:val="en-US" w:eastAsia="zh-CN"/>
        </w:rPr>
        <w:tab/>
      </w:r>
      <m:oMath>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default" w:ascii="Cambria Math" w:hAnsi="Cambria Math"/>
                <w:highlight w:val="none"/>
                <w:lang w:val="en-US" w:eastAsia="zh-CN"/>
              </w:rPr>
              <m:t>i</m:t>
            </m:r>
            <m:ctrlPr>
              <w:rPr>
                <w:rFonts w:ascii="Cambria Math" w:hAnsi="Cambria Math"/>
                <w:i/>
                <w:highlight w:val="none"/>
              </w:rPr>
            </m:ctrlPr>
          </m:sub>
        </m:sSub>
        <m:r>
          <m:rPr/>
          <w:rPr>
            <w:rFonts w:ascii="Cambria Math" w:hAnsi="Cambria Math"/>
            <w:highlight w:val="none"/>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直接燃烧</m:t>
            </m:r>
            <m:r>
              <m:rPr/>
              <w:rPr>
                <w:rFonts w:hint="default" w:ascii="Cambria Math" w:hAnsi="Cambria Math"/>
                <w:highlight w:val="none"/>
                <w:lang w:val="en-US" w:eastAsia="zh-CN"/>
              </w:rPr>
              <m:t>，i</m:t>
            </m:r>
            <m:ctrlPr>
              <w:rPr>
                <w:rFonts w:ascii="Cambria Math" w:hAnsi="Cambria Math"/>
                <w:i/>
                <w:highlight w:val="none"/>
              </w:rPr>
            </m:ctrlPr>
          </m:sub>
        </m:sSub>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输入能源，</m:t>
            </m:r>
            <m:r>
              <m:rPr/>
              <w:rPr>
                <w:rFonts w:hint="default" w:ascii="Cambria Math" w:hAnsi="Cambria Math"/>
                <w:highlight w:val="none"/>
                <w:lang w:val="en-US" w:eastAsia="zh-CN"/>
              </w:rPr>
              <m:t>i</m:t>
            </m:r>
            <m:ctrlPr>
              <w:rPr>
                <w:rFonts w:ascii="Cambria Math" w:hAnsi="Cambria Math"/>
                <w:i/>
                <w:highlight w:val="none"/>
              </w:rPr>
            </m:ctrlPr>
          </m:sub>
        </m:sSub>
        <m:r>
          <m:rPr/>
          <w:rPr>
            <w:rFonts w:hint="default" w:ascii="Cambria Math" w:hAnsi="Cambria Math"/>
            <w:highlight w:val="none"/>
            <w:lang w:val="en-US" w:eastAsia="zh-CN"/>
          </w:rPr>
          <m:t>+</m:t>
        </m:r>
        <m:sSub>
          <m:sSubPr>
            <m:ctrlPr>
              <w:rPr>
                <w:rFonts w:ascii="Cambria Math" w:hAnsi="Cambria Math"/>
                <w:i/>
                <w:highlight w:val="none"/>
              </w:rPr>
            </m:ctrlPr>
          </m:sSubPr>
          <m:e>
            <m:r>
              <m:rPr/>
              <w:rPr>
                <w:rFonts w:hint="default" w:ascii="Cambria Math" w:hAnsi="Cambria Math"/>
                <w:highlight w:val="none"/>
                <w:lang w:val="en-US" w:eastAsia="zh-CN"/>
              </w:rPr>
              <m:t>E</m:t>
            </m:r>
            <m:ctrlPr>
              <w:rPr>
                <w:rFonts w:ascii="Cambria Math" w:hAnsi="Cambria Math"/>
                <w:i/>
                <w:highlight w:val="none"/>
              </w:rPr>
            </m:ctrlPr>
          </m:e>
          <m:sub>
            <m:r>
              <m:rPr/>
              <w:rPr>
                <w:rFonts w:hint="eastAsia" w:ascii="Cambria Math" w:hAnsi="Cambria Math"/>
                <w:highlight w:val="none"/>
                <w:lang w:val="en-US" w:eastAsia="zh-CN"/>
              </w:rPr>
              <m:t>过程，</m:t>
            </m:r>
            <m:r>
              <m:rPr/>
              <w:rPr>
                <w:rFonts w:hint="default" w:ascii="Cambria Math" w:hAnsi="Cambria Math"/>
                <w:highlight w:val="none"/>
                <w:lang w:val="en-US" w:eastAsia="zh-CN"/>
              </w:rPr>
              <m:t>i</m:t>
            </m:r>
            <m:ctrlPr>
              <w:rPr>
                <w:rFonts w:ascii="Cambria Math" w:hAnsi="Cambria Math"/>
                <w:i/>
                <w:highlight w:val="none"/>
              </w:rPr>
            </m:ctrlPr>
          </m:sub>
        </m:sSub>
      </m:oMath>
      <w:r>
        <w:rPr>
          <w:rFonts w:hint="eastAsia" w:hAnsi="宋体"/>
          <w:highlight w:val="none"/>
          <w:lang w:val="en-US" w:eastAsia="zh-CN"/>
        </w:rPr>
        <w:tab/>
      </w:r>
      <w:r>
        <w:rPr>
          <w:rFonts w:hint="eastAsia" w:hAnsi="宋体"/>
          <w:highlight w:val="none"/>
          <w:lang w:eastAsia="zh-CN"/>
        </w:rPr>
        <w:t>（</w:t>
      </w:r>
      <w:r>
        <w:rPr>
          <w:rFonts w:hint="eastAsia" w:hAnsi="宋体"/>
          <w:highlight w:val="none"/>
          <w:lang w:val="en-US" w:eastAsia="zh-CN"/>
        </w:rPr>
        <w:t>3</w:t>
      </w:r>
      <w:r>
        <w:rPr>
          <w:rFonts w:hint="eastAsia" w:hAnsi="宋体"/>
          <w:highlight w:val="none"/>
          <w:lang w:eastAsia="zh-CN"/>
        </w:rPr>
        <w:t>）</w:t>
      </w:r>
    </w:p>
    <w:p>
      <w:pPr>
        <w:pStyle w:val="235"/>
        <w:rPr>
          <w:rFonts w:hAnsi="宋体"/>
          <w:highlight w:val="none"/>
        </w:rPr>
      </w:pPr>
      <w:r>
        <w:rPr>
          <w:rFonts w:hint="eastAsia" w:hAnsi="宋体"/>
          <w:highlight w:val="none"/>
        </w:rPr>
        <w:t>式中：</w:t>
      </w:r>
    </w:p>
    <w:p>
      <w:pPr>
        <w:pStyle w:val="235"/>
        <w:rPr>
          <w:rFonts w:hint="eastAsia"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直接燃烧，</m:t>
            </m:r>
            <m:r>
              <m:rPr/>
              <w:rPr>
                <w:rFonts w:hint="default" w:ascii="Cambria Math" w:hAnsi="Cambria Math"/>
                <w:highlight w:val="none"/>
                <w:lang w:val="en-US" w:eastAsia="zh-CN"/>
              </w:rPr>
              <m:t>i</m:t>
            </m:r>
            <m:ctrlPr>
              <w:rPr>
                <w:rFonts w:ascii="Cambria Math" w:hAnsi="Cambria Math"/>
                <w:i/>
                <w:highlight w:val="none"/>
              </w:rPr>
            </m:ctrlPr>
          </m:sub>
        </m:sSub>
      </m:oMath>
      <w:r>
        <w:rPr>
          <w:rFonts w:hint="eastAsia" w:hAnsi="宋体"/>
          <w:highlight w:val="none"/>
        </w:rPr>
        <w:t>———单元过程</w:t>
      </w:r>
      <m:oMath>
        <m:r>
          <m:rPr/>
          <w:rPr>
            <w:rFonts w:hint="default" w:ascii="Cambria Math" w:hAnsi="Cambria Math" w:cs="Times New Roman"/>
            <w:sz w:val="21"/>
            <w:highlight w:val="none"/>
            <w:lang w:val="en-US" w:eastAsia="zh-CN" w:bidi="ar-SA"/>
          </w:rPr>
          <m:t>i</m:t>
        </m:r>
      </m:oMath>
      <w:r>
        <w:rPr>
          <w:rFonts w:hint="eastAsia" w:hAnsi="宋体"/>
          <w:highlight w:val="none"/>
        </w:rPr>
        <w:t>中化石燃料燃烧直接产生的温室气体排放量</w:t>
      </w:r>
      <w:r>
        <w:rPr>
          <w:rFonts w:hint="eastAsia" w:hAnsi="宋体"/>
          <w:highlight w:val="none"/>
          <w:lang w:eastAsia="zh-CN"/>
        </w:rPr>
        <w:t>（kg</w:t>
      </w:r>
      <w:r>
        <w:rPr>
          <w:rFonts w:hint="eastAsia" w:hAnsi="宋体"/>
          <w:highlight w:val="none"/>
        </w:rPr>
        <w:t>CO</w:t>
      </w:r>
      <w:r>
        <w:rPr>
          <w:rFonts w:hint="eastAsia" w:hAnsi="宋体"/>
          <w:highlight w:val="none"/>
          <w:vertAlign w:val="subscript"/>
        </w:rPr>
        <w:t>2</w:t>
      </w:r>
      <w:r>
        <w:rPr>
          <w:rFonts w:hint="eastAsia" w:hAnsi="宋体"/>
          <w:highlight w:val="none"/>
        </w:rPr>
        <w:t>e）；</w:t>
      </w:r>
    </w:p>
    <w:p>
      <w:pPr>
        <w:pStyle w:val="235"/>
        <w:rPr>
          <w:rFonts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输入能源，</m:t>
            </m:r>
            <m:r>
              <m:rPr/>
              <w:rPr>
                <w:rFonts w:hint="default" w:ascii="Cambria Math" w:hAnsi="Cambria Math"/>
                <w:highlight w:val="none"/>
                <w:lang w:val="en-US" w:eastAsia="zh-CN"/>
              </w:rPr>
              <m:t>i</m:t>
            </m:r>
            <m:ctrlPr>
              <w:rPr>
                <w:rFonts w:ascii="Cambria Math" w:hAnsi="Cambria Math"/>
                <w:i/>
                <w:highlight w:val="none"/>
              </w:rPr>
            </m:ctrlPr>
          </m:sub>
        </m:sSub>
      </m:oMath>
      <w:r>
        <w:rPr>
          <w:rFonts w:hint="eastAsia" w:hAnsi="宋体"/>
          <w:highlight w:val="none"/>
        </w:rPr>
        <w:t>——单元过程</w:t>
      </w:r>
      <m:oMath>
        <m:r>
          <m:rPr/>
          <w:rPr>
            <w:rFonts w:hint="default" w:ascii="Cambria Math" w:hAnsi="Cambria Math" w:cs="Times New Roman"/>
            <w:sz w:val="21"/>
            <w:highlight w:val="none"/>
            <w:lang w:val="en-US" w:eastAsia="zh-CN" w:bidi="ar-SA"/>
          </w:rPr>
          <m:t>i</m:t>
        </m:r>
      </m:oMath>
      <w:r>
        <w:rPr>
          <w:rFonts w:hint="eastAsia" w:hAnsi="宋体"/>
          <w:highlight w:val="none"/>
        </w:rPr>
        <w:t>中输入电力和热力间接产生的温室气体排放量</w:t>
      </w:r>
      <w:r>
        <w:rPr>
          <w:rFonts w:hint="eastAsia" w:hAnsi="宋体"/>
          <w:highlight w:val="none"/>
          <w:lang w:eastAsia="zh-CN"/>
        </w:rPr>
        <w:t>（kg</w:t>
      </w:r>
      <w:r>
        <w:rPr>
          <w:rFonts w:hint="eastAsia" w:hAnsi="宋体"/>
          <w:highlight w:val="none"/>
        </w:rPr>
        <w:t>CO</w:t>
      </w:r>
      <w:r>
        <w:rPr>
          <w:rFonts w:hint="eastAsia" w:hAnsi="宋体"/>
          <w:highlight w:val="none"/>
          <w:vertAlign w:val="subscript"/>
        </w:rPr>
        <w:t>2</w:t>
      </w:r>
      <w:r>
        <w:rPr>
          <w:rFonts w:hint="eastAsia" w:hAnsi="宋体"/>
          <w:highlight w:val="none"/>
        </w:rPr>
        <w:t>e）；</w:t>
      </w:r>
    </w:p>
    <w:p>
      <w:pPr>
        <w:pStyle w:val="235"/>
        <w:rPr>
          <w:rFonts w:hAnsi="宋体"/>
          <w:highlight w:val="none"/>
        </w:rPr>
      </w:pP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eastAsia" w:ascii="Cambria Math" w:hAnsi="Cambria Math"/>
                <w:highlight w:val="none"/>
                <w:lang w:val="en-US" w:eastAsia="zh-CN"/>
              </w:rPr>
              <m:t>过程，</m:t>
            </m:r>
            <m:r>
              <m:rPr/>
              <w:rPr>
                <w:rFonts w:hint="default" w:ascii="Cambria Math" w:hAnsi="Cambria Math"/>
                <w:highlight w:val="none"/>
                <w:lang w:val="en-US" w:eastAsia="zh-CN"/>
              </w:rPr>
              <m:t>i</m:t>
            </m:r>
            <m:ctrlPr>
              <w:rPr>
                <w:rFonts w:ascii="Cambria Math" w:hAnsi="Cambria Math"/>
                <w:i/>
                <w:highlight w:val="none"/>
              </w:rPr>
            </m:ctrlPr>
          </m:sub>
        </m:sSub>
      </m:oMath>
      <w:r>
        <w:rPr>
          <w:rFonts w:hint="eastAsia" w:hAnsi="宋体"/>
          <w:highlight w:val="none"/>
        </w:rPr>
        <w:t>——单元过程</w:t>
      </w:r>
      <m:oMath>
        <m:r>
          <m:rPr/>
          <w:rPr>
            <w:rFonts w:hint="default" w:ascii="Cambria Math" w:hAnsi="Cambria Math" w:cs="Times New Roman"/>
            <w:sz w:val="21"/>
            <w:highlight w:val="none"/>
            <w:lang w:val="en-US" w:eastAsia="zh-CN" w:bidi="ar-SA"/>
          </w:rPr>
          <m:t>i</m:t>
        </m:r>
      </m:oMath>
      <w:r>
        <w:rPr>
          <w:rFonts w:hint="eastAsia" w:hAnsi="宋体"/>
          <w:highlight w:val="none"/>
        </w:rPr>
        <w:t>中产生的工艺过程排放，如废气处理过程中石灰石反应产生的二氧化碳排放、废水厌氧处理过程中的甲烷排放</w:t>
      </w:r>
      <w:r>
        <w:rPr>
          <w:rFonts w:hint="eastAsia" w:hAnsi="宋体"/>
          <w:highlight w:val="none"/>
          <w:lang w:val="en-US" w:eastAsia="zh-CN"/>
        </w:rPr>
        <w:t>等</w:t>
      </w:r>
      <w:r>
        <w:rPr>
          <w:rFonts w:hint="eastAsia" w:hAnsi="宋体"/>
          <w:highlight w:val="none"/>
          <w:lang w:eastAsia="zh-CN"/>
        </w:rPr>
        <w:t>（kg</w:t>
      </w:r>
      <w:r>
        <w:rPr>
          <w:rFonts w:hint="eastAsia" w:hAnsi="宋体"/>
          <w:highlight w:val="none"/>
        </w:rPr>
        <w:t>CO</w:t>
      </w:r>
      <w:r>
        <w:rPr>
          <w:rFonts w:hint="eastAsia" w:hAnsi="宋体"/>
          <w:highlight w:val="none"/>
          <w:vertAlign w:val="subscript"/>
        </w:rPr>
        <w:t>2</w:t>
      </w:r>
      <w:r>
        <w:rPr>
          <w:rFonts w:hint="eastAsia" w:hAnsi="宋体"/>
          <w:highlight w:val="none"/>
        </w:rPr>
        <w:t>e）；</w:t>
      </w:r>
    </w:p>
    <w:p>
      <w:pPr>
        <w:pStyle w:val="235"/>
        <w:rPr>
          <w:rFonts w:hint="eastAsia" w:hAnsi="宋体"/>
          <w:highlight w:val="none"/>
          <w:lang w:eastAsia="zh-CN"/>
        </w:rPr>
      </w:pPr>
      <m:oMath>
        <m:r>
          <m:rPr/>
          <w:rPr>
            <w:rFonts w:hint="default" w:ascii="Cambria Math" w:hAnsi="Cambria Math" w:cs="Times New Roman"/>
            <w:sz w:val="21"/>
            <w:highlight w:val="none"/>
            <w:lang w:val="en-US" w:eastAsia="zh-CN" w:bidi="ar-SA"/>
          </w:rPr>
          <m:t>i</m:t>
        </m:r>
      </m:oMath>
      <w:r>
        <w:rPr>
          <w:rFonts w:hint="eastAsia" w:hAnsi="宋体"/>
          <w:highlight w:val="none"/>
        </w:rPr>
        <w:t>——</w:t>
      </w:r>
      <w:r>
        <w:rPr>
          <w:rFonts w:hint="eastAsia" w:hAnsi="宋体"/>
          <w:highlight w:val="none"/>
          <w:lang w:val="en-US" w:eastAsia="zh-CN"/>
        </w:rPr>
        <w:t>单元过程</w:t>
      </w:r>
      <w:r>
        <w:rPr>
          <w:rFonts w:hint="eastAsia" w:hAnsi="宋体"/>
          <w:highlight w:val="none"/>
          <w:lang w:eastAsia="zh-CN"/>
        </w:rPr>
        <w:t>。</w:t>
      </w:r>
    </w:p>
    <w:p>
      <w:pPr>
        <w:pStyle w:val="95"/>
        <w:spacing w:before="156" w:after="156"/>
        <w:rPr>
          <w:rFonts w:hint="eastAsia" w:ascii="宋体" w:hAnsi="Times New Roman" w:eastAsia="宋体" w:cs="Times New Roman"/>
          <w:kern w:val="0"/>
          <w:sz w:val="21"/>
          <w:szCs w:val="20"/>
          <w:highlight w:val="none"/>
          <w:lang w:val="en-US" w:eastAsia="zh-Hans" w:bidi="ar-SA"/>
        </w:rPr>
      </w:pPr>
      <w:r>
        <w:rPr>
          <w:rFonts w:hint="eastAsia" w:ascii="宋体" w:hAnsi="Times New Roman" w:eastAsia="宋体" w:cs="Times New Roman"/>
          <w:kern w:val="0"/>
          <w:sz w:val="21"/>
          <w:szCs w:val="20"/>
          <w:highlight w:val="none"/>
          <w:lang w:val="en-US" w:eastAsia="zh-CN" w:bidi="ar-SA"/>
        </w:rPr>
        <w:t>每个单元过程燃料燃烧排放、输入能源间接排放和过程排放的碳足迹核算方法见公式（</w:t>
      </w:r>
      <w:r>
        <w:rPr>
          <w:rFonts w:hint="eastAsia" w:ascii="宋体" w:eastAsia="宋体" w:cs="Times New Roman"/>
          <w:kern w:val="0"/>
          <w:sz w:val="21"/>
          <w:szCs w:val="20"/>
          <w:highlight w:val="none"/>
          <w:lang w:val="en-US" w:eastAsia="zh-CN" w:bidi="ar-SA"/>
        </w:rPr>
        <w:t>4</w:t>
      </w:r>
      <w:r>
        <w:rPr>
          <w:rFonts w:hint="eastAsia" w:ascii="宋体" w:hAnsi="Times New Roman" w:eastAsia="宋体" w:cs="Times New Roman"/>
          <w:kern w:val="0"/>
          <w:sz w:val="21"/>
          <w:szCs w:val="20"/>
          <w:highlight w:val="none"/>
          <w:lang w:val="en-US" w:eastAsia="zh-CN" w:bidi="ar-SA"/>
        </w:rPr>
        <w:t>）：</w:t>
      </w:r>
    </w:p>
    <w:p>
      <w:pPr>
        <w:pStyle w:val="235"/>
        <w:ind w:firstLine="0" w:firstLineChars="0"/>
        <w:jc w:val="right"/>
        <w:rPr>
          <w:rFonts w:hint="eastAsia" w:hAnsi="宋体" w:eastAsia="宋体"/>
          <w:highlight w:val="none"/>
          <w:lang w:eastAsia="zh-CN"/>
        </w:rPr>
      </w:pPr>
      <w:r>
        <w:rPr>
          <w:rFonts w:hint="eastAsia" w:hAnsi="Cambria Math"/>
          <w:i w:val="0"/>
          <w:highlight w:val="none"/>
          <w:lang w:val="en-US" w:eastAsia="zh-CN"/>
        </w:rPr>
        <w:tab/>
      </w:r>
      <m:oMath>
        <m:sSub>
          <m:sSubPr>
            <m:ctrlPr>
              <w:rPr>
                <w:rFonts w:ascii="Cambria Math" w:hAnsi="Cambria Math"/>
                <w:i/>
                <w:highlight w:val="none"/>
              </w:rPr>
            </m:ctrlPr>
          </m:sSubPr>
          <m:e>
            <m:r>
              <m:rPr/>
              <w:rPr>
                <w:rFonts w:hint="eastAsia" w:ascii="Cambria Math" w:hAnsi="Cambria Math"/>
                <w:highlight w:val="none"/>
              </w:rPr>
              <m:t>E</m:t>
            </m:r>
            <m:ctrlPr>
              <w:rPr>
                <w:rFonts w:ascii="Cambria Math" w:hAnsi="Cambria Math"/>
                <w:i/>
                <w:highlight w:val="none"/>
              </w:rPr>
            </m:ctrlPr>
          </m:e>
          <m:sub>
            <m:r>
              <m:rPr/>
              <w:rPr>
                <w:rFonts w:hint="default" w:ascii="Cambria Math" w:hAnsi="Cambria Math"/>
                <w:highlight w:val="none"/>
                <w:lang w:val="en-US" w:eastAsia="zh-CN"/>
              </w:rPr>
              <m:t>i,j</m:t>
            </m:r>
            <m:ctrlPr>
              <w:rPr>
                <w:rFonts w:ascii="Cambria Math" w:hAnsi="Cambria Math"/>
                <w:i/>
                <w:highlight w:val="none"/>
              </w:rPr>
            </m:ctrlPr>
          </m:sub>
        </m:sSub>
        <m:r>
          <m:rPr/>
          <w:rPr>
            <w:rFonts w:ascii="Cambria Math" w:hAnsi="Cambria Math"/>
            <w:highlight w:val="none"/>
          </w:rPr>
          <m:t>=</m:t>
        </m:r>
        <m:nary>
          <m:naryPr>
            <m:chr m:val="∑"/>
            <m:limLoc m:val="undOvr"/>
            <m:ctrlPr>
              <w:rPr>
                <w:rFonts w:ascii="Cambria Math" w:hAnsi="Cambria Math"/>
                <w:i/>
                <w:highlight w:val="none"/>
              </w:rPr>
            </m:ctrlPr>
          </m:naryPr>
          <m:sub>
            <m:r>
              <m:rPr/>
              <w:rPr>
                <w:rFonts w:hint="default" w:ascii="Cambria Math" w:hAnsi="Cambria Math"/>
                <w:highlight w:val="none"/>
                <w:lang w:val="en-US" w:eastAsia="zh-CN"/>
              </w:rPr>
              <m:t>j=1</m:t>
            </m:r>
            <m:ctrlPr>
              <w:rPr>
                <w:rFonts w:ascii="Cambria Math" w:hAnsi="Cambria Math"/>
                <w:i/>
                <w:highlight w:val="none"/>
              </w:rPr>
            </m:ctrlPr>
          </m:sub>
          <m:sup>
            <m:r>
              <m:rPr/>
              <w:rPr>
                <w:rFonts w:hint="default" w:ascii="Cambria Math" w:hAnsi="Cambria Math"/>
                <w:highlight w:val="none"/>
                <w:lang w:val="en-US" w:eastAsia="zh-CN"/>
              </w:rPr>
              <m:t>3</m:t>
            </m:r>
            <m:ctrlPr>
              <w:rPr>
                <w:rFonts w:ascii="Cambria Math" w:hAnsi="Cambria Math"/>
                <w:i/>
                <w:highlight w:val="none"/>
              </w:rPr>
            </m:ctrlPr>
          </m:sup>
          <m:e>
            <m:nary>
              <m:naryPr>
                <m:chr m:val="∑"/>
                <m:limLoc m:val="subSup"/>
                <m:ctrlPr>
                  <w:rPr>
                    <w:rFonts w:ascii="Cambria Math" w:hAnsi="Cambria Math"/>
                    <w:i/>
                    <w:highlight w:val="none"/>
                  </w:rPr>
                </m:ctrlPr>
              </m:naryPr>
              <m:sub>
                <m:r>
                  <m:rPr/>
                  <w:rPr>
                    <w:rFonts w:hint="default" w:ascii="Cambria Math" w:hAnsi="Cambria Math"/>
                    <w:highlight w:val="none"/>
                    <w:lang w:val="en-US" w:eastAsia="zh-CN"/>
                  </w:rPr>
                  <m:t>p=1</m:t>
                </m:r>
                <m:ctrlPr>
                  <w:rPr>
                    <w:rFonts w:ascii="Cambria Math" w:hAnsi="Cambria Math"/>
                    <w:i/>
                    <w:highlight w:val="none"/>
                  </w:rPr>
                </m:ctrlPr>
              </m:sub>
              <m:sup>
                <m:r>
                  <m:rPr/>
                  <w:rPr>
                    <w:rFonts w:hint="default" w:ascii="Cambria Math" w:hAnsi="Cambria Math"/>
                    <w:highlight w:val="none"/>
                    <w:lang w:val="en-US" w:eastAsia="zh-CN"/>
                  </w:rPr>
                  <m:t>n</m:t>
                </m:r>
                <m:ctrlPr>
                  <w:rPr>
                    <w:rFonts w:ascii="Cambria Math" w:hAnsi="Cambria Math"/>
                    <w:i/>
                    <w:highlight w:val="none"/>
                  </w:rPr>
                </m:ctrlPr>
              </m:sup>
              <m:e>
                <m:sSub>
                  <m:sSubPr>
                    <m:ctrlPr>
                      <w:rPr>
                        <w:rFonts w:ascii="Cambria Math" w:hAnsi="Cambria Math"/>
                        <w:i/>
                        <w:highlight w:val="none"/>
                      </w:rPr>
                    </m:ctrlPr>
                  </m:sSubPr>
                  <m:e>
                    <m:r>
                      <m:rPr/>
                      <w:rPr>
                        <w:rFonts w:hint="default" w:ascii="Cambria Math" w:hAnsi="Cambria Math"/>
                        <w:highlight w:val="none"/>
                        <w:lang w:val="en-US" w:eastAsia="zh-CN"/>
                      </w:rPr>
                      <m:t>AD</m:t>
                    </m:r>
                    <m:ctrlPr>
                      <w:rPr>
                        <w:rFonts w:ascii="Cambria Math" w:hAnsi="Cambria Math"/>
                        <w:i/>
                        <w:highlight w:val="none"/>
                      </w:rPr>
                    </m:ctrlPr>
                  </m:e>
                  <m:sub>
                    <m:r>
                      <m:rPr/>
                      <w:rPr>
                        <w:rFonts w:hint="default" w:ascii="Cambria Math" w:hAnsi="Cambria Math"/>
                        <w:highlight w:val="none"/>
                        <w:lang w:val="en-US" w:eastAsia="zh-CN"/>
                      </w:rPr>
                      <m:t>i,j,p</m:t>
                    </m:r>
                    <m:ctrlPr>
                      <w:rPr>
                        <w:rFonts w:ascii="Cambria Math" w:hAnsi="Cambria Math"/>
                        <w:i/>
                        <w:highlight w:val="none"/>
                      </w:rPr>
                    </m:ctrlPr>
                  </m:sub>
                </m:sSub>
                <m:r>
                  <m:rPr/>
                  <w:rPr>
                    <w:rFonts w:ascii="Cambria Math" w:hAnsi="Cambria Math"/>
                    <w:highlight w:val="none"/>
                  </w:rPr>
                  <m:t>×</m:t>
                </m:r>
                <m:sSub>
                  <m:sSubPr>
                    <m:ctrlPr>
                      <w:rPr>
                        <w:rFonts w:ascii="Cambria Math" w:hAnsi="Cambria Math"/>
                        <w:i/>
                        <w:highlight w:val="none"/>
                      </w:rPr>
                    </m:ctrlPr>
                  </m:sSubPr>
                  <m:e>
                    <m:r>
                      <m:rPr/>
                      <w:rPr>
                        <w:rFonts w:hint="default" w:ascii="Cambria Math" w:hAnsi="Cambria Math"/>
                        <w:highlight w:val="none"/>
                        <w:lang w:val="en-US" w:eastAsia="zh-CN"/>
                      </w:rPr>
                      <m:t>EF</m:t>
                    </m:r>
                    <m:ctrlPr>
                      <w:rPr>
                        <w:rFonts w:ascii="Cambria Math" w:hAnsi="Cambria Math"/>
                        <w:i/>
                        <w:highlight w:val="none"/>
                      </w:rPr>
                    </m:ctrlPr>
                  </m:e>
                  <m:sub>
                    <m:r>
                      <m:rPr/>
                      <w:rPr>
                        <w:rFonts w:hint="default" w:ascii="Cambria Math" w:hAnsi="Cambria Math"/>
                        <w:highlight w:val="none"/>
                        <w:lang w:val="en-US" w:eastAsia="zh-CN"/>
                      </w:rPr>
                      <m:t>i,j,p</m:t>
                    </m:r>
                    <m:ctrlPr>
                      <w:rPr>
                        <w:rFonts w:ascii="Cambria Math" w:hAnsi="Cambria Math"/>
                        <w:i/>
                        <w:highlight w:val="none"/>
                      </w:rPr>
                    </m:ctrlPr>
                  </m:sub>
                </m:sSub>
                <m:r>
                  <m:rPr/>
                  <w:rPr>
                    <w:rFonts w:ascii="Cambria Math" w:hAnsi="Cambria Math"/>
                    <w:highlight w:val="none"/>
                  </w:rPr>
                  <m:t>×</m:t>
                </m:r>
                <m:sSub>
                  <m:sSubPr>
                    <m:ctrlPr>
                      <w:rPr>
                        <w:rFonts w:ascii="Cambria Math" w:hAnsi="Cambria Math"/>
                        <w:i/>
                        <w:highlight w:val="none"/>
                      </w:rPr>
                    </m:ctrlPr>
                  </m:sSubPr>
                  <m:e>
                    <m:r>
                      <m:rPr/>
                      <w:rPr>
                        <w:rFonts w:hint="default" w:ascii="Cambria Math" w:hAnsi="Cambria Math"/>
                        <w:highlight w:val="none"/>
                        <w:lang w:val="en-US" w:eastAsia="zh-CN"/>
                      </w:rPr>
                      <m:t>GWP</m:t>
                    </m:r>
                    <m:ctrlPr>
                      <w:rPr>
                        <w:rFonts w:ascii="Cambria Math" w:hAnsi="Cambria Math"/>
                        <w:i/>
                        <w:highlight w:val="none"/>
                      </w:rPr>
                    </m:ctrlPr>
                  </m:e>
                  <m:sub>
                    <m:r>
                      <m:rPr/>
                      <w:rPr>
                        <w:rFonts w:hint="default" w:ascii="Cambria Math" w:hAnsi="Cambria Math"/>
                        <w:highlight w:val="none"/>
                        <w:lang w:val="en-US" w:eastAsia="zh-CN"/>
                      </w:rPr>
                      <m:t>p</m:t>
                    </m:r>
                    <m:ctrlPr>
                      <w:rPr>
                        <w:rFonts w:ascii="Cambria Math" w:hAnsi="Cambria Math"/>
                        <w:i/>
                        <w:highlight w:val="none"/>
                      </w:rPr>
                    </m:ctrlPr>
                  </m:sub>
                </m:sSub>
                <m:ctrlPr>
                  <w:rPr>
                    <w:rFonts w:ascii="Cambria Math" w:hAnsi="Cambria Math"/>
                    <w:i/>
                    <w:highlight w:val="none"/>
                  </w:rPr>
                </m:ctrlPr>
              </m:e>
            </m:nary>
            <m:ctrlPr>
              <w:rPr>
                <w:rFonts w:ascii="Cambria Math" w:hAnsi="Cambria Math"/>
                <w:i/>
                <w:highlight w:val="none"/>
              </w:rPr>
            </m:ctrlPr>
          </m:e>
        </m:nary>
      </m:oMath>
      <w:r>
        <w:rPr>
          <w:rFonts w:hint="eastAsia" w:hAnsi="Cambria Math"/>
          <w:i w:val="0"/>
          <w:highlight w:val="none"/>
          <w:lang w:val="en-US" w:eastAsia="zh-CN"/>
        </w:rPr>
        <w:tab/>
      </w:r>
      <w:r>
        <w:rPr>
          <w:rFonts w:hint="eastAsia" w:hAnsi="宋体"/>
          <w:highlight w:val="none"/>
          <w:lang w:eastAsia="zh-CN"/>
        </w:rPr>
        <w:t>（</w:t>
      </w:r>
      <w:r>
        <w:rPr>
          <w:rFonts w:hint="eastAsia" w:hAnsi="宋体"/>
          <w:highlight w:val="none"/>
          <w:lang w:val="en-US" w:eastAsia="zh-CN"/>
        </w:rPr>
        <w:t>4</w:t>
      </w:r>
      <w:r>
        <w:rPr>
          <w:rFonts w:hint="eastAsia" w:hAnsi="宋体"/>
          <w:highlight w:val="none"/>
          <w:lang w:eastAsia="zh-CN"/>
        </w:rPr>
        <w:t>）</w:t>
      </w:r>
    </w:p>
    <w:p>
      <w:pPr>
        <w:pStyle w:val="235"/>
        <w:rPr>
          <w:rFonts w:hAnsi="宋体"/>
          <w:highlight w:val="none"/>
        </w:rPr>
      </w:pPr>
      <w:r>
        <w:rPr>
          <w:rFonts w:hint="eastAsia" w:hAnsi="宋体"/>
          <w:highlight w:val="none"/>
        </w:rPr>
        <w:t>式中：</w:t>
      </w:r>
    </w:p>
    <w:p>
      <w:pPr>
        <w:pStyle w:val="235"/>
        <w:spacing w:line="240" w:lineRule="auto"/>
        <w:rPr>
          <w:rFonts w:hint="eastAsia" w:hAnsi="宋体"/>
          <w:highlight w:val="none"/>
          <w:lang w:eastAsia="zh-CN"/>
        </w:rPr>
      </w:pPr>
      <m:oMath>
        <m:r>
          <m:rPr/>
          <w:rPr>
            <w:rFonts w:hint="eastAsia" w:ascii="Cambria Math" w:hAnsi="Cambria Math" w:cs="Times New Roman"/>
            <w:sz w:val="21"/>
            <w:highlight w:val="none"/>
            <w:lang w:val="en-US" w:eastAsia="zh-CN" w:bidi="ar-SA"/>
          </w:rPr>
          <m:t>j</m:t>
        </m:r>
      </m:oMath>
      <w:r>
        <w:rPr>
          <w:rFonts w:hint="eastAsia" w:hAnsi="宋体"/>
          <w:highlight w:val="none"/>
        </w:rPr>
        <w:t>———代表</w:t>
      </w:r>
      <w:r>
        <w:rPr>
          <w:rFonts w:hint="eastAsia" w:hAnsi="宋体"/>
          <w:highlight w:val="none"/>
          <w:lang w:val="en-US" w:eastAsia="zh-CN"/>
        </w:rPr>
        <w:t>化石</w:t>
      </w:r>
      <w:r>
        <w:rPr>
          <w:rFonts w:hint="eastAsia" w:hAnsi="宋体"/>
          <w:highlight w:val="none"/>
        </w:rPr>
        <w:t>燃料燃烧、输入能源和生产过程三种</w:t>
      </w:r>
      <w:r>
        <w:rPr>
          <w:rFonts w:hint="eastAsia" w:hAnsi="宋体"/>
          <w:highlight w:val="none"/>
          <w:lang w:val="en-US" w:eastAsia="zh-CN"/>
        </w:rPr>
        <w:t>的</w:t>
      </w:r>
      <w:r>
        <w:rPr>
          <w:rFonts w:hint="eastAsia" w:hAnsi="宋体"/>
          <w:highlight w:val="none"/>
        </w:rPr>
        <w:t>排放源</w:t>
      </w:r>
      <w:r>
        <w:rPr>
          <w:rFonts w:hint="eastAsia" w:hAnsi="宋体"/>
          <w:highlight w:val="none"/>
          <w:lang w:eastAsia="zh-CN"/>
        </w:rPr>
        <w:t>；</w:t>
      </w:r>
    </w:p>
    <w:p>
      <w:pPr>
        <w:pStyle w:val="235"/>
        <w:spacing w:line="240" w:lineRule="auto"/>
        <w:rPr>
          <w:rFonts w:hint="eastAsia" w:hAnsi="宋体"/>
          <w:highlight w:val="none"/>
          <w:lang w:eastAsia="zh-CN"/>
        </w:rPr>
      </w:pPr>
      <m:oMath>
        <m:r>
          <m:rPr/>
          <w:rPr>
            <w:rFonts w:hint="eastAsia" w:ascii="Cambria Math" w:hAnsi="Cambria Math" w:cs="Times New Roman"/>
            <w:sz w:val="21"/>
            <w:highlight w:val="none"/>
            <w:lang w:val="en-US" w:eastAsia="zh-CN" w:bidi="ar-SA"/>
          </w:rPr>
          <m:t>p</m:t>
        </m:r>
      </m:oMath>
      <w:r>
        <w:rPr>
          <w:rFonts w:hint="eastAsia" w:hAnsi="宋体"/>
          <w:highlight w:val="none"/>
        </w:rPr>
        <w:t>——代表温室气体的种类</w:t>
      </w:r>
      <w:r>
        <w:rPr>
          <w:rFonts w:hint="eastAsia" w:hAnsi="宋体"/>
          <w:highlight w:val="none"/>
          <w:lang w:eastAsia="zh-CN"/>
        </w:rPr>
        <w:t>；</w:t>
      </w:r>
    </w:p>
    <w:p>
      <w:pPr>
        <w:pStyle w:val="235"/>
        <w:spacing w:line="240" w:lineRule="auto"/>
        <w:ind w:left="0" w:leftChars="0" w:firstLine="420" w:firstLineChars="200"/>
        <w:rPr>
          <w:rFonts w:hint="eastAsia" w:hAnsi="宋体"/>
          <w:highlight w:val="none"/>
        </w:rPr>
      </w:pPr>
      <m:oMath>
        <m:sSub>
          <m:sSubPr>
            <m:ctrlPr>
              <w:rPr>
                <w:rFonts w:hint="eastAsia" w:ascii="Cambria Math" w:hAnsi="Cambria Math"/>
                <w:i/>
                <w:iCs/>
                <w:highlight w:val="none"/>
              </w:rPr>
            </m:ctrlPr>
          </m:sSubPr>
          <m:e>
            <m:r>
              <m:rPr/>
              <w:rPr>
                <w:rFonts w:hint="default" w:ascii="Cambria Math" w:hAnsi="Cambria Math"/>
                <w:highlight w:val="none"/>
              </w:rPr>
              <m:t>E</m:t>
            </m:r>
            <m:ctrlPr>
              <w:rPr>
                <w:rFonts w:hint="eastAsia" w:ascii="Cambria Math" w:hAnsi="Cambria Math"/>
                <w:i/>
                <w:iCs/>
                <w:highlight w:val="none"/>
              </w:rPr>
            </m:ctrlPr>
          </m:e>
          <m:sub>
            <m:r>
              <m:rPr/>
              <w:rPr>
                <w:rFonts w:hint="default" w:ascii="Cambria Math" w:hAnsi="Cambria Math"/>
                <w:highlight w:val="none"/>
                <w:lang w:val="en-US" w:eastAsia="zh-CN"/>
              </w:rPr>
              <m:t>i,j</m:t>
            </m:r>
            <m:ctrlPr>
              <w:rPr>
                <w:rFonts w:hint="eastAsia" w:ascii="Cambria Math" w:hAnsi="Cambria Math"/>
                <w:i/>
                <w:iCs/>
                <w:highlight w:val="none"/>
              </w:rPr>
            </m:ctrlPr>
          </m:sub>
        </m:sSub>
      </m:oMath>
      <w:r>
        <w:rPr>
          <w:rFonts w:hint="eastAsia" w:hAnsi="宋体"/>
          <w:highlight w:val="none"/>
        </w:rPr>
        <w:t>——单元过程</w:t>
      </w:r>
      <m:oMath>
        <m:r>
          <m:rPr/>
          <w:rPr>
            <w:rFonts w:hint="default" w:ascii="Cambria Math" w:hAnsi="Cambria Math"/>
            <w:highlight w:val="none"/>
            <w:lang w:val="en-US"/>
          </w:rPr>
          <m:t>i</m:t>
        </m:r>
      </m:oMath>
      <w:r>
        <w:rPr>
          <w:rFonts w:hint="eastAsia" w:hAnsi="宋体"/>
          <w:highlight w:val="none"/>
        </w:rPr>
        <w:t>中，</w:t>
      </w:r>
      <m:oMath>
        <m:r>
          <m:rPr/>
          <w:rPr>
            <w:rFonts w:hint="eastAsia" w:ascii="Cambria Math" w:hAnsi="Cambria Math" w:cs="Times New Roman"/>
            <w:sz w:val="21"/>
            <w:highlight w:val="none"/>
            <w:lang w:val="en-US" w:eastAsia="zh-CN" w:bidi="ar-SA"/>
          </w:rPr>
          <m:t>j</m:t>
        </m:r>
      </m:oMath>
      <w:r>
        <w:rPr>
          <w:rFonts w:hint="eastAsia" w:hAnsi="宋体"/>
          <w:highlight w:val="none"/>
        </w:rPr>
        <w:t>类排放源的温室气体排放量</w:t>
      </w:r>
      <w:r>
        <w:rPr>
          <w:rFonts w:hint="eastAsia" w:hAnsi="宋体"/>
          <w:highlight w:val="none"/>
          <w:lang w:eastAsia="zh-CN"/>
        </w:rPr>
        <w:t>（kg</w:t>
      </w:r>
      <w:r>
        <w:rPr>
          <w:rFonts w:hint="eastAsia" w:hAnsi="宋体"/>
          <w:highlight w:val="none"/>
        </w:rPr>
        <w:t>CO</w:t>
      </w:r>
      <w:r>
        <w:rPr>
          <w:rFonts w:hint="eastAsia" w:hAnsi="宋体"/>
          <w:highlight w:val="none"/>
          <w:vertAlign w:val="subscript"/>
        </w:rPr>
        <w:t>2</w:t>
      </w:r>
      <w:r>
        <w:rPr>
          <w:rFonts w:hint="eastAsia" w:hAnsi="宋体"/>
          <w:highlight w:val="none"/>
        </w:rPr>
        <w:t>e</w:t>
      </w:r>
      <w:r>
        <w:rPr>
          <w:rFonts w:hint="eastAsia" w:hAnsi="宋体"/>
          <w:highlight w:val="none"/>
          <w:lang w:eastAsia="zh-CN"/>
        </w:rPr>
        <w:t>）</w:t>
      </w:r>
      <w:r>
        <w:rPr>
          <w:rFonts w:hint="eastAsia" w:hAnsi="宋体"/>
          <w:highlight w:val="none"/>
        </w:rPr>
        <w:t>；</w:t>
      </w:r>
    </w:p>
    <w:p>
      <w:pPr>
        <w:pStyle w:val="235"/>
        <w:spacing w:line="240" w:lineRule="auto"/>
        <w:ind w:left="0" w:leftChars="0" w:firstLine="420" w:firstLineChars="200"/>
        <w:rPr>
          <w:rFonts w:hint="eastAsia" w:hAnsi="宋体"/>
          <w:highlight w:val="none"/>
        </w:rPr>
      </w:pPr>
      <m:oMath>
        <m:sSub>
          <m:sSubPr>
            <m:ctrlPr>
              <w:rPr>
                <w:rFonts w:hint="eastAsia" w:ascii="Cambria Math" w:hAnsi="Cambria Math"/>
                <w:i/>
                <w:iCs/>
                <w:highlight w:val="none"/>
              </w:rPr>
            </m:ctrlPr>
          </m:sSubPr>
          <m:e>
            <m:r>
              <m:rPr/>
              <w:rPr>
                <w:rFonts w:hint="default" w:ascii="Cambria Math" w:hAnsi="Cambria Math"/>
                <w:highlight w:val="none"/>
              </w:rPr>
              <m:t>AD</m:t>
            </m:r>
            <m:ctrlPr>
              <w:rPr>
                <w:rFonts w:hint="eastAsia" w:ascii="Cambria Math" w:hAnsi="Cambria Math"/>
                <w:i/>
                <w:iCs/>
                <w:highlight w:val="none"/>
              </w:rPr>
            </m:ctrlPr>
          </m:e>
          <m:sub>
            <m:r>
              <m:rPr/>
              <w:rPr>
                <w:rFonts w:hint="default" w:ascii="Cambria Math" w:hAnsi="Cambria Math"/>
                <w:highlight w:val="none"/>
              </w:rPr>
              <m:t>i</m:t>
            </m:r>
            <m:r>
              <m:rPr/>
              <w:rPr>
                <w:rFonts w:hint="default" w:ascii="Cambria Math" w:hAnsi="Cambria Math"/>
                <w:highlight w:val="none"/>
                <w:lang w:val="en-US" w:eastAsia="zh-CN"/>
              </w:rPr>
              <m:t>,j,p</m:t>
            </m:r>
            <m:ctrlPr>
              <w:rPr>
                <w:rFonts w:hint="eastAsia" w:ascii="Cambria Math" w:hAnsi="Cambria Math"/>
                <w:i/>
                <w:iCs/>
                <w:highlight w:val="none"/>
              </w:rPr>
            </m:ctrlPr>
          </m:sub>
        </m:sSub>
      </m:oMath>
      <w:r>
        <w:rPr>
          <w:rFonts w:hint="eastAsia" w:hAnsi="宋体"/>
          <w:highlight w:val="none"/>
        </w:rPr>
        <w:t>——单元过程</w:t>
      </w:r>
      <m:oMath>
        <m:r>
          <m:rPr/>
          <w:rPr>
            <w:rFonts w:hint="default" w:ascii="Cambria Math" w:hAnsi="Cambria Math"/>
            <w:highlight w:val="none"/>
            <w:lang w:val="en-US"/>
          </w:rPr>
          <m:t>i</m:t>
        </m:r>
      </m:oMath>
      <w:r>
        <w:rPr>
          <w:rFonts w:hint="eastAsia" w:hAnsi="宋体"/>
          <w:highlight w:val="none"/>
        </w:rPr>
        <w:t>中，</w:t>
      </w:r>
      <m:oMath>
        <m:r>
          <m:rPr/>
          <w:rPr>
            <w:rFonts w:hint="eastAsia" w:ascii="Cambria Math" w:hAnsi="Cambria Math" w:cs="Times New Roman"/>
            <w:sz w:val="21"/>
            <w:highlight w:val="none"/>
            <w:lang w:val="en-US" w:eastAsia="zh-CN" w:bidi="ar-SA"/>
          </w:rPr>
          <m:t>j</m:t>
        </m:r>
      </m:oMath>
      <w:r>
        <w:rPr>
          <w:rFonts w:hint="eastAsia" w:hAnsi="宋体"/>
          <w:highlight w:val="none"/>
        </w:rPr>
        <w:t>类排放源</w:t>
      </w:r>
      <m:oMath>
        <m:r>
          <m:rPr/>
          <w:rPr>
            <w:rFonts w:hint="eastAsia" w:ascii="Cambria Math" w:hAnsi="Cambria Math" w:cs="Times New Roman"/>
            <w:sz w:val="21"/>
            <w:highlight w:val="none"/>
            <w:lang w:val="en-US" w:eastAsia="zh-CN" w:bidi="ar-SA"/>
          </w:rPr>
          <m:t>p</m:t>
        </m:r>
      </m:oMath>
      <w:r>
        <w:rPr>
          <w:rFonts w:hint="eastAsia" w:hAnsi="宋体"/>
          <w:highlight w:val="none"/>
        </w:rPr>
        <w:t>种温室气体的活动水平数据；</w:t>
      </w:r>
    </w:p>
    <w:p>
      <w:pPr>
        <w:pStyle w:val="235"/>
        <w:spacing w:line="240" w:lineRule="auto"/>
        <w:rPr>
          <w:rFonts w:hint="eastAsia" w:hAnsi="宋体"/>
          <w:highlight w:val="none"/>
        </w:rPr>
      </w:pPr>
      <m:oMath>
        <m:sSub>
          <m:sSubPr>
            <m:ctrlPr>
              <w:rPr>
                <w:rFonts w:hint="eastAsia" w:ascii="Cambria Math" w:hAnsi="Cambria Math"/>
                <w:i/>
                <w:iCs/>
                <w:highlight w:val="none"/>
              </w:rPr>
            </m:ctrlPr>
          </m:sSubPr>
          <m:e>
            <m:r>
              <m:rPr/>
              <w:rPr>
                <w:rFonts w:hint="default" w:ascii="Cambria Math" w:hAnsi="Cambria Math"/>
                <w:highlight w:val="none"/>
              </w:rPr>
              <m:t>EF</m:t>
            </m:r>
            <m:ctrlPr>
              <w:rPr>
                <w:rFonts w:hint="eastAsia" w:ascii="Cambria Math" w:hAnsi="Cambria Math"/>
                <w:i/>
                <w:iCs/>
                <w:highlight w:val="none"/>
              </w:rPr>
            </m:ctrlPr>
          </m:e>
          <m:sub>
            <m:r>
              <m:rPr/>
              <w:rPr>
                <w:rFonts w:hint="default" w:ascii="Cambria Math" w:hAnsi="Cambria Math"/>
                <w:highlight w:val="none"/>
              </w:rPr>
              <m:t>i</m:t>
            </m:r>
            <m:r>
              <m:rPr/>
              <w:rPr>
                <w:rFonts w:hint="default" w:ascii="Cambria Math" w:hAnsi="Cambria Math"/>
                <w:highlight w:val="none"/>
                <w:lang w:val="en-US" w:eastAsia="zh-CN"/>
              </w:rPr>
              <m:t>,j,p</m:t>
            </m:r>
            <m:ctrlPr>
              <w:rPr>
                <w:rFonts w:hint="eastAsia" w:ascii="Cambria Math" w:hAnsi="Cambria Math"/>
                <w:i/>
                <w:iCs/>
                <w:highlight w:val="none"/>
              </w:rPr>
            </m:ctrlPr>
          </m:sub>
        </m:sSub>
      </m:oMath>
      <w:r>
        <w:rPr>
          <w:rFonts w:hint="eastAsia" w:hAnsi="宋体"/>
          <w:highlight w:val="none"/>
        </w:rPr>
        <w:t>——单元过程</w:t>
      </w:r>
      <m:oMath>
        <m:r>
          <m:rPr/>
          <w:rPr>
            <w:rFonts w:hint="default" w:ascii="Cambria Math" w:hAnsi="Cambria Math"/>
            <w:highlight w:val="none"/>
            <w:lang w:val="en-US"/>
          </w:rPr>
          <m:t>i</m:t>
        </m:r>
      </m:oMath>
      <w:r>
        <w:rPr>
          <w:rFonts w:hint="eastAsia" w:hAnsi="宋体"/>
          <w:highlight w:val="none"/>
        </w:rPr>
        <w:t>中，</w:t>
      </w:r>
      <m:oMath>
        <m:r>
          <m:rPr/>
          <w:rPr>
            <w:rFonts w:hint="eastAsia" w:ascii="Cambria Math" w:hAnsi="Cambria Math" w:cs="Times New Roman"/>
            <w:sz w:val="21"/>
            <w:highlight w:val="none"/>
            <w:lang w:val="en-US" w:eastAsia="zh-CN" w:bidi="ar-SA"/>
          </w:rPr>
          <m:t>j</m:t>
        </m:r>
      </m:oMath>
      <w:r>
        <w:rPr>
          <w:rFonts w:hint="eastAsia" w:hAnsi="宋体"/>
          <w:highlight w:val="none"/>
        </w:rPr>
        <w:t>类排放源</w:t>
      </w:r>
      <m:oMath>
        <m:r>
          <m:rPr/>
          <w:rPr>
            <w:rFonts w:hint="eastAsia" w:ascii="Cambria Math" w:hAnsi="Cambria Math" w:cs="Times New Roman"/>
            <w:sz w:val="21"/>
            <w:highlight w:val="none"/>
            <w:lang w:val="en-US" w:eastAsia="zh-CN" w:bidi="ar-SA"/>
          </w:rPr>
          <m:t>p</m:t>
        </m:r>
      </m:oMath>
      <w:r>
        <w:rPr>
          <w:rFonts w:hint="eastAsia" w:hAnsi="宋体"/>
          <w:highlight w:val="none"/>
        </w:rPr>
        <w:t>种温室气体的排放因子，其中使用的电力排放因子应为电力生命周期碳足迹因子；</w:t>
      </w:r>
    </w:p>
    <w:p>
      <w:pPr>
        <w:pStyle w:val="235"/>
        <w:spacing w:line="240" w:lineRule="auto"/>
        <w:rPr>
          <w:rFonts w:hint="default" w:ascii="宋体" w:hAnsi="Times New Roman" w:eastAsia="宋体" w:cs="Times New Roman"/>
          <w:kern w:val="0"/>
          <w:sz w:val="21"/>
          <w:szCs w:val="20"/>
          <w:highlight w:val="none"/>
          <w:lang w:val="en-US" w:eastAsia="zh-Hans" w:bidi="ar-SA"/>
        </w:rPr>
      </w:pPr>
      <m:oMath>
        <m:sSub>
          <m:sSubPr>
            <m:ctrlPr>
              <w:rPr>
                <w:rFonts w:hint="eastAsia" w:ascii="Cambria Math" w:hAnsi="Cambria Math"/>
                <w:i/>
                <w:iCs/>
                <w:highlight w:val="none"/>
              </w:rPr>
            </m:ctrlPr>
          </m:sSubPr>
          <m:e>
            <m:r>
              <m:rPr/>
              <w:rPr>
                <w:rFonts w:hint="default" w:ascii="Cambria Math" w:hAnsi="Cambria Math"/>
                <w:highlight w:val="none"/>
              </w:rPr>
              <m:t>GWP</m:t>
            </m:r>
            <m:ctrlPr>
              <w:rPr>
                <w:rFonts w:hint="eastAsia" w:ascii="Cambria Math" w:hAnsi="Cambria Math"/>
                <w:i/>
                <w:iCs/>
                <w:highlight w:val="none"/>
              </w:rPr>
            </m:ctrlPr>
          </m:e>
          <m:sub>
            <m:r>
              <m:rPr/>
              <w:rPr>
                <w:rFonts w:hint="default" w:ascii="Cambria Math" w:hAnsi="Cambria Math"/>
                <w:highlight w:val="none"/>
                <w:lang w:val="en-US" w:eastAsia="zh-CN"/>
              </w:rPr>
              <m:t>p</m:t>
            </m:r>
            <m:ctrlPr>
              <w:rPr>
                <w:rFonts w:hint="eastAsia" w:ascii="Cambria Math" w:hAnsi="Cambria Math"/>
                <w:i/>
                <w:iCs/>
                <w:highlight w:val="none"/>
              </w:rPr>
            </m:ctrlPr>
          </m:sub>
        </m:sSub>
      </m:oMath>
      <w:r>
        <w:rPr>
          <w:rFonts w:hint="eastAsia" w:hAnsi="宋体"/>
          <w:highlight w:val="none"/>
        </w:rPr>
        <w:t>——第</w:t>
      </w:r>
      <m:oMath>
        <m:r>
          <m:rPr/>
          <w:rPr>
            <w:rFonts w:hint="eastAsia" w:ascii="Cambria Math" w:hAnsi="Cambria Math" w:cs="Times New Roman"/>
            <w:sz w:val="21"/>
            <w:highlight w:val="none"/>
            <w:lang w:val="en-US" w:eastAsia="zh-CN" w:bidi="ar-SA"/>
          </w:rPr>
          <m:t>p</m:t>
        </m:r>
      </m:oMath>
      <w:r>
        <w:rPr>
          <w:rFonts w:hint="eastAsia" w:hAnsi="宋体"/>
          <w:highlight w:val="none"/>
        </w:rPr>
        <w:t>种活动对应的全球增温潜势值，需使用IPCC最新发布的气候评估报告（Assessment Report，AR）中的GWP值</w:t>
      </w:r>
      <w:r>
        <w:rPr>
          <w:rFonts w:hint="eastAsia" w:hAnsi="宋体"/>
          <w:highlight w:val="none"/>
          <w:lang w:eastAsia="zh-CN"/>
        </w:rPr>
        <w:t>。</w:t>
      </w:r>
      <w:r>
        <w:rPr>
          <w:rFonts w:hint="eastAsia" w:ascii="宋体" w:eastAsia="宋体" w:cs="Times New Roman"/>
          <w:kern w:val="0"/>
          <w:sz w:val="21"/>
          <w:szCs w:val="20"/>
          <w:highlight w:val="none"/>
          <w:lang w:val="en-US" w:eastAsia="zh-CN" w:bidi="ar-SA"/>
        </w:rPr>
        <w:t xml:space="preserve"> </w:t>
      </w:r>
    </w:p>
    <w:p>
      <w:pPr>
        <w:pStyle w:val="66"/>
        <w:spacing w:before="156" w:after="156"/>
        <w:rPr>
          <w:rFonts w:ascii="Times New Roman" w:hAnsi="Times New Roman" w:eastAsia="黑体" w:cs="Times New Roman"/>
          <w:b w:val="0"/>
          <w:bCs/>
          <w:sz w:val="21"/>
          <w:highlight w:val="none"/>
        </w:rPr>
      </w:pPr>
      <w:r>
        <w:rPr>
          <w:rFonts w:ascii="Times New Roman" w:hAnsi="Times New Roman" w:eastAsia="黑体" w:cs="Times New Roman"/>
          <w:b w:val="0"/>
          <w:bCs/>
          <w:sz w:val="21"/>
          <w:highlight w:val="none"/>
        </w:rPr>
        <w:t>碳抵消</w:t>
      </w:r>
    </w:p>
    <w:p>
      <w:pPr>
        <w:ind w:firstLine="404" w:firstLineChars="200"/>
        <w:jc w:val="both"/>
        <w:rPr>
          <w:rFonts w:ascii="Times New Roman" w:hAnsi="Times New Roman" w:eastAsia="宋体" w:cs="Times New Roman"/>
          <w:spacing w:val="-4"/>
          <w:highlight w:val="none"/>
        </w:rPr>
      </w:pPr>
      <w:r>
        <w:rPr>
          <w:rFonts w:ascii="Times New Roman" w:hAnsi="Times New Roman" w:eastAsia="宋体" w:cs="Times New Roman"/>
          <w:spacing w:val="-4"/>
          <w:highlight w:val="none"/>
        </w:rPr>
        <w:t>通过购买</w:t>
      </w:r>
      <w:r>
        <w:rPr>
          <w:rFonts w:hint="eastAsia" w:ascii="Times New Roman" w:hAnsi="Times New Roman" w:cs="Times New Roman"/>
          <w:spacing w:val="-4"/>
          <w:highlight w:val="none"/>
          <w:lang w:eastAsia="zh-CN"/>
        </w:rPr>
        <w:t>“</w:t>
      </w:r>
      <w:r>
        <w:rPr>
          <w:rFonts w:ascii="Times New Roman" w:hAnsi="Times New Roman" w:eastAsia="宋体" w:cs="Times New Roman"/>
          <w:spacing w:val="-4"/>
          <w:highlight w:val="none"/>
        </w:rPr>
        <w:t>碳信用额度</w:t>
      </w:r>
      <w:r>
        <w:rPr>
          <w:rFonts w:hint="eastAsia" w:ascii="Times New Roman" w:hAnsi="Times New Roman" w:cs="Times New Roman"/>
          <w:spacing w:val="-4"/>
          <w:highlight w:val="none"/>
          <w:lang w:eastAsia="zh-CN"/>
        </w:rPr>
        <w:t>”</w:t>
      </w:r>
      <w:r>
        <w:rPr>
          <w:rFonts w:ascii="Times New Roman" w:hAnsi="Times New Roman" w:eastAsia="宋体" w:cs="Times New Roman"/>
          <w:spacing w:val="-4"/>
          <w:highlight w:val="none"/>
        </w:rPr>
        <w:t>开展的碳抵消，不可用于产品碳足迹</w:t>
      </w:r>
      <w:r>
        <w:rPr>
          <w:rFonts w:hint="eastAsia" w:ascii="Times New Roman" w:hAnsi="Times New Roman" w:cs="Times New Roman"/>
          <w:spacing w:val="-4"/>
          <w:highlight w:val="none"/>
          <w:lang w:eastAsia="zh-CN"/>
        </w:rPr>
        <w:t>评价</w:t>
      </w:r>
      <w:r>
        <w:rPr>
          <w:rFonts w:ascii="Times New Roman" w:hAnsi="Times New Roman" w:eastAsia="宋体" w:cs="Times New Roman"/>
          <w:spacing w:val="-4"/>
          <w:highlight w:val="none"/>
        </w:rPr>
        <w:t>，但可以作为额外的环境信息单独报告。</w:t>
      </w:r>
    </w:p>
    <w:p>
      <w:pPr>
        <w:pStyle w:val="106"/>
        <w:spacing w:before="156" w:after="156"/>
        <w:rPr>
          <w:highlight w:val="none"/>
        </w:rPr>
      </w:pPr>
      <w:r>
        <w:rPr>
          <w:rFonts w:hint="eastAsia"/>
          <w:highlight w:val="none"/>
        </w:rPr>
        <w:t>分配</w:t>
      </w:r>
    </w:p>
    <w:p>
      <w:pPr>
        <w:pStyle w:val="66"/>
        <w:spacing w:before="156" w:after="156"/>
        <w:rPr>
          <w:rFonts w:hint="eastAsia"/>
          <w:highlight w:val="none"/>
        </w:rPr>
      </w:pPr>
      <w:r>
        <w:rPr>
          <w:rFonts w:hint="eastAsia"/>
          <w:highlight w:val="none"/>
          <w:lang w:val="en-US" w:eastAsia="zh-CN"/>
        </w:rPr>
        <w:t>在产品碳足迹评价过程中，对温室气体排放量的分配分为如下情况：</w:t>
      </w:r>
    </w:p>
    <w:p>
      <w:pPr>
        <w:pStyle w:val="175"/>
        <w:numPr>
          <w:ilvl w:val="0"/>
          <w:numId w:val="50"/>
        </w:numPr>
        <w:spacing w:line="240" w:lineRule="auto"/>
        <w:rPr>
          <w:rFonts w:ascii="Times New Roman"/>
          <w:spacing w:val="-4"/>
          <w:highlight w:val="none"/>
        </w:rPr>
      </w:pPr>
      <w:r>
        <w:rPr>
          <w:rFonts w:hint="eastAsia" w:ascii="Times New Roman"/>
          <w:spacing w:val="-4"/>
          <w:highlight w:val="none"/>
          <w:lang w:val="en-US" w:eastAsia="zh-CN"/>
        </w:rPr>
        <w:t>同一单元过程生产多个产品；</w:t>
      </w:r>
    </w:p>
    <w:p>
      <w:pPr>
        <w:pStyle w:val="175"/>
        <w:numPr>
          <w:ilvl w:val="0"/>
          <w:numId w:val="50"/>
        </w:numPr>
        <w:spacing w:line="240" w:lineRule="auto"/>
        <w:rPr>
          <w:rFonts w:ascii="Times New Roman"/>
          <w:spacing w:val="-4"/>
          <w:highlight w:val="none"/>
        </w:rPr>
      </w:pPr>
      <w:r>
        <w:rPr>
          <w:rFonts w:hint="eastAsia" w:ascii="Times New Roman"/>
          <w:spacing w:val="-4"/>
          <w:highlight w:val="none"/>
          <w:lang w:val="en-US" w:eastAsia="zh-CN"/>
        </w:rPr>
        <w:t>公共设施的能源消耗分配到不同的生产线或单元过程；</w:t>
      </w:r>
    </w:p>
    <w:p>
      <w:pPr>
        <w:pStyle w:val="175"/>
        <w:numPr>
          <w:ilvl w:val="0"/>
          <w:numId w:val="50"/>
        </w:numPr>
        <w:spacing w:line="240" w:lineRule="auto"/>
        <w:rPr>
          <w:rFonts w:ascii="Times New Roman"/>
          <w:spacing w:val="-4"/>
          <w:highlight w:val="none"/>
        </w:rPr>
      </w:pPr>
      <w:r>
        <w:rPr>
          <w:rFonts w:hint="eastAsia" w:ascii="Times New Roman"/>
          <w:spacing w:val="-4"/>
          <w:highlight w:val="none"/>
          <w:lang w:val="en-US" w:eastAsia="zh-CN"/>
        </w:rPr>
        <w:t>废水、废气和固体废弃物处理过程（包括委外处理）温室气体排放分配到不同的产品。</w:t>
      </w:r>
    </w:p>
    <w:p>
      <w:pPr>
        <w:pStyle w:val="66"/>
        <w:spacing w:before="156" w:after="156"/>
        <w:rPr>
          <w:highlight w:val="none"/>
        </w:rPr>
      </w:pPr>
      <w:r>
        <w:rPr>
          <w:rFonts w:hint="eastAsia"/>
          <w:highlight w:val="none"/>
        </w:rPr>
        <w:t>应根据GB/T 24040及GB/T 24044中规定的分配</w:t>
      </w:r>
      <w:r>
        <w:rPr>
          <w:rFonts w:hint="eastAsia"/>
          <w:highlight w:val="none"/>
          <w:lang w:val="en-US" w:eastAsia="zh-CN"/>
        </w:rPr>
        <w:t>原则：</w:t>
      </w:r>
    </w:p>
    <w:p>
      <w:pPr>
        <w:pStyle w:val="175"/>
        <w:numPr>
          <w:ilvl w:val="0"/>
          <w:numId w:val="51"/>
        </w:numPr>
        <w:spacing w:line="240" w:lineRule="auto"/>
        <w:rPr>
          <w:highlight w:val="none"/>
        </w:rPr>
      </w:pPr>
      <w:r>
        <w:rPr>
          <w:rFonts w:hint="eastAsia"/>
          <w:highlight w:val="none"/>
        </w:rPr>
        <w:t>尽可能避免分配；</w:t>
      </w:r>
    </w:p>
    <w:p>
      <w:pPr>
        <w:pStyle w:val="175"/>
        <w:numPr>
          <w:ilvl w:val="0"/>
          <w:numId w:val="51"/>
        </w:numPr>
        <w:spacing w:line="240" w:lineRule="auto"/>
        <w:rPr>
          <w:rFonts w:ascii="Times New Roman"/>
          <w:spacing w:val="-4"/>
          <w:highlight w:val="none"/>
        </w:rPr>
      </w:pPr>
      <w:r>
        <w:rPr>
          <w:rFonts w:hint="eastAsia" w:ascii="Times New Roman"/>
          <w:spacing w:val="-4"/>
          <w:highlight w:val="none"/>
          <w:lang w:val="en-US" w:eastAsia="zh-CN"/>
        </w:rPr>
        <w:t>优先使用</w:t>
      </w:r>
      <w:r>
        <w:rPr>
          <w:rFonts w:hint="eastAsia" w:ascii="Times New Roman"/>
          <w:spacing w:val="-4"/>
          <w:highlight w:val="none"/>
        </w:rPr>
        <w:t>物理关系进行分配</w:t>
      </w:r>
      <w:r>
        <w:rPr>
          <w:rFonts w:ascii="Times New Roman"/>
          <w:spacing w:val="-4"/>
          <w:highlight w:val="none"/>
        </w:rPr>
        <w:t>；</w:t>
      </w:r>
    </w:p>
    <w:p>
      <w:pPr>
        <w:pStyle w:val="175"/>
        <w:numPr>
          <w:ilvl w:val="0"/>
          <w:numId w:val="51"/>
        </w:numPr>
        <w:spacing w:line="240" w:lineRule="auto"/>
        <w:rPr>
          <w:highlight w:val="none"/>
        </w:rPr>
      </w:pPr>
      <w:r>
        <w:rPr>
          <w:rFonts w:ascii="Times New Roman"/>
          <w:spacing w:val="-4"/>
          <w:highlight w:val="none"/>
        </w:rPr>
        <w:t>若无法建立物理关系，</w:t>
      </w:r>
      <w:r>
        <w:rPr>
          <w:rFonts w:hint="eastAsia" w:ascii="Times New Roman"/>
          <w:spacing w:val="-4"/>
          <w:highlight w:val="none"/>
          <w:lang w:val="en-US" w:eastAsia="zh-CN"/>
        </w:rPr>
        <w:t>应</w:t>
      </w:r>
      <w:r>
        <w:rPr>
          <w:rFonts w:ascii="Times New Roman"/>
          <w:spacing w:val="-4"/>
          <w:highlight w:val="none"/>
        </w:rPr>
        <w:t>根据经济价值或其它关系进行分配，且应提供所使用分配关系的依据</w:t>
      </w:r>
      <w:r>
        <w:rPr>
          <w:rFonts w:hAnsi="宋体" w:cs="宋体"/>
          <w:spacing w:val="-4"/>
          <w:highlight w:val="none"/>
        </w:rPr>
        <w:t>及计算说明</w:t>
      </w:r>
      <w:r>
        <w:rPr>
          <w:rFonts w:hint="eastAsia" w:hAnsi="宋体" w:cs="宋体"/>
          <w:spacing w:val="-4"/>
          <w:highlight w:val="none"/>
          <w:lang w:eastAsia="zh-CN"/>
        </w:rPr>
        <w:t>；</w:t>
      </w:r>
    </w:p>
    <w:p>
      <w:pPr>
        <w:pStyle w:val="180"/>
        <w:numPr>
          <w:ilvl w:val="0"/>
          <w:numId w:val="52"/>
        </w:numPr>
        <w:rPr>
          <w:highlight w:val="none"/>
        </w:rPr>
      </w:pPr>
      <w:r>
        <w:rPr>
          <w:rFonts w:hint="eastAsia"/>
          <w:highlight w:val="none"/>
        </w:rPr>
        <w:t>物理关系包括数量、质量、工时等。</w:t>
      </w:r>
    </w:p>
    <w:p>
      <w:pPr>
        <w:pStyle w:val="66"/>
        <w:spacing w:before="156" w:after="156"/>
        <w:rPr>
          <w:rFonts w:ascii="Times New Roman" w:hAnsi="Times New Roman" w:eastAsia="宋体" w:cs="Times New Roman"/>
          <w:spacing w:val="-4"/>
          <w:highlight w:val="none"/>
        </w:rPr>
      </w:pPr>
      <w:r>
        <w:rPr>
          <w:rFonts w:hint="eastAsia"/>
          <w:highlight w:val="none"/>
        </w:rPr>
        <w:t>针对不同情况下的具体分配方法如下：</w:t>
      </w:r>
    </w:p>
    <w:p>
      <w:pPr>
        <w:pStyle w:val="175"/>
        <w:numPr>
          <w:ilvl w:val="0"/>
          <w:numId w:val="53"/>
        </w:numPr>
        <w:spacing w:line="240" w:lineRule="auto"/>
        <w:rPr>
          <w:rFonts w:hint="eastAsia"/>
          <w:highlight w:val="none"/>
        </w:rPr>
      </w:pPr>
      <w:r>
        <w:rPr>
          <w:rFonts w:hint="eastAsia"/>
          <w:highlight w:val="none"/>
        </w:rPr>
        <w:t>对产出多种产品（包括副产品）的同一单元</w:t>
      </w:r>
      <w:r>
        <w:rPr>
          <w:rFonts w:hint="eastAsia"/>
          <w:highlight w:val="none"/>
          <w:lang w:eastAsia="zh-CN"/>
        </w:rPr>
        <w:t>（</w:t>
      </w:r>
      <w:r>
        <w:rPr>
          <w:rFonts w:hint="eastAsia"/>
          <w:highlight w:val="none"/>
          <w:lang w:val="en-US" w:eastAsia="zh-CN"/>
        </w:rPr>
        <w:t>如</w:t>
      </w:r>
      <w:r>
        <w:rPr>
          <w:rFonts w:hint="eastAsia"/>
          <w:highlight w:val="none"/>
        </w:rPr>
        <w:t>同一</w:t>
      </w:r>
      <w:r>
        <w:rPr>
          <w:rFonts w:hint="eastAsia"/>
          <w:highlight w:val="none"/>
          <w:lang w:val="en-US" w:eastAsia="zh-CN"/>
        </w:rPr>
        <w:t>生</w:t>
      </w:r>
      <w:r>
        <w:rPr>
          <w:rFonts w:hint="eastAsia"/>
          <w:highlight w:val="none"/>
        </w:rPr>
        <w:t>产线</w:t>
      </w:r>
      <w:r>
        <w:rPr>
          <w:rFonts w:hint="eastAsia"/>
          <w:highlight w:val="none"/>
          <w:lang w:eastAsia="zh-CN"/>
        </w:rPr>
        <w:t>）</w:t>
      </w:r>
      <w:r>
        <w:rPr>
          <w:rFonts w:hint="eastAsia"/>
          <w:highlight w:val="none"/>
        </w:rPr>
        <w:t>，可采用该单元过程或产线的产品产量（如幅宽相同面料的米数，或面料的面积）进行分配；</w:t>
      </w:r>
    </w:p>
    <w:p>
      <w:pPr>
        <w:pStyle w:val="175"/>
        <w:numPr>
          <w:ilvl w:val="0"/>
          <w:numId w:val="53"/>
        </w:numPr>
        <w:spacing w:line="240" w:lineRule="auto"/>
        <w:rPr>
          <w:rFonts w:hint="eastAsia"/>
          <w:highlight w:val="none"/>
        </w:rPr>
      </w:pPr>
      <w:r>
        <w:rPr>
          <w:rFonts w:hint="eastAsia"/>
          <w:highlight w:val="none"/>
        </w:rPr>
        <w:t>若某个链段产出具有利用价值的副产品时，同样需要对该链段的核算数据进行分配</w:t>
      </w:r>
      <w:r>
        <w:rPr>
          <w:rFonts w:hint="eastAsia"/>
          <w:highlight w:val="none"/>
          <w:lang w:eastAsia="zh-CN"/>
        </w:rPr>
        <w:t>；</w:t>
      </w:r>
    </w:p>
    <w:p>
      <w:pPr>
        <w:pStyle w:val="223"/>
        <w:bidi w:val="0"/>
        <w:spacing w:line="240" w:lineRule="auto"/>
        <w:rPr>
          <w:rFonts w:hint="default" w:eastAsia="黑体"/>
          <w:highlight w:val="none"/>
          <w:lang w:val="en-US" w:eastAsia="zh-CN"/>
        </w:rPr>
      </w:pPr>
      <w:r>
        <w:rPr>
          <w:rFonts w:hint="eastAsia" w:ascii="黑体" w:hAnsi="黑体" w:eastAsia="黑体" w:cs="黑体"/>
          <w:b w:val="0"/>
          <w:bCs w:val="0"/>
          <w:sz w:val="18"/>
          <w:szCs w:val="18"/>
          <w:highlight w:val="none"/>
        </w:rPr>
        <w:t>注</w:t>
      </w:r>
      <w:r>
        <w:rPr>
          <w:rFonts w:hint="eastAsia" w:ascii="黑体" w:hAnsi="黑体" w:eastAsia="黑体" w:cs="黑体"/>
          <w:b w:val="0"/>
          <w:bCs w:val="0"/>
          <w:sz w:val="18"/>
          <w:szCs w:val="18"/>
          <w:highlight w:val="none"/>
          <w:lang w:eastAsia="zh-CN"/>
        </w:rPr>
        <w:t>：</w:t>
      </w:r>
      <w:r>
        <w:rPr>
          <w:rFonts w:hint="eastAsia" w:ascii="宋体" w:hAnsi="宋体" w:eastAsia="宋体" w:cs="宋体"/>
          <w:b w:val="0"/>
          <w:bCs w:val="0"/>
          <w:sz w:val="18"/>
          <w:szCs w:val="18"/>
          <w:highlight w:val="none"/>
        </w:rPr>
        <w:t>缫丝阶段同时产生</w:t>
      </w:r>
      <w:r>
        <w:rPr>
          <w:rFonts w:hint="eastAsia" w:ascii="宋体" w:hAnsi="宋体" w:eastAsia="宋体" w:cs="宋体"/>
          <w:b w:val="0"/>
          <w:bCs w:val="0"/>
          <w:sz w:val="18"/>
          <w:szCs w:val="18"/>
          <w:highlight w:val="none"/>
          <w:lang w:val="en-US" w:eastAsia="zh-CN"/>
        </w:rPr>
        <w:t>有价值的三种产品：</w:t>
      </w:r>
      <w:r>
        <w:rPr>
          <w:rFonts w:hint="eastAsia" w:ascii="宋体" w:hAnsi="宋体" w:eastAsia="宋体" w:cs="宋体"/>
          <w:b w:val="0"/>
          <w:bCs w:val="0"/>
          <w:sz w:val="18"/>
          <w:szCs w:val="18"/>
          <w:highlight w:val="none"/>
        </w:rPr>
        <w:t>蚕丝、蛹衬、蚕蛹，则应将缫丝阶段的数据在三种产品中</w:t>
      </w:r>
      <w:r>
        <w:rPr>
          <w:rFonts w:hint="eastAsia" w:ascii="宋体" w:hAnsi="宋体" w:eastAsia="宋体" w:cs="宋体"/>
          <w:b w:val="0"/>
          <w:bCs w:val="0"/>
          <w:sz w:val="18"/>
          <w:szCs w:val="18"/>
          <w:highlight w:val="none"/>
          <w:lang w:val="en-US" w:eastAsia="zh-CN"/>
        </w:rPr>
        <w:t>通过产品价值</w:t>
      </w:r>
      <w:r>
        <w:rPr>
          <w:rFonts w:hint="eastAsia" w:ascii="宋体" w:hAnsi="宋体" w:eastAsia="宋体" w:cs="宋体"/>
          <w:b w:val="0"/>
          <w:bCs w:val="0"/>
          <w:sz w:val="18"/>
          <w:szCs w:val="18"/>
          <w:highlight w:val="none"/>
        </w:rPr>
        <w:t>进行分配</w:t>
      </w:r>
      <w:r>
        <w:rPr>
          <w:rFonts w:hint="eastAsia" w:ascii="宋体" w:hAnsi="宋体" w:eastAsia="宋体" w:cs="宋体"/>
          <w:b w:val="0"/>
          <w:bCs w:val="0"/>
          <w:sz w:val="18"/>
          <w:szCs w:val="18"/>
          <w:highlight w:val="none"/>
          <w:lang w:eastAsia="zh-CN"/>
        </w:rPr>
        <w:t>；</w:t>
      </w:r>
      <w:r>
        <w:rPr>
          <w:rFonts w:hint="eastAsia" w:ascii="宋体" w:hAnsi="宋体" w:eastAsia="宋体" w:cs="宋体"/>
          <w:b w:val="0"/>
          <w:bCs w:val="0"/>
          <w:sz w:val="18"/>
          <w:szCs w:val="18"/>
          <w:highlight w:val="none"/>
          <w:lang w:val="en-US" w:eastAsia="zh-CN"/>
        </w:rPr>
        <w:t>并且蚕丝脱胶时可以产生有价值的丝胶蛋白</w:t>
      </w:r>
      <w:r>
        <w:rPr>
          <w:rFonts w:hint="eastAsia" w:ascii="黑体" w:hAnsi="黑体" w:eastAsia="黑体" w:cs="黑体"/>
          <w:b w:val="0"/>
          <w:bCs w:val="0"/>
          <w:highlight w:val="none"/>
          <w:lang w:val="en-US" w:eastAsia="zh-CN"/>
        </w:rPr>
        <w:t>。</w:t>
      </w:r>
    </w:p>
    <w:p>
      <w:pPr>
        <w:pStyle w:val="175"/>
        <w:numPr>
          <w:ilvl w:val="0"/>
          <w:numId w:val="53"/>
        </w:numPr>
        <w:spacing w:line="240" w:lineRule="auto"/>
        <w:rPr>
          <w:rFonts w:hint="eastAsia"/>
          <w:highlight w:val="none"/>
        </w:rPr>
      </w:pPr>
      <w:r>
        <w:rPr>
          <w:rFonts w:hint="eastAsia"/>
          <w:highlight w:val="none"/>
        </w:rPr>
        <w:t>对公共设施能源消耗产生的温室气体排放，在划分单元过程的时候应确保各单元过程输入能</w:t>
      </w:r>
    </w:p>
    <w:p>
      <w:pPr>
        <w:pStyle w:val="175"/>
        <w:numPr>
          <w:ilvl w:val="0"/>
          <w:numId w:val="0"/>
        </w:numPr>
        <w:spacing w:line="240" w:lineRule="auto"/>
        <w:ind w:left="844" w:leftChars="402" w:firstLine="0" w:firstLineChars="0"/>
        <w:rPr>
          <w:rFonts w:hint="eastAsia"/>
          <w:highlight w:val="none"/>
        </w:rPr>
      </w:pPr>
      <w:r>
        <w:rPr>
          <w:rFonts w:hint="eastAsia"/>
          <w:highlight w:val="none"/>
        </w:rPr>
        <w:t>源和资源可以计量。如不可单独计量，则应根据该单元过程生产产品产量占全厂产品总产量的比例进行分配</w:t>
      </w:r>
      <w:r>
        <w:rPr>
          <w:rFonts w:hint="eastAsia"/>
          <w:highlight w:val="none"/>
          <w:lang w:eastAsia="zh-CN"/>
        </w:rPr>
        <w:t>；</w:t>
      </w:r>
    </w:p>
    <w:p>
      <w:pPr>
        <w:pStyle w:val="175"/>
        <w:numPr>
          <w:ilvl w:val="0"/>
          <w:numId w:val="53"/>
        </w:numPr>
        <w:spacing w:line="240" w:lineRule="auto"/>
        <w:rPr>
          <w:rFonts w:hint="eastAsia"/>
          <w:highlight w:val="none"/>
        </w:rPr>
      </w:pPr>
      <w:r>
        <w:rPr>
          <w:rFonts w:hint="eastAsia"/>
          <w:highlight w:val="none"/>
        </w:rPr>
        <w:t>对废水</w:t>
      </w:r>
      <w:r>
        <w:rPr>
          <w:rFonts w:hint="eastAsia"/>
          <w:highlight w:val="none"/>
          <w:lang w:eastAsia="zh-CN"/>
        </w:rPr>
        <w:t>、</w:t>
      </w:r>
      <w:r>
        <w:rPr>
          <w:rFonts w:hint="eastAsia"/>
          <w:highlight w:val="none"/>
          <w:lang w:val="en-US" w:eastAsia="zh-CN"/>
        </w:rPr>
        <w:t>废气</w:t>
      </w:r>
      <w:r>
        <w:rPr>
          <w:rFonts w:hint="eastAsia"/>
          <w:highlight w:val="none"/>
        </w:rPr>
        <w:t>和</w:t>
      </w:r>
      <w:r>
        <w:rPr>
          <w:rFonts w:hint="eastAsia"/>
          <w:highlight w:val="none"/>
          <w:lang w:eastAsia="zh-CN"/>
        </w:rPr>
        <w:t>固体废弃物</w:t>
      </w:r>
      <w:r>
        <w:rPr>
          <w:rFonts w:hint="eastAsia"/>
          <w:highlight w:val="none"/>
        </w:rPr>
        <w:t>处理过程（包括委外处理）的温室气体排放，应根据该单元过程生产产品产量占全厂产品总产量的比例进行分配。</w:t>
      </w:r>
    </w:p>
    <w:p>
      <w:pPr>
        <w:pStyle w:val="106"/>
        <w:spacing w:before="156" w:after="156"/>
      </w:pPr>
      <w:r>
        <w:rPr>
          <w:rFonts w:hint="eastAsia"/>
        </w:rPr>
        <w:t>碳足迹结果的评估与解释</w:t>
      </w:r>
    </w:p>
    <w:p>
      <w:pPr>
        <w:pStyle w:val="66"/>
        <w:spacing w:before="156" w:after="156"/>
        <w:rPr>
          <w:rFonts w:hint="default"/>
          <w:lang w:val="en-US" w:eastAsia="zh-CN"/>
        </w:rPr>
      </w:pPr>
      <w:r>
        <w:rPr>
          <w:rFonts w:hint="eastAsia"/>
          <w:lang w:val="en-US" w:eastAsia="zh-CN"/>
        </w:rPr>
        <w:t>概述</w:t>
      </w:r>
    </w:p>
    <w:p>
      <w:pPr>
        <w:pStyle w:val="57"/>
        <w:ind w:firstLine="420"/>
      </w:pPr>
      <w:r>
        <w:rPr>
          <w:rFonts w:hint="eastAsia"/>
        </w:rPr>
        <w:t>应对产品</w:t>
      </w:r>
      <w:r>
        <w:rPr>
          <w:rFonts w:hint="eastAsia"/>
          <w:lang w:eastAsia="zh-CN"/>
        </w:rPr>
        <w:t>碳足迹评价</w:t>
      </w:r>
      <w:r>
        <w:rPr>
          <w:rFonts w:hint="eastAsia"/>
        </w:rPr>
        <w:t>结果进行分析和评价，以确保分析过程符合评价的目标和质量要求，并得到相应的结论和</w:t>
      </w:r>
      <w:r>
        <w:rPr>
          <w:rFonts w:hint="eastAsia"/>
          <w:lang w:val="en-US" w:eastAsia="zh-CN"/>
        </w:rPr>
        <w:t>进一步降低产品碳足迹的建议</w:t>
      </w:r>
      <w:r>
        <w:rPr>
          <w:rFonts w:hint="eastAsia"/>
        </w:rPr>
        <w:t>。</w:t>
      </w:r>
    </w:p>
    <w:p>
      <w:pPr>
        <w:pStyle w:val="66"/>
        <w:spacing w:before="156" w:after="156"/>
        <w:rPr>
          <w:highlight w:val="none"/>
        </w:rPr>
      </w:pPr>
      <w:r>
        <w:rPr>
          <w:rFonts w:hint="eastAsia"/>
          <w:highlight w:val="none"/>
        </w:rPr>
        <w:t>碳足迹分析过程的可靠性评估</w:t>
      </w:r>
    </w:p>
    <w:p>
      <w:pPr>
        <w:pStyle w:val="235"/>
        <w:spacing w:before="120" w:after="120" w:line="240" w:lineRule="auto"/>
        <w:rPr>
          <w:rFonts w:ascii="Times New Roman"/>
          <w:highlight w:val="none"/>
        </w:rPr>
      </w:pPr>
      <w:r>
        <w:rPr>
          <w:rFonts w:ascii="Times New Roman"/>
          <w:highlight w:val="none"/>
        </w:rPr>
        <w:t>应对碳足迹分析过程中采用的方法进行可靠性评估。评估应从以下三方面开展：</w:t>
      </w:r>
    </w:p>
    <w:p>
      <w:pPr>
        <w:pStyle w:val="234"/>
        <w:numPr>
          <w:ilvl w:val="0"/>
          <w:numId w:val="54"/>
        </w:numPr>
        <w:spacing w:line="240" w:lineRule="auto"/>
        <w:rPr>
          <w:rFonts w:ascii="Times New Roman"/>
          <w:szCs w:val="21"/>
          <w:highlight w:val="none"/>
        </w:rPr>
      </w:pPr>
      <w:r>
        <w:rPr>
          <w:rFonts w:ascii="Times New Roman"/>
          <w:szCs w:val="21"/>
          <w:highlight w:val="none"/>
        </w:rPr>
        <w:t>完整性：评估生命周期清单数据，以确保其相对于定义的目标、范围、系统边界和质量标准是完整的，包括过程覆盖的完整性和输入/输出覆盖范围完整性；</w:t>
      </w:r>
    </w:p>
    <w:p>
      <w:pPr>
        <w:pStyle w:val="234"/>
        <w:numPr>
          <w:ilvl w:val="0"/>
          <w:numId w:val="54"/>
        </w:numPr>
        <w:spacing w:line="240" w:lineRule="auto"/>
        <w:rPr>
          <w:rFonts w:ascii="Times New Roman"/>
          <w:szCs w:val="21"/>
          <w:highlight w:val="none"/>
        </w:rPr>
      </w:pPr>
      <w:r>
        <w:rPr>
          <w:rFonts w:ascii="Times New Roman"/>
          <w:szCs w:val="21"/>
          <w:highlight w:val="none"/>
        </w:rPr>
        <w:t>敏感性</w:t>
      </w:r>
      <w:r>
        <w:rPr>
          <w:rFonts w:hint="eastAsia" w:ascii="Times New Roman"/>
          <w:szCs w:val="21"/>
          <w:highlight w:val="none"/>
          <w:lang w:eastAsia="zh-CN"/>
        </w:rPr>
        <w:t>：</w:t>
      </w:r>
      <w:r>
        <w:rPr>
          <w:rFonts w:ascii="Times New Roman"/>
          <w:szCs w:val="21"/>
          <w:highlight w:val="none"/>
        </w:rPr>
        <w:t>评估结果由特定方法选择决定的程度，以及在可识别的情况下实施替代选择的影响。</w:t>
      </w:r>
      <w:r>
        <w:rPr>
          <w:rFonts w:hint="eastAsia" w:ascii="Times New Roman"/>
          <w:szCs w:val="21"/>
          <w:highlight w:val="none"/>
        </w:rPr>
        <w:t>敏感性评估应包括：</w:t>
      </w:r>
    </w:p>
    <w:p>
      <w:pPr>
        <w:pStyle w:val="110"/>
        <w:numPr>
          <w:ilvl w:val="1"/>
          <w:numId w:val="55"/>
        </w:numPr>
        <w:spacing w:line="240" w:lineRule="auto"/>
        <w:rPr>
          <w:rFonts w:hint="eastAsia"/>
          <w:highlight w:val="none"/>
          <w:lang w:val="en-US" w:eastAsia="zh-CN"/>
        </w:rPr>
      </w:pPr>
      <w:r>
        <w:rPr>
          <w:rFonts w:hint="eastAsia"/>
          <w:highlight w:val="none"/>
          <w:lang w:val="en-US" w:eastAsia="zh-CN"/>
        </w:rPr>
        <w:t>对碳足迹研究的每个阶段进行结构敏感性检查，包括目标和范围的定义、生命周期清单和排放因子影响评估；</w:t>
      </w:r>
    </w:p>
    <w:p>
      <w:pPr>
        <w:pStyle w:val="110"/>
        <w:numPr>
          <w:ilvl w:val="1"/>
          <w:numId w:val="55"/>
        </w:numPr>
        <w:spacing w:line="240" w:lineRule="auto"/>
        <w:rPr>
          <w:rFonts w:hint="eastAsia"/>
          <w:highlight w:val="none"/>
          <w:lang w:val="en-US" w:eastAsia="zh-CN"/>
        </w:rPr>
      </w:pPr>
      <w:r>
        <w:rPr>
          <w:rFonts w:hint="eastAsia"/>
          <w:highlight w:val="none"/>
          <w:lang w:val="en-US" w:eastAsia="zh-CN"/>
        </w:rPr>
        <w:t>对重要输入、输出和方法选择的敏感性分析，包括分配程序，以了解结果的敏感性和不确定性；</w:t>
      </w:r>
    </w:p>
    <w:p>
      <w:pPr>
        <w:pStyle w:val="110"/>
        <w:numPr>
          <w:ilvl w:val="1"/>
          <w:numId w:val="55"/>
        </w:numPr>
        <w:spacing w:line="240" w:lineRule="auto"/>
        <w:rPr>
          <w:rFonts w:hint="eastAsia"/>
          <w:highlight w:val="none"/>
          <w:lang w:val="en-US" w:eastAsia="zh-CN"/>
        </w:rPr>
      </w:pPr>
      <w:r>
        <w:rPr>
          <w:rFonts w:hint="eastAsia"/>
          <w:highlight w:val="none"/>
          <w:lang w:val="en-US" w:eastAsia="zh-CN"/>
        </w:rPr>
        <w:t>评估替代使用概况对最终结果的影响。</w:t>
      </w:r>
    </w:p>
    <w:p>
      <w:pPr>
        <w:pStyle w:val="234"/>
        <w:numPr>
          <w:ilvl w:val="0"/>
          <w:numId w:val="54"/>
        </w:numPr>
        <w:spacing w:line="240" w:lineRule="auto"/>
        <w:rPr>
          <w:rFonts w:ascii="Times New Roman"/>
          <w:szCs w:val="21"/>
          <w:highlight w:val="none"/>
        </w:rPr>
      </w:pPr>
      <w:r>
        <w:rPr>
          <w:rFonts w:ascii="Times New Roman"/>
          <w:szCs w:val="21"/>
          <w:highlight w:val="none"/>
        </w:rPr>
        <w:t>一致性：评估假设、方法和数据质量考虑因素在整个碳足迹研究中应用的一致性程度。</w:t>
      </w:r>
    </w:p>
    <w:p>
      <w:pPr>
        <w:pStyle w:val="235"/>
        <w:spacing w:before="120" w:after="120" w:line="240" w:lineRule="auto"/>
        <w:rPr>
          <w:rFonts w:ascii="Times New Roman"/>
          <w:highlight w:val="none"/>
        </w:rPr>
      </w:pPr>
      <w:r>
        <w:rPr>
          <w:rFonts w:ascii="Times New Roman"/>
          <w:highlight w:val="none"/>
        </w:rPr>
        <w:t>此评估中标记的任何问题都可以用于下一次碳足迹评价的迭代改进。</w:t>
      </w:r>
    </w:p>
    <w:p>
      <w:pPr>
        <w:pStyle w:val="180"/>
        <w:numPr>
          <w:ilvl w:val="0"/>
          <w:numId w:val="52"/>
        </w:numPr>
        <w:rPr>
          <w:highlight w:val="none"/>
        </w:rPr>
      </w:pPr>
      <w:r>
        <w:rPr>
          <w:rFonts w:hint="eastAsia"/>
          <w:highlight w:val="none"/>
        </w:rPr>
        <w:t>可靠性评估要包括对不确定性的评估，包括取舍原则或范围的应用。</w:t>
      </w:r>
    </w:p>
    <w:p>
      <w:pPr>
        <w:pStyle w:val="66"/>
        <w:tabs>
          <w:tab w:val="left" w:pos="5040"/>
        </w:tabs>
        <w:spacing w:before="156" w:after="156"/>
        <w:rPr>
          <w:highlight w:val="none"/>
        </w:rPr>
      </w:pPr>
      <w:r>
        <w:rPr>
          <w:rFonts w:hint="eastAsia"/>
          <w:highlight w:val="none"/>
          <w:lang w:eastAsia="zh-CN"/>
        </w:rPr>
        <w:t>碳足迹评价</w:t>
      </w:r>
      <w:r>
        <w:rPr>
          <w:rFonts w:hint="eastAsia"/>
          <w:highlight w:val="none"/>
          <w:lang w:val="en-US" w:eastAsia="zh-CN"/>
        </w:rPr>
        <w:t>结果解释</w:t>
      </w:r>
    </w:p>
    <w:p>
      <w:pPr>
        <w:pStyle w:val="95"/>
        <w:spacing w:before="156" w:after="156"/>
        <w:rPr>
          <w:rFonts w:hint="eastAsia" w:ascii="宋体" w:hAnsi="宋体" w:eastAsia="宋体"/>
          <w:highlight w:val="none"/>
        </w:rPr>
      </w:pPr>
      <w:r>
        <w:rPr>
          <w:rFonts w:hint="eastAsia" w:ascii="宋体" w:hAnsi="宋体" w:eastAsia="宋体"/>
          <w:highlight w:val="none"/>
        </w:rPr>
        <w:t>应识别产品碳足迹的主要贡献元素，</w:t>
      </w:r>
      <w:r>
        <w:rPr>
          <w:rFonts w:hint="eastAsia" w:ascii="宋体" w:hAnsi="宋体" w:eastAsia="宋体"/>
          <w:highlight w:val="none"/>
          <w:lang w:val="en-US" w:eastAsia="zh-CN"/>
        </w:rPr>
        <w:t>并进行</w:t>
      </w:r>
      <w:r>
        <w:rPr>
          <w:rFonts w:hint="eastAsia" w:ascii="宋体" w:hAnsi="宋体" w:eastAsia="宋体"/>
          <w:highlight w:val="none"/>
        </w:rPr>
        <w:t>分析。分析主要从</w:t>
      </w:r>
      <w:r>
        <w:rPr>
          <w:rFonts w:hint="eastAsia" w:ascii="宋体" w:hAnsi="宋体" w:eastAsia="宋体"/>
          <w:highlight w:val="none"/>
          <w:lang w:val="en-US" w:eastAsia="zh-CN"/>
        </w:rPr>
        <w:t>如下</w:t>
      </w:r>
      <w:r>
        <w:rPr>
          <w:rFonts w:hint="eastAsia" w:ascii="宋体" w:hAnsi="宋体" w:eastAsia="宋体"/>
          <w:highlight w:val="none"/>
        </w:rPr>
        <w:t>方面着手：</w:t>
      </w:r>
    </w:p>
    <w:p>
      <w:pPr>
        <w:pStyle w:val="234"/>
        <w:numPr>
          <w:ilvl w:val="0"/>
          <w:numId w:val="56"/>
        </w:numPr>
        <w:rPr>
          <w:rFonts w:ascii="Times New Roman"/>
          <w:highlight w:val="none"/>
        </w:rPr>
      </w:pPr>
      <w:r>
        <w:rPr>
          <w:rFonts w:ascii="Times New Roman"/>
          <w:highlight w:val="none"/>
        </w:rPr>
        <w:t>生命周期阶段；</w:t>
      </w:r>
    </w:p>
    <w:p>
      <w:pPr>
        <w:pStyle w:val="234"/>
        <w:numPr>
          <w:ilvl w:val="0"/>
          <w:numId w:val="56"/>
        </w:numPr>
        <w:rPr>
          <w:rFonts w:ascii="Times New Roman"/>
          <w:highlight w:val="none"/>
        </w:rPr>
      </w:pPr>
      <w:r>
        <w:rPr>
          <w:rFonts w:ascii="Times New Roman"/>
          <w:highlight w:val="none"/>
        </w:rPr>
        <w:t>单元过程；</w:t>
      </w:r>
    </w:p>
    <w:p>
      <w:pPr>
        <w:pStyle w:val="95"/>
        <w:spacing w:before="156" w:after="156"/>
        <w:rPr>
          <w:rFonts w:hint="eastAsia" w:ascii="宋体" w:hAnsi="宋体" w:eastAsia="宋体"/>
          <w:highlight w:val="none"/>
        </w:rPr>
      </w:pPr>
      <w:r>
        <w:rPr>
          <w:rFonts w:hint="eastAsia" w:ascii="宋体" w:hAnsi="宋体" w:eastAsia="宋体"/>
          <w:highlight w:val="none"/>
          <w:lang w:val="en-US" w:eastAsia="zh-CN"/>
        </w:rPr>
        <w:t>识别最相关的生命周期阶段：</w:t>
      </w:r>
    </w:p>
    <w:p>
      <w:pPr>
        <w:pStyle w:val="234"/>
        <w:numPr>
          <w:ilvl w:val="0"/>
          <w:numId w:val="57"/>
        </w:numPr>
        <w:rPr>
          <w:rFonts w:ascii="Times New Roman"/>
          <w:highlight w:val="none"/>
        </w:rPr>
      </w:pPr>
      <w:r>
        <w:rPr>
          <w:rFonts w:hint="eastAsia" w:ascii="Times New Roman"/>
          <w:highlight w:val="none"/>
          <w:lang w:val="en-US" w:eastAsia="zh-CN"/>
        </w:rPr>
        <w:t>最相关的生命周期阶段是指从将每个阶段对产品碳足迹的贡献从大到小进行相加，各阶段的贡献之和至少达到</w:t>
      </w:r>
      <w:r>
        <w:rPr>
          <w:rFonts w:hint="eastAsia" w:ascii="宋体" w:hAnsi="宋体" w:eastAsia="宋体" w:cs="宋体"/>
          <w:highlight w:val="none"/>
          <w:lang w:val="en-US" w:eastAsia="zh-CN"/>
        </w:rPr>
        <w:t>80%</w:t>
      </w:r>
      <w:r>
        <w:rPr>
          <w:rFonts w:hint="eastAsia" w:ascii="Times New Roman"/>
          <w:highlight w:val="none"/>
          <w:lang w:val="en-US" w:eastAsia="zh-CN"/>
        </w:rPr>
        <w:t>的阶段；</w:t>
      </w:r>
    </w:p>
    <w:p>
      <w:pPr>
        <w:pStyle w:val="234"/>
        <w:numPr>
          <w:ilvl w:val="0"/>
          <w:numId w:val="57"/>
        </w:numPr>
        <w:rPr>
          <w:rFonts w:hint="eastAsia" w:ascii="Times New Roman"/>
          <w:highlight w:val="none"/>
          <w:lang w:val="en-US" w:eastAsia="zh-CN"/>
        </w:rPr>
      </w:pPr>
      <w:r>
        <w:rPr>
          <w:rFonts w:hint="eastAsia" w:ascii="Times New Roman"/>
          <w:highlight w:val="none"/>
          <w:lang w:val="en-US" w:eastAsia="zh-CN"/>
        </w:rPr>
        <w:t>允许在最相关的生命周期阶段列表中添加更多的生命周期阶段，但不应删除其中的任何生命周期阶段。在产品的所有生命阶段中，至少应包括原辅材料获取加工阶段、原辅材料运输阶段和生产阶段。</w:t>
      </w:r>
    </w:p>
    <w:p>
      <w:pPr>
        <w:pStyle w:val="95"/>
        <w:spacing w:before="156" w:after="156"/>
        <w:rPr>
          <w:highlight w:val="none"/>
        </w:rPr>
      </w:pPr>
      <w:r>
        <w:rPr>
          <w:rFonts w:hint="eastAsia" w:ascii="宋体" w:hAnsi="宋体" w:eastAsia="宋体"/>
          <w:highlight w:val="none"/>
          <w:lang w:val="en-US" w:eastAsia="zh-CN"/>
        </w:rPr>
        <w:t>识别最相关的单元过程：</w:t>
      </w:r>
    </w:p>
    <w:p>
      <w:pPr>
        <w:pStyle w:val="234"/>
        <w:numPr>
          <w:ilvl w:val="0"/>
          <w:numId w:val="58"/>
        </w:numPr>
        <w:rPr>
          <w:rFonts w:hint="eastAsia" w:ascii="Times New Roman"/>
          <w:highlight w:val="none"/>
          <w:lang w:val="en-US" w:eastAsia="zh-CN"/>
        </w:rPr>
      </w:pPr>
      <w:r>
        <w:rPr>
          <w:rFonts w:hint="eastAsia" w:ascii="Times New Roman"/>
          <w:highlight w:val="none"/>
          <w:lang w:val="en-US" w:eastAsia="zh-CN"/>
        </w:rPr>
        <w:t>应进一步确定与产品碳足迹最相关的单元过程。与产品碳足迹最相关的单元过程是指将每个单元过程对产品碳足迹的贡献从大到小进行相加，各个过程的贡献之和至少达到80%的过程；</w:t>
      </w:r>
    </w:p>
    <w:p>
      <w:pPr>
        <w:pStyle w:val="234"/>
        <w:numPr>
          <w:ilvl w:val="0"/>
          <w:numId w:val="58"/>
        </w:numPr>
        <w:rPr>
          <w:rFonts w:hint="eastAsia" w:ascii="Times New Roman"/>
          <w:highlight w:val="none"/>
          <w:lang w:val="en-US" w:eastAsia="zh-CN"/>
        </w:rPr>
      </w:pPr>
      <w:r>
        <w:rPr>
          <w:rFonts w:hint="eastAsia" w:ascii="Times New Roman"/>
          <w:highlight w:val="none"/>
          <w:lang w:val="en-US" w:eastAsia="zh-CN"/>
        </w:rPr>
        <w:t>在不同生命周期阶段发生的相同过程（如运输、用电）应分别核算，发生在同一生命周期阶段的相同过程应合并计算。碳足迹报告中应报告最相关过程的列表，及其相应的生命周期阶段（可能是一个或多个生命周期阶段）和贡献率（%）。</w:t>
      </w:r>
    </w:p>
    <w:p>
      <w:pPr>
        <w:pStyle w:val="180"/>
        <w:numPr>
          <w:ilvl w:val="0"/>
          <w:numId w:val="26"/>
        </w:numPr>
        <w:rPr>
          <w:rFonts w:hint="eastAsia" w:ascii="Times New Roman"/>
          <w:highlight w:val="none"/>
          <w:lang w:val="en-US" w:eastAsia="zh-CN"/>
        </w:rPr>
      </w:pPr>
      <w:r>
        <w:rPr>
          <w:rFonts w:hint="eastAsia"/>
          <w:highlight w:val="none"/>
          <w:lang w:val="en-US" w:eastAsia="zh-CN"/>
        </w:rPr>
        <w:t>产品碳足迹贡献分析的具体示例参见附录C。</w:t>
      </w:r>
    </w:p>
    <w:p>
      <w:pPr>
        <w:pStyle w:val="66"/>
        <w:spacing w:before="156" w:after="156"/>
        <w:rPr>
          <w:highlight w:val="none"/>
        </w:rPr>
      </w:pPr>
      <w:r>
        <w:rPr>
          <w:rFonts w:hint="eastAsia"/>
          <w:highlight w:val="none"/>
          <w:lang w:val="en-US" w:eastAsia="zh-CN"/>
        </w:rPr>
        <w:t>结果记</w:t>
      </w:r>
      <w:r>
        <w:rPr>
          <w:rFonts w:hint="eastAsia"/>
          <w:highlight w:val="none"/>
        </w:rPr>
        <w:t>录和保存</w:t>
      </w:r>
    </w:p>
    <w:p>
      <w:pPr>
        <w:pStyle w:val="95"/>
        <w:spacing w:before="156" w:after="156"/>
        <w:rPr>
          <w:rFonts w:ascii="宋体" w:hAnsi="宋体" w:eastAsia="宋体"/>
          <w:highlight w:val="none"/>
        </w:rPr>
      </w:pPr>
      <w:r>
        <w:rPr>
          <w:rFonts w:hint="eastAsia" w:ascii="宋体" w:hAnsi="宋体" w:eastAsia="宋体"/>
          <w:highlight w:val="none"/>
        </w:rPr>
        <w:t>产品碳足迹评价的支撑资料，包括（但不限于）系统边界、单元过程、排放因子、活动数据来源、原材料的识别、碳存储、分配的依据、关于排除的说明等。</w:t>
      </w:r>
    </w:p>
    <w:p>
      <w:pPr>
        <w:pStyle w:val="95"/>
        <w:spacing w:before="156" w:after="156"/>
        <w:rPr>
          <w:rFonts w:ascii="宋体" w:hAnsi="宋体" w:eastAsia="宋体"/>
          <w:highlight w:val="none"/>
        </w:rPr>
      </w:pPr>
      <w:r>
        <w:rPr>
          <w:rFonts w:hint="eastAsia" w:ascii="宋体" w:hAnsi="宋体" w:eastAsia="宋体"/>
          <w:highlight w:val="none"/>
        </w:rPr>
        <w:t>支撑资料应以</w:t>
      </w:r>
      <w:r>
        <w:rPr>
          <w:rFonts w:hint="eastAsia" w:ascii="宋体" w:hAnsi="宋体" w:eastAsia="宋体"/>
          <w:highlight w:val="none"/>
          <w:lang w:val="en-US" w:eastAsia="zh-CN"/>
        </w:rPr>
        <w:t>适用于</w:t>
      </w:r>
      <w:r>
        <w:rPr>
          <w:rFonts w:hint="eastAsia" w:ascii="宋体" w:hAnsi="宋体" w:eastAsia="宋体"/>
          <w:highlight w:val="none"/>
        </w:rPr>
        <w:t>分析和核证的格式被记录和保存，保存期至少三年。</w:t>
      </w:r>
    </w:p>
    <w:p>
      <w:pPr>
        <w:pStyle w:val="105"/>
        <w:spacing w:before="312" w:after="312"/>
      </w:pPr>
      <w:bookmarkStart w:id="46" w:name="_Toc6391"/>
      <w:bookmarkStart w:id="47" w:name="_Toc10196"/>
      <w:r>
        <w:rPr>
          <w:rFonts w:hint="eastAsia"/>
        </w:rPr>
        <w:t>产品碳足迹</w:t>
      </w:r>
      <w:r>
        <w:rPr>
          <w:rFonts w:hint="eastAsia"/>
          <w:lang w:val="en-US" w:eastAsia="zh-CN"/>
        </w:rPr>
        <w:t>信息披露</w:t>
      </w:r>
      <w:bookmarkEnd w:id="46"/>
      <w:bookmarkEnd w:id="47"/>
    </w:p>
    <w:p>
      <w:pPr>
        <w:pStyle w:val="106"/>
        <w:spacing w:before="156" w:after="156"/>
      </w:pPr>
      <w:r>
        <w:rPr>
          <w:rFonts w:hint="eastAsia"/>
          <w:lang w:val="en-US" w:eastAsia="zh-CN"/>
        </w:rPr>
        <w:t>披露形式</w:t>
      </w:r>
    </w:p>
    <w:p>
      <w:pPr>
        <w:pStyle w:val="57"/>
        <w:ind w:firstLine="420"/>
        <w:rPr>
          <w:rFonts w:hint="eastAsia"/>
          <w:highlight w:val="none"/>
          <w:lang w:eastAsia="zh-CN"/>
        </w:rPr>
      </w:pPr>
      <w:r>
        <w:rPr>
          <w:rFonts w:hint="eastAsia"/>
          <w:highlight w:val="none"/>
          <w:lang w:eastAsia="zh-CN"/>
        </w:rPr>
        <w:t>产品碳足迹信息披露采取以下形式：产品碳足迹评价报告、产品碳足迹标识（碳标签）和/或产品</w:t>
      </w:r>
    </w:p>
    <w:p>
      <w:pPr>
        <w:pStyle w:val="57"/>
        <w:ind w:left="0" w:leftChars="0" w:firstLine="0" w:firstLineChars="0"/>
        <w:rPr>
          <w:highlight w:val="none"/>
        </w:rPr>
      </w:pPr>
      <w:r>
        <w:rPr>
          <w:rFonts w:hint="eastAsia"/>
          <w:highlight w:val="none"/>
          <w:lang w:eastAsia="zh-CN"/>
        </w:rPr>
        <w:t>碳足迹声明。</w:t>
      </w:r>
    </w:p>
    <w:p>
      <w:pPr>
        <w:pStyle w:val="106"/>
        <w:spacing w:before="156" w:after="156"/>
      </w:pPr>
      <w:r>
        <w:rPr>
          <w:rFonts w:hint="eastAsia"/>
        </w:rPr>
        <w:t>产品碳足迹评价报告</w:t>
      </w:r>
    </w:p>
    <w:p>
      <w:pPr>
        <w:pStyle w:val="66"/>
        <w:spacing w:before="156" w:after="156"/>
        <w:rPr>
          <w:highlight w:val="none"/>
        </w:rPr>
      </w:pPr>
      <w:r>
        <w:rPr>
          <w:rFonts w:hint="eastAsia"/>
          <w:highlight w:val="none"/>
          <w:lang w:val="en-US" w:eastAsia="zh-CN"/>
        </w:rPr>
        <w:t>基本要求</w:t>
      </w:r>
    </w:p>
    <w:p>
      <w:pPr>
        <w:pStyle w:val="57"/>
        <w:ind w:firstLine="420"/>
        <w:rPr>
          <w:rFonts w:hint="eastAsia"/>
        </w:rPr>
      </w:pPr>
      <w:r>
        <w:rPr>
          <w:rFonts w:hint="eastAsia"/>
        </w:rPr>
        <w:t>产品碳足迹评价结果和结论应为完整的、准确的、不带偏向性的。应透明地、详细地阐述评价结果、</w:t>
      </w:r>
    </w:p>
    <w:p>
      <w:pPr>
        <w:pStyle w:val="57"/>
        <w:ind w:left="0" w:leftChars="0" w:firstLine="0" w:firstLineChars="0"/>
        <w:rPr>
          <w:rFonts w:hint="eastAsia"/>
        </w:rPr>
      </w:pPr>
      <w:r>
        <w:rPr>
          <w:rFonts w:hint="eastAsia"/>
        </w:rPr>
        <w:t>数据、方法、假设和局限性，以便利益相关方能够理解产品碳足迹固有的复杂性，并作出权衡。产品碳</w:t>
      </w:r>
    </w:p>
    <w:p>
      <w:pPr>
        <w:pStyle w:val="57"/>
        <w:ind w:left="0" w:leftChars="0" w:firstLine="0" w:firstLineChars="0"/>
      </w:pPr>
      <w:r>
        <w:rPr>
          <w:rFonts w:hint="eastAsia"/>
        </w:rPr>
        <w:t>足迹报告中的评价结果和解释应能以符合评价目标的方式而被使用。</w:t>
      </w:r>
    </w:p>
    <w:p>
      <w:pPr>
        <w:pStyle w:val="66"/>
        <w:spacing w:before="156" w:after="156"/>
        <w:rPr>
          <w:highlight w:val="none"/>
        </w:rPr>
      </w:pPr>
      <w:r>
        <w:rPr>
          <w:rFonts w:hint="eastAsia"/>
          <w:highlight w:val="none"/>
        </w:rPr>
        <w:t>报告内容</w:t>
      </w:r>
    </w:p>
    <w:p>
      <w:pPr>
        <w:pStyle w:val="57"/>
        <w:ind w:firstLine="420"/>
        <w:rPr>
          <w:highlight w:val="none"/>
        </w:rPr>
      </w:pPr>
      <w:r>
        <w:rPr>
          <w:rFonts w:hint="eastAsia"/>
          <w:highlight w:val="none"/>
        </w:rPr>
        <w:t>产品碳足迹评价报告应记录产品碳足迹的量化结果，并陈述在评价目标和内容确定阶段内所做的决定以及证明产品碳足迹评价符合</w:t>
      </w:r>
      <w:r>
        <w:rPr>
          <w:rFonts w:hint="eastAsia"/>
          <w:highlight w:val="none"/>
          <w:lang w:eastAsia="zh-CN"/>
        </w:rPr>
        <w:t>本文件</w:t>
      </w:r>
      <w:r>
        <w:rPr>
          <w:rFonts w:hint="eastAsia"/>
          <w:highlight w:val="none"/>
        </w:rPr>
        <w:t>中的要求。</w:t>
      </w:r>
    </w:p>
    <w:p>
      <w:pPr>
        <w:pStyle w:val="180"/>
        <w:numPr>
          <w:ilvl w:val="0"/>
          <w:numId w:val="26"/>
        </w:numPr>
        <w:rPr>
          <w:highlight w:val="none"/>
        </w:rPr>
      </w:pPr>
      <w:r>
        <w:rPr>
          <w:rFonts w:hint="eastAsia"/>
          <w:highlight w:val="none"/>
        </w:rPr>
        <w:t>报告模板见附录</w:t>
      </w:r>
      <w:r>
        <w:rPr>
          <w:rFonts w:hint="eastAsia"/>
          <w:highlight w:val="none"/>
          <w:lang w:val="en-US" w:eastAsia="zh-CN"/>
        </w:rPr>
        <w:t>D</w:t>
      </w:r>
      <w:r>
        <w:rPr>
          <w:rFonts w:hint="eastAsia"/>
          <w:highlight w:val="none"/>
        </w:rPr>
        <w:t>。</w:t>
      </w:r>
    </w:p>
    <w:p>
      <w:pPr>
        <w:pStyle w:val="66"/>
        <w:spacing w:before="156" w:after="156"/>
        <w:rPr>
          <w:highlight w:val="none"/>
        </w:rPr>
      </w:pPr>
      <w:r>
        <w:rPr>
          <w:rFonts w:hint="eastAsia"/>
          <w:highlight w:val="none"/>
        </w:rPr>
        <w:t>评价结果有效期</w:t>
      </w:r>
    </w:p>
    <w:p>
      <w:pPr>
        <w:pStyle w:val="57"/>
        <w:ind w:firstLine="420"/>
        <w:rPr>
          <w:rFonts w:hint="eastAsia"/>
          <w:highlight w:val="none"/>
        </w:rPr>
      </w:pPr>
      <w:r>
        <w:rPr>
          <w:rFonts w:hint="eastAsia"/>
          <w:highlight w:val="none"/>
        </w:rPr>
        <w:t>产品碳足迹评价结果有效期应考虑产品生命周期特性，不宜超过三年。但若该产品碳足迹的生命周</w:t>
      </w:r>
    </w:p>
    <w:p>
      <w:pPr>
        <w:pStyle w:val="57"/>
        <w:ind w:left="0" w:leftChars="0" w:firstLine="0" w:firstLineChars="0"/>
        <w:rPr>
          <w:highlight w:val="none"/>
        </w:rPr>
      </w:pPr>
      <w:r>
        <w:rPr>
          <w:rFonts w:hint="eastAsia"/>
          <w:highlight w:val="none"/>
        </w:rPr>
        <w:t>期发生变化，则原评价结果即时失效，并应重新进行该产品的碳足迹评价，具体包括以下情形：</w:t>
      </w:r>
    </w:p>
    <w:p>
      <w:pPr>
        <w:pStyle w:val="234"/>
        <w:numPr>
          <w:ilvl w:val="0"/>
          <w:numId w:val="59"/>
        </w:numPr>
        <w:rPr>
          <w:rFonts w:hint="eastAsia" w:ascii="Times New Roman"/>
          <w:highlight w:val="none"/>
          <w:lang w:val="en-US" w:eastAsia="zh-CN"/>
        </w:rPr>
      </w:pPr>
      <w:r>
        <w:rPr>
          <w:rFonts w:hint="eastAsia" w:ascii="Times New Roman"/>
          <w:highlight w:val="none"/>
          <w:lang w:val="en-US" w:eastAsia="zh-CN"/>
        </w:rPr>
        <w:t>若产品生命周期的一个计划外变化导致产品碳足迹变化超</w:t>
      </w:r>
      <w:r>
        <w:rPr>
          <w:rFonts w:hint="eastAsia" w:ascii="宋体" w:hAnsi="宋体" w:eastAsia="宋体" w:cs="宋体"/>
          <w:highlight w:val="none"/>
          <w:lang w:val="en-US" w:eastAsia="zh-CN"/>
        </w:rPr>
        <w:t>过10%</w:t>
      </w:r>
      <w:r>
        <w:rPr>
          <w:rFonts w:hint="eastAsia" w:ascii="Times New Roman"/>
          <w:highlight w:val="none"/>
          <w:lang w:val="en-US" w:eastAsia="zh-CN"/>
        </w:rPr>
        <w:t>，且此情况持续超过三个月，则应重新进行该产品的碳足迹评价；</w:t>
      </w:r>
    </w:p>
    <w:p>
      <w:pPr>
        <w:pStyle w:val="234"/>
        <w:numPr>
          <w:ilvl w:val="0"/>
          <w:numId w:val="59"/>
        </w:numPr>
        <w:rPr>
          <w:rFonts w:hint="eastAsia" w:ascii="宋体" w:hAnsi="宋体" w:eastAsia="宋体" w:cs="宋体"/>
          <w:highlight w:val="none"/>
          <w:lang w:val="en-US" w:eastAsia="zh-CN"/>
        </w:rPr>
      </w:pPr>
      <w:r>
        <w:rPr>
          <w:rFonts w:hint="eastAsia" w:ascii="Times New Roman"/>
          <w:highlight w:val="none"/>
          <w:lang w:val="en-US" w:eastAsia="zh-CN"/>
        </w:rPr>
        <w:t>若产品生命周期的一个计划内变化导致产品碳足迹变化</w:t>
      </w:r>
      <w:r>
        <w:rPr>
          <w:rFonts w:hint="eastAsia" w:ascii="宋体" w:hAnsi="宋体" w:eastAsia="宋体" w:cs="宋体"/>
          <w:highlight w:val="none"/>
          <w:lang w:val="en-US" w:eastAsia="zh-CN"/>
        </w:rPr>
        <w:t>超过5%，且此情况持续超过三个月，应重新进行该产品的碳足迹评价。</w:t>
      </w:r>
    </w:p>
    <w:p>
      <w:pPr>
        <w:pStyle w:val="66"/>
        <w:spacing w:before="156" w:after="156"/>
      </w:pPr>
      <w:r>
        <w:rPr>
          <w:rFonts w:hint="eastAsia"/>
          <w:lang w:val="en-US" w:eastAsia="zh-CN"/>
        </w:rPr>
        <w:t>信息</w:t>
      </w:r>
      <w:r>
        <w:rPr>
          <w:rFonts w:hint="eastAsia"/>
        </w:rPr>
        <w:t>保密</w:t>
      </w:r>
    </w:p>
    <w:p>
      <w:pPr>
        <w:pStyle w:val="57"/>
        <w:ind w:firstLine="420"/>
        <w:rPr>
          <w:rFonts w:hint="eastAsia"/>
        </w:rPr>
      </w:pPr>
      <w:r>
        <w:rPr>
          <w:rFonts w:hint="eastAsia"/>
        </w:rPr>
        <w:t>用于佐证产品碳足迹的资料，可能包含生产活动的机密信息。各利益相关方所提供的信息具有被保</w:t>
      </w:r>
    </w:p>
    <w:p>
      <w:pPr>
        <w:pStyle w:val="57"/>
        <w:ind w:left="0" w:leftChars="0" w:firstLine="0" w:firstLineChars="0"/>
      </w:pPr>
      <w:r>
        <w:rPr>
          <w:rFonts w:hint="eastAsia"/>
        </w:rPr>
        <w:t>护的权利，因此，利益相关方应商定适宜的方式以确保相互之间交流信息的保密性。</w:t>
      </w:r>
    </w:p>
    <w:p>
      <w:pPr>
        <w:pStyle w:val="106"/>
        <w:spacing w:before="156" w:after="156"/>
      </w:pPr>
      <w:r>
        <w:rPr>
          <w:rFonts w:hint="eastAsia"/>
        </w:rPr>
        <w:t>产品碳足迹标识</w:t>
      </w:r>
    </w:p>
    <w:p>
      <w:pPr>
        <w:pStyle w:val="57"/>
        <w:ind w:firstLine="420"/>
      </w:pPr>
      <w:r>
        <w:rPr>
          <w:rFonts w:hint="eastAsia"/>
          <w:lang w:eastAsia="zh-CN"/>
        </w:rPr>
        <w:t>产品碳足迹信息披露</w:t>
      </w:r>
      <w:r>
        <w:rPr>
          <w:rFonts w:hint="eastAsia"/>
        </w:rPr>
        <w:t>可采用产品碳足迹标识的形式。</w:t>
      </w:r>
    </w:p>
    <w:p>
      <w:pPr>
        <w:pStyle w:val="106"/>
        <w:spacing w:before="156" w:after="156"/>
      </w:pPr>
      <w:r>
        <w:rPr>
          <w:rFonts w:hint="eastAsia"/>
        </w:rPr>
        <w:t>产品碳足迹声明</w:t>
      </w:r>
    </w:p>
    <w:p>
      <w:pPr>
        <w:pStyle w:val="66"/>
        <w:spacing w:before="156" w:after="156"/>
        <w:rPr>
          <w:rFonts w:hint="eastAsia" w:ascii="宋体" w:hAnsi="宋体" w:eastAsia="宋体"/>
        </w:rPr>
      </w:pPr>
      <w:r>
        <w:rPr>
          <w:rFonts w:hint="eastAsia" w:ascii="宋体" w:hAnsi="宋体" w:eastAsia="宋体"/>
        </w:rPr>
        <w:t>产品碳足迹评价结果符合本文件的声明应在产品碳足迹评价报告等主要文件或产品的包装上呈</w:t>
      </w:r>
    </w:p>
    <w:p>
      <w:pPr>
        <w:pStyle w:val="66"/>
        <w:numPr>
          <w:ilvl w:val="3"/>
          <w:numId w:val="0"/>
        </w:numPr>
        <w:spacing w:before="156" w:after="156"/>
        <w:ind w:leftChars="0"/>
        <w:rPr>
          <w:rFonts w:ascii="宋体" w:hAnsi="宋体" w:eastAsia="宋体"/>
        </w:rPr>
      </w:pPr>
      <w:r>
        <w:rPr>
          <w:rFonts w:hint="eastAsia" w:ascii="宋体" w:hAnsi="宋体" w:eastAsia="宋体"/>
        </w:rPr>
        <w:t>现，并应由开展产品碳足迹评价的组织发表。</w:t>
      </w:r>
    </w:p>
    <w:p>
      <w:pPr>
        <w:pStyle w:val="66"/>
        <w:spacing w:before="156" w:after="156"/>
        <w:rPr>
          <w:rFonts w:ascii="宋体" w:hAnsi="宋体" w:eastAsia="宋体"/>
        </w:rPr>
      </w:pPr>
      <w:r>
        <w:rPr>
          <w:rFonts w:hint="eastAsia" w:ascii="宋体" w:hAnsi="宋体" w:eastAsia="宋体"/>
        </w:rPr>
        <w:t>声明应确定所进行的符合性评价的类型，包括以下三种：</w:t>
      </w:r>
    </w:p>
    <w:p>
      <w:pPr>
        <w:pStyle w:val="234"/>
        <w:numPr>
          <w:ilvl w:val="0"/>
          <w:numId w:val="60"/>
        </w:numPr>
        <w:rPr>
          <w:rFonts w:hint="eastAsia" w:ascii="Times New Roman"/>
          <w:highlight w:val="none"/>
          <w:lang w:val="en-US" w:eastAsia="zh-CN"/>
        </w:rPr>
      </w:pPr>
      <w:r>
        <w:rPr>
          <w:rFonts w:hint="eastAsia" w:ascii="Times New Roman"/>
          <w:highlight w:val="none"/>
          <w:lang w:val="en-US" w:eastAsia="zh-CN"/>
        </w:rPr>
        <w:t>独立第三方认证：若组织拟证明其产品碳足迹评价结果经独立核实且被证明为符合本文件中的要求，则该产品碳足迹评价结果应由一个独立的按本文件评价和认证的第三方认证机构进行认证。</w:t>
      </w:r>
    </w:p>
    <w:p>
      <w:pPr>
        <w:pStyle w:val="234"/>
        <w:numPr>
          <w:ilvl w:val="0"/>
          <w:numId w:val="60"/>
        </w:numPr>
        <w:rPr>
          <w:rFonts w:hint="eastAsia" w:ascii="Times New Roman"/>
          <w:highlight w:val="none"/>
          <w:lang w:val="en-US" w:eastAsia="zh-CN"/>
        </w:rPr>
      </w:pPr>
      <w:r>
        <w:rPr>
          <w:rFonts w:hint="eastAsia" w:ascii="Times New Roman"/>
          <w:highlight w:val="none"/>
          <w:lang w:val="en-US" w:eastAsia="zh-CN"/>
        </w:rPr>
        <w:t>其他方核证：若组织委托独立第三方认证机构以外的其他方进行产品碳足迹评价结果的核证，则组织应确保其他方核证机构有能力满足相关规定与要求。</w:t>
      </w:r>
    </w:p>
    <w:p>
      <w:pPr>
        <w:pStyle w:val="234"/>
        <w:numPr>
          <w:ilvl w:val="0"/>
          <w:numId w:val="60"/>
        </w:numPr>
        <w:rPr>
          <w:rFonts w:hint="eastAsia" w:ascii="宋体" w:hAnsi="宋体" w:eastAsia="宋体" w:cs="宋体"/>
          <w:highlight w:val="none"/>
          <w:lang w:val="en-US" w:eastAsia="zh-CN"/>
        </w:rPr>
      </w:pPr>
      <w:r>
        <w:rPr>
          <w:rFonts w:hint="eastAsia" w:ascii="Times New Roman"/>
          <w:highlight w:val="none"/>
          <w:lang w:val="en-US" w:eastAsia="zh-CN"/>
        </w:rPr>
        <w:t>自我声明：产品生产者自己对产品碳足迹评价结果进行验证，声明产品碳足迹评价符合</w:t>
      </w:r>
      <w:r>
        <w:rPr>
          <w:rFonts w:hint="eastAsia" w:ascii="宋体" w:hAnsi="宋体" w:eastAsia="宋体" w:cs="宋体"/>
          <w:highlight w:val="none"/>
          <w:lang w:val="en-US" w:eastAsia="zh-CN"/>
        </w:rPr>
        <w:t xml:space="preserve"> GB/T 24021的要求。</w:t>
      </w:r>
    </w:p>
    <w:p>
      <w:pPr>
        <w:rPr>
          <w:rFonts w:hint="eastAsia" w:ascii="黑体" w:hAnsi="宋体" w:eastAsia="黑体" w:cs="宋体"/>
          <w:kern w:val="0"/>
          <w:lang w:eastAsia="en-US" w:bidi="en-US"/>
        </w:rPr>
      </w:pPr>
      <w:r>
        <w:rPr>
          <w:rFonts w:hint="eastAsia" w:ascii="黑体" w:hAnsi="宋体" w:eastAsia="黑体" w:cs="宋体"/>
          <w:kern w:val="0"/>
          <w:lang w:eastAsia="en-US" w:bidi="en-US"/>
        </w:rPr>
        <w:br w:type="page"/>
      </w:r>
    </w:p>
    <w:p>
      <w:pPr>
        <w:pStyle w:val="77"/>
        <w:spacing w:after="156"/>
      </w:pPr>
      <w:bookmarkStart w:id="48" w:name="_Toc2693"/>
      <w:r>
        <w:br w:type="textWrapping"/>
      </w:r>
      <w:bookmarkStart w:id="49" w:name="_Toc141190478"/>
      <w:r>
        <w:rPr>
          <w:rFonts w:hint="eastAsia"/>
        </w:rPr>
        <w:t>（资料性）</w:t>
      </w:r>
      <w:r>
        <w:br w:type="textWrapping"/>
      </w:r>
      <w:bookmarkEnd w:id="49"/>
      <w:r>
        <w:rPr>
          <w:rFonts w:hint="eastAsia"/>
        </w:rPr>
        <w:t>丝绸面料产品</w:t>
      </w:r>
      <w:r>
        <w:rPr>
          <w:rFonts w:hint="eastAsia"/>
          <w:lang w:eastAsia="zh-CN"/>
        </w:rPr>
        <w:t>碳足迹评价</w:t>
      </w:r>
      <w:r>
        <w:rPr>
          <w:rFonts w:hint="eastAsia"/>
        </w:rPr>
        <w:t>单元过程数据收集表模板</w:t>
      </w:r>
      <w:bookmarkEnd w:id="48"/>
    </w:p>
    <w:tbl>
      <w:tblPr>
        <w:tblStyle w:val="238"/>
        <w:tblW w:w="504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88"/>
        <w:gridCol w:w="173"/>
        <w:gridCol w:w="1039"/>
        <w:gridCol w:w="675"/>
        <w:gridCol w:w="143"/>
        <w:gridCol w:w="800"/>
        <w:gridCol w:w="434"/>
        <w:gridCol w:w="506"/>
        <w:gridCol w:w="110"/>
        <w:gridCol w:w="931"/>
        <w:gridCol w:w="846"/>
        <w:gridCol w:w="79"/>
        <w:gridCol w:w="489"/>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13" w:type="dxa"/>
            <w:gridSpan w:val="6"/>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填表日期：××××年××月××日</w:t>
            </w:r>
          </w:p>
        </w:tc>
        <w:tc>
          <w:tcPr>
            <w:tcW w:w="4717" w:type="dxa"/>
            <w:gridSpan w:val="8"/>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制表人：×××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13" w:type="dxa"/>
            <w:gridSpan w:val="6"/>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单元过程名称：××××过程</w:t>
            </w:r>
          </w:p>
        </w:tc>
        <w:tc>
          <w:tcPr>
            <w:tcW w:w="4717" w:type="dxa"/>
            <w:gridSpan w:val="8"/>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统计时段：××××年×月—××××年×月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 w:hRule="atLeast"/>
        </w:trPr>
        <w:tc>
          <w:tcPr>
            <w:tcW w:w="2059" w:type="dxa"/>
            <w:gridSpan w:val="2"/>
            <w:vMerge w:val="restart"/>
            <w:tcBorders>
              <w:tl2br w:val="nil"/>
              <w:tr2bl w:val="nil"/>
            </w:tcBorders>
            <w:vAlign w:val="center"/>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kern w:val="0"/>
                <w:sz w:val="18"/>
                <w:szCs w:val="18"/>
              </w:rPr>
            </w:pPr>
            <w:r>
              <w:rPr>
                <w:rFonts w:ascii="宋体" w:hAnsi="宋体" w:cs="宋体"/>
                <w:snapToGrid w:val="0"/>
                <w:color w:val="000000"/>
                <w:spacing w:val="-2"/>
                <w:kern w:val="0"/>
                <w:sz w:val="18"/>
                <w:szCs w:val="18"/>
              </w:rPr>
              <w:t>单元</w:t>
            </w:r>
            <w:r>
              <w:rPr>
                <w:rFonts w:ascii="宋体" w:hAnsi="宋体" w:cs="宋体"/>
                <w:snapToGrid w:val="0"/>
                <w:color w:val="000000"/>
                <w:spacing w:val="-1"/>
                <w:kern w:val="0"/>
                <w:sz w:val="18"/>
                <w:szCs w:val="18"/>
              </w:rPr>
              <w:t>过程描述</w:t>
            </w:r>
          </w:p>
        </w:tc>
        <w:tc>
          <w:tcPr>
            <w:tcW w:w="7371" w:type="dxa"/>
            <w:gridSpan w:val="12"/>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主要工艺描述：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 w:hRule="atLeast"/>
        </w:trPr>
        <w:tc>
          <w:tcPr>
            <w:tcW w:w="2059" w:type="dxa"/>
            <w:gridSpan w:val="2"/>
            <w:vMerge w:val="continue"/>
            <w:tcBorders>
              <w:tl2br w:val="nil"/>
              <w:tr2bl w:val="nil"/>
            </w:tcBorders>
          </w:tcPr>
          <w:p>
            <w:pPr>
              <w:widowControl/>
              <w:kinsoku w:val="0"/>
              <w:autoSpaceDE w:val="0"/>
              <w:autoSpaceDN w:val="0"/>
              <w:snapToGrid w:val="0"/>
              <w:spacing w:line="240" w:lineRule="auto"/>
              <w:jc w:val="left"/>
              <w:textAlignment w:val="baseline"/>
            </w:pPr>
          </w:p>
        </w:tc>
        <w:tc>
          <w:tcPr>
            <w:tcW w:w="7371" w:type="dxa"/>
            <w:gridSpan w:val="12"/>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主要生产设备（装备）：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 w:hRule="atLeast"/>
        </w:trPr>
        <w:tc>
          <w:tcPr>
            <w:tcW w:w="2059" w:type="dxa"/>
            <w:gridSpan w:val="2"/>
            <w:vMerge w:val="continue"/>
            <w:tcBorders>
              <w:tl2br w:val="nil"/>
              <w:tr2bl w:val="nil"/>
            </w:tcBorders>
          </w:tcPr>
          <w:p>
            <w:pPr>
              <w:widowControl/>
              <w:kinsoku w:val="0"/>
              <w:autoSpaceDE w:val="0"/>
              <w:autoSpaceDN w:val="0"/>
              <w:snapToGrid w:val="0"/>
              <w:spacing w:line="240" w:lineRule="auto"/>
              <w:jc w:val="left"/>
              <w:textAlignment w:val="baseline"/>
              <w:rPr>
                <w:rFonts w:ascii="宋体" w:hAnsi="宋体" w:cs="Arial"/>
                <w:snapToGrid w:val="0"/>
                <w:color w:val="000000"/>
                <w:kern w:val="0"/>
                <w:sz w:val="18"/>
                <w:szCs w:val="18"/>
              </w:rPr>
            </w:pPr>
          </w:p>
        </w:tc>
        <w:tc>
          <w:tcPr>
            <w:tcW w:w="7371" w:type="dxa"/>
            <w:gridSpan w:val="12"/>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年额定产能：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 w:hRule="atLeast"/>
        </w:trPr>
        <w:tc>
          <w:tcPr>
            <w:tcW w:w="2059" w:type="dxa"/>
            <w:gridSpan w:val="2"/>
            <w:vMerge w:val="continue"/>
            <w:tcBorders>
              <w:tl2br w:val="nil"/>
              <w:tr2bl w:val="nil"/>
            </w:tcBorders>
          </w:tcPr>
          <w:p>
            <w:pPr>
              <w:widowControl/>
              <w:kinsoku w:val="0"/>
              <w:autoSpaceDE w:val="0"/>
              <w:autoSpaceDN w:val="0"/>
              <w:snapToGrid w:val="0"/>
              <w:spacing w:line="240" w:lineRule="auto"/>
              <w:jc w:val="left"/>
              <w:textAlignment w:val="baseline"/>
              <w:rPr>
                <w:rFonts w:ascii="宋体" w:hAnsi="宋体" w:cs="Arial"/>
                <w:snapToGrid w:val="0"/>
                <w:color w:val="000000"/>
                <w:kern w:val="0"/>
                <w:sz w:val="18"/>
                <w:szCs w:val="18"/>
              </w:rPr>
            </w:pPr>
          </w:p>
        </w:tc>
        <w:tc>
          <w:tcPr>
            <w:tcW w:w="7371" w:type="dxa"/>
            <w:gridSpan w:val="12"/>
            <w:tcBorders>
              <w:tl2br w:val="nil"/>
              <w:tr2bl w:val="nil"/>
            </w:tcBorders>
            <w:vAlign w:val="top"/>
          </w:tcPr>
          <w:p>
            <w:pPr>
              <w:widowControl/>
              <w:kinsoku w:val="0"/>
              <w:autoSpaceDE w:val="0"/>
              <w:autoSpaceDN w:val="0"/>
              <w:snapToGrid w:val="0"/>
              <w:spacing w:before="64" w:line="220" w:lineRule="auto"/>
              <w:ind w:left="118"/>
              <w:jc w:val="left"/>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管理水平：□QMS □EMS □14064 □EnMS</w:t>
            </w:r>
            <w:r>
              <w:rPr>
                <w:rFonts w:hint="eastAsia" w:ascii="宋体" w:hAnsi="宋体" w:cs="宋体"/>
                <w:snapToGrid w:val="0"/>
                <w:color w:val="000000"/>
                <w:spacing w:val="-2"/>
                <w:kern w:val="0"/>
                <w:sz w:val="18"/>
                <w:szCs w:val="18"/>
                <w:lang w:val="en-US" w:eastAsia="zh-CN"/>
              </w:rPr>
              <w:t xml:space="preserve"> </w:t>
            </w:r>
            <w:r>
              <w:rPr>
                <w:rFonts w:ascii="宋体" w:hAnsi="宋体" w:cs="宋体"/>
                <w:snapToGrid w:val="0"/>
                <w:color w:val="000000"/>
                <w:spacing w:val="-2"/>
                <w:kern w:val="0"/>
                <w:sz w:val="18"/>
                <w:szCs w:val="18"/>
              </w:rPr>
              <w:t>□其它（请描述）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9430" w:type="dxa"/>
            <w:gridSpan w:val="14"/>
            <w:tcBorders>
              <w:tl2br w:val="nil"/>
              <w:tr2bl w:val="nil"/>
            </w:tcBorders>
          </w:tcPr>
          <w:p>
            <w:pPr>
              <w:widowControl/>
              <w:kinsoku w:val="0"/>
              <w:autoSpaceDE w:val="0"/>
              <w:autoSpaceDN w:val="0"/>
              <w:snapToGrid w:val="0"/>
              <w:spacing w:before="63" w:line="220" w:lineRule="auto"/>
              <w:ind w:left="119"/>
              <w:jc w:val="left"/>
              <w:textAlignment w:val="baseline"/>
              <w:rPr>
                <w:rFonts w:hint="default" w:ascii="宋体" w:hAnsi="宋体" w:eastAsia="宋体" w:cs="宋体"/>
                <w:snapToGrid w:val="0"/>
                <w:color w:val="000000"/>
                <w:kern w:val="0"/>
                <w:sz w:val="18"/>
                <w:szCs w:val="18"/>
                <w:lang w:val="en-US" w:eastAsia="zh-CN"/>
              </w:rPr>
            </w:pPr>
            <w:r>
              <w:rPr>
                <w:rFonts w:hint="eastAsia" w:ascii="宋体" w:hAnsi="宋体" w:cs="宋体"/>
                <w:snapToGrid w:val="0"/>
                <w:color w:val="000000"/>
                <w:kern w:val="0"/>
                <w:sz w:val="18"/>
                <w:szCs w:val="18"/>
                <w:lang w:val="en-US" w:eastAsia="zh-CN"/>
              </w:rPr>
              <w:t>1、产品产出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886" w:type="dxa"/>
            <w:tcBorders>
              <w:tl2br w:val="nil"/>
              <w:tr2bl w:val="nil"/>
            </w:tcBorders>
            <w:vAlign w:val="top"/>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产品类型</w:t>
            </w:r>
          </w:p>
        </w:tc>
        <w:tc>
          <w:tcPr>
            <w:tcW w:w="1885" w:type="dxa"/>
            <w:gridSpan w:val="3"/>
            <w:tcBorders>
              <w:tl2br w:val="nil"/>
              <w:tr2bl w:val="nil"/>
            </w:tcBorders>
            <w:vAlign w:val="top"/>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单位</w:t>
            </w:r>
          </w:p>
        </w:tc>
        <w:tc>
          <w:tcPr>
            <w:tcW w:w="1882" w:type="dxa"/>
            <w:gridSpan w:val="4"/>
            <w:tcBorders>
              <w:tl2br w:val="nil"/>
              <w:tr2bl w:val="nil"/>
            </w:tcBorders>
            <w:vAlign w:val="top"/>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数量</w:t>
            </w:r>
          </w:p>
        </w:tc>
        <w:tc>
          <w:tcPr>
            <w:tcW w:w="1885" w:type="dxa"/>
            <w:gridSpan w:val="3"/>
            <w:tcBorders>
              <w:tl2br w:val="nil"/>
              <w:tr2bl w:val="nil"/>
            </w:tcBorders>
            <w:vAlign w:val="top"/>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数据来源</w:t>
            </w:r>
          </w:p>
        </w:tc>
        <w:tc>
          <w:tcPr>
            <w:tcW w:w="1892" w:type="dxa"/>
            <w:gridSpan w:val="3"/>
            <w:tcBorders>
              <w:tl2br w:val="nil"/>
              <w:tr2bl w:val="nil"/>
            </w:tcBorders>
            <w:vAlign w:val="top"/>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86" w:type="dxa"/>
            <w:tcBorders>
              <w:tl2br w:val="nil"/>
              <w:tr2bl w:val="nil"/>
            </w:tcBorders>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p>
        </w:tc>
        <w:tc>
          <w:tcPr>
            <w:tcW w:w="1885" w:type="dxa"/>
            <w:gridSpan w:val="3"/>
            <w:tcBorders>
              <w:tl2br w:val="nil"/>
              <w:tr2bl w:val="nil"/>
            </w:tcBorders>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p>
        </w:tc>
        <w:tc>
          <w:tcPr>
            <w:tcW w:w="1882" w:type="dxa"/>
            <w:gridSpan w:val="4"/>
            <w:tcBorders>
              <w:tl2br w:val="nil"/>
              <w:tr2bl w:val="nil"/>
            </w:tcBorders>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p>
        </w:tc>
        <w:tc>
          <w:tcPr>
            <w:tcW w:w="1885" w:type="dxa"/>
            <w:gridSpan w:val="3"/>
            <w:tcBorders>
              <w:tl2br w:val="nil"/>
              <w:tr2bl w:val="nil"/>
            </w:tcBorders>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p>
        </w:tc>
        <w:tc>
          <w:tcPr>
            <w:tcW w:w="1892" w:type="dxa"/>
            <w:gridSpan w:val="3"/>
            <w:tcBorders>
              <w:tl2br w:val="nil"/>
              <w:tr2bl w:val="nil"/>
            </w:tcBorders>
          </w:tcPr>
          <w:p>
            <w:pPr>
              <w:widowControl/>
              <w:kinsoku w:val="0"/>
              <w:autoSpaceDE w:val="0"/>
              <w:autoSpaceDN w:val="0"/>
              <w:snapToGrid w:val="0"/>
              <w:spacing w:before="64" w:line="220" w:lineRule="auto"/>
              <w:ind w:left="118"/>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9430" w:type="dxa"/>
            <w:gridSpan w:val="14"/>
            <w:tcBorders>
              <w:tl2br w:val="nil"/>
              <w:tr2bl w:val="nil"/>
            </w:tcBorders>
          </w:tcPr>
          <w:p>
            <w:pPr>
              <w:widowControl/>
              <w:kinsoku w:val="0"/>
              <w:autoSpaceDE w:val="0"/>
              <w:autoSpaceDN w:val="0"/>
              <w:snapToGrid w:val="0"/>
              <w:spacing w:before="65" w:line="219" w:lineRule="auto"/>
              <w:ind w:left="121"/>
              <w:jc w:val="left"/>
              <w:textAlignment w:val="baseline"/>
              <w:rPr>
                <w:rFonts w:ascii="宋体" w:hAnsi="宋体" w:cs="宋体"/>
                <w:snapToGrid w:val="0"/>
                <w:color w:val="000000"/>
                <w:kern w:val="0"/>
                <w:sz w:val="18"/>
                <w:szCs w:val="18"/>
              </w:rPr>
            </w:pPr>
            <w:r>
              <w:rPr>
                <w:rFonts w:hint="eastAsia" w:ascii="宋体" w:hAnsi="宋体" w:cs="宋体"/>
                <w:snapToGrid w:val="0"/>
                <w:color w:val="000000"/>
                <w:spacing w:val="-2"/>
                <w:kern w:val="0"/>
                <w:sz w:val="18"/>
                <w:szCs w:val="18"/>
                <w:lang w:val="en-US" w:eastAsia="zh-CN"/>
              </w:rPr>
              <w:t>2、</w:t>
            </w:r>
            <w:r>
              <w:rPr>
                <w:rFonts w:hint="eastAsia" w:ascii="宋体" w:hAnsi="宋体" w:cs="宋体"/>
                <w:snapToGrid w:val="0"/>
                <w:color w:val="000000"/>
                <w:spacing w:val="-2"/>
                <w:kern w:val="0"/>
                <w:sz w:val="18"/>
                <w:szCs w:val="18"/>
                <w:lang w:eastAsia="zh-CN"/>
              </w:rPr>
              <w:t>原辅材料</w:t>
            </w:r>
            <w:r>
              <w:rPr>
                <w:rFonts w:ascii="宋体" w:hAnsi="宋体" w:cs="宋体"/>
                <w:snapToGrid w:val="0"/>
                <w:color w:val="000000"/>
                <w:spacing w:val="-2"/>
                <w:kern w:val="0"/>
                <w:sz w:val="18"/>
                <w:szCs w:val="18"/>
              </w:rPr>
              <w:t>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原材料类型</w:t>
            </w:r>
          </w:p>
        </w:tc>
        <w:tc>
          <w:tcPr>
            <w:tcW w:w="1038"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单位</w:t>
            </w:r>
          </w:p>
        </w:tc>
        <w:tc>
          <w:tcPr>
            <w:tcW w:w="817"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数量</w:t>
            </w:r>
          </w:p>
        </w:tc>
        <w:tc>
          <w:tcPr>
            <w:tcW w:w="123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运输方式</w:t>
            </w:r>
          </w:p>
        </w:tc>
        <w:tc>
          <w:tcPr>
            <w:tcW w:w="1546"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lang w:eastAsia="zh-CN"/>
              </w:rPr>
              <w:t>能源</w:t>
            </w:r>
            <w:r>
              <w:rPr>
                <w:rFonts w:ascii="宋体" w:hAnsi="宋体" w:cs="宋体"/>
                <w:snapToGrid w:val="0"/>
                <w:color w:val="000000"/>
                <w:spacing w:val="-2"/>
                <w:kern w:val="0"/>
                <w:sz w:val="18"/>
                <w:szCs w:val="18"/>
              </w:rPr>
              <w:t>消耗量</w:t>
            </w:r>
          </w:p>
        </w:tc>
        <w:tc>
          <w:tcPr>
            <w:tcW w:w="1413"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数据来源</w:t>
            </w:r>
          </w:p>
        </w:tc>
        <w:tc>
          <w:tcPr>
            <w:tcW w:w="1324"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rPr>
              <w:t>蚕茧</w:t>
            </w:r>
          </w:p>
        </w:tc>
        <w:tc>
          <w:tcPr>
            <w:tcW w:w="1038"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817"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23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546"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413"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324"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hint="default" w:ascii="宋体" w:hAnsi="宋体" w:cs="宋体"/>
                <w:snapToGrid w:val="0"/>
                <w:color w:val="000000"/>
                <w:spacing w:val="-2"/>
                <w:kern w:val="0"/>
                <w:sz w:val="18"/>
                <w:szCs w:val="18"/>
                <w:lang w:val="en-US" w:eastAsia="zh-CN"/>
              </w:rPr>
            </w:pPr>
            <w:r>
              <w:rPr>
                <w:rFonts w:hint="eastAsia" w:ascii="宋体" w:hAnsi="宋体" w:cs="宋体"/>
                <w:snapToGrid w:val="0"/>
                <w:color w:val="000000"/>
                <w:spacing w:val="-2"/>
                <w:kern w:val="0"/>
                <w:sz w:val="18"/>
                <w:szCs w:val="18"/>
                <w:lang w:val="en-US" w:eastAsia="zh-CN"/>
              </w:rPr>
              <w:t>染料助剂</w:t>
            </w:r>
          </w:p>
        </w:tc>
        <w:tc>
          <w:tcPr>
            <w:tcW w:w="1038"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817"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23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546"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413"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324"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包装材料</w:t>
            </w:r>
          </w:p>
        </w:tc>
        <w:tc>
          <w:tcPr>
            <w:tcW w:w="1038"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817"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23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546"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413"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324"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w:t>
            </w:r>
          </w:p>
        </w:tc>
        <w:tc>
          <w:tcPr>
            <w:tcW w:w="1038"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817"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23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546"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413"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324" w:type="dxa"/>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430" w:type="dxa"/>
            <w:gridSpan w:val="14"/>
            <w:tcBorders>
              <w:tl2br w:val="nil"/>
              <w:tr2bl w:val="nil"/>
            </w:tcBorders>
          </w:tcPr>
          <w:p>
            <w:pPr>
              <w:widowControl/>
              <w:kinsoku w:val="0"/>
              <w:autoSpaceDE w:val="0"/>
              <w:autoSpaceDN w:val="0"/>
              <w:snapToGrid w:val="0"/>
              <w:spacing w:before="66" w:line="220" w:lineRule="auto"/>
              <w:ind w:left="124"/>
              <w:jc w:val="left"/>
              <w:textAlignment w:val="baseline"/>
              <w:rPr>
                <w:rFonts w:ascii="宋体" w:hAnsi="宋体" w:cs="宋体"/>
                <w:snapToGrid w:val="0"/>
                <w:color w:val="000000"/>
                <w:kern w:val="0"/>
                <w:sz w:val="18"/>
                <w:szCs w:val="18"/>
              </w:rPr>
            </w:pPr>
            <w:r>
              <w:rPr>
                <w:rFonts w:hint="eastAsia" w:ascii="宋体" w:hAnsi="宋体" w:cs="宋体"/>
                <w:snapToGrid w:val="0"/>
                <w:color w:val="000000"/>
                <w:spacing w:val="-4"/>
                <w:kern w:val="0"/>
                <w:sz w:val="18"/>
                <w:szCs w:val="18"/>
                <w:lang w:val="en-US" w:eastAsia="zh-CN"/>
              </w:rPr>
              <w:t>3、</w:t>
            </w:r>
            <w:r>
              <w:rPr>
                <w:rFonts w:ascii="宋体" w:hAnsi="宋体" w:cs="宋体"/>
                <w:snapToGrid w:val="0"/>
                <w:color w:val="000000"/>
                <w:spacing w:val="-4"/>
                <w:kern w:val="0"/>
                <w:sz w:val="18"/>
                <w:szCs w:val="18"/>
              </w:rPr>
              <w:t>能</w:t>
            </w:r>
            <w:r>
              <w:rPr>
                <w:rFonts w:ascii="宋体" w:hAnsi="宋体" w:cs="宋体"/>
                <w:snapToGrid w:val="0"/>
                <w:color w:val="000000"/>
                <w:spacing w:val="-3"/>
                <w:kern w:val="0"/>
                <w:sz w:val="18"/>
                <w:szCs w:val="18"/>
              </w:rPr>
              <w:t>源</w:t>
            </w:r>
            <w:r>
              <w:rPr>
                <w:rFonts w:ascii="宋体" w:hAnsi="宋体" w:cs="宋体"/>
                <w:snapToGrid w:val="0"/>
                <w:color w:val="000000"/>
                <w:spacing w:val="-2"/>
                <w:kern w:val="0"/>
                <w:sz w:val="18"/>
                <w:szCs w:val="18"/>
              </w:rPr>
              <w:t>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能源类型</w:t>
            </w:r>
          </w:p>
        </w:tc>
        <w:tc>
          <w:tcPr>
            <w:tcW w:w="1855" w:type="dxa"/>
            <w:gridSpan w:val="3"/>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单位</w:t>
            </w:r>
          </w:p>
        </w:tc>
        <w:tc>
          <w:tcPr>
            <w:tcW w:w="1849" w:type="dxa"/>
            <w:gridSpan w:val="4"/>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数量</w:t>
            </w:r>
          </w:p>
        </w:tc>
        <w:tc>
          <w:tcPr>
            <w:tcW w:w="1854" w:type="dxa"/>
            <w:gridSpan w:val="3"/>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数据来源</w:t>
            </w:r>
          </w:p>
        </w:tc>
        <w:tc>
          <w:tcPr>
            <w:tcW w:w="1813" w:type="dxa"/>
            <w:gridSpan w:val="2"/>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电</w:t>
            </w:r>
            <w:r>
              <w:rPr>
                <w:rFonts w:hint="eastAsia" w:ascii="宋体" w:hAnsi="宋体" w:cs="宋体"/>
                <w:snapToGrid w:val="0"/>
                <w:color w:val="000000"/>
                <w:spacing w:val="-2"/>
                <w:kern w:val="0"/>
                <w:sz w:val="18"/>
                <w:szCs w:val="18"/>
              </w:rPr>
              <w:t>力</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rPr>
              <w:t>天然气</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rPr>
              <w:t>蒸汽</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430" w:type="dxa"/>
            <w:gridSpan w:val="14"/>
            <w:tcBorders>
              <w:tl2br w:val="nil"/>
              <w:tr2bl w:val="nil"/>
            </w:tcBorders>
          </w:tcPr>
          <w:p>
            <w:pPr>
              <w:widowControl/>
              <w:kinsoku w:val="0"/>
              <w:autoSpaceDE w:val="0"/>
              <w:autoSpaceDN w:val="0"/>
              <w:snapToGrid w:val="0"/>
              <w:spacing w:before="66" w:line="220" w:lineRule="auto"/>
              <w:ind w:left="119"/>
              <w:jc w:val="left"/>
              <w:textAlignment w:val="baseline"/>
              <w:rPr>
                <w:rFonts w:ascii="宋体" w:hAnsi="宋体" w:cs="宋体"/>
                <w:snapToGrid w:val="0"/>
                <w:color w:val="000000"/>
                <w:kern w:val="0"/>
                <w:sz w:val="18"/>
                <w:szCs w:val="18"/>
              </w:rPr>
            </w:pPr>
            <w:r>
              <w:rPr>
                <w:rFonts w:hint="eastAsia" w:ascii="宋体" w:hAnsi="宋体" w:cs="宋体"/>
                <w:snapToGrid w:val="0"/>
                <w:color w:val="000000"/>
                <w:spacing w:val="-2"/>
                <w:kern w:val="0"/>
                <w:sz w:val="18"/>
                <w:szCs w:val="18"/>
                <w:lang w:val="en-US" w:eastAsia="zh-CN"/>
              </w:rPr>
              <w:t>4、</w:t>
            </w:r>
            <w:r>
              <w:rPr>
                <w:rFonts w:ascii="宋体" w:hAnsi="宋体" w:cs="宋体"/>
                <w:snapToGrid w:val="0"/>
                <w:color w:val="000000"/>
                <w:spacing w:val="-2"/>
                <w:kern w:val="0"/>
                <w:sz w:val="18"/>
                <w:szCs w:val="18"/>
              </w:rPr>
              <w:t>水资源</w:t>
            </w:r>
            <w:r>
              <w:rPr>
                <w:rFonts w:ascii="宋体" w:hAnsi="宋体" w:cs="宋体"/>
                <w:snapToGrid w:val="0"/>
                <w:color w:val="000000"/>
                <w:spacing w:val="-1"/>
                <w:kern w:val="0"/>
                <w:sz w:val="18"/>
                <w:szCs w:val="18"/>
              </w:rPr>
              <w:t>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水资源类型</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单位</w:t>
            </w: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数量</w:t>
            </w: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数据来源</w:t>
            </w: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地表水</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430" w:type="dxa"/>
            <w:gridSpan w:val="14"/>
            <w:tcBorders>
              <w:tl2br w:val="nil"/>
              <w:tr2bl w:val="nil"/>
            </w:tcBorders>
          </w:tcPr>
          <w:p>
            <w:pPr>
              <w:widowControl/>
              <w:kinsoku w:val="0"/>
              <w:autoSpaceDE w:val="0"/>
              <w:autoSpaceDN w:val="0"/>
              <w:snapToGrid w:val="0"/>
              <w:spacing w:before="68" w:line="220" w:lineRule="auto"/>
              <w:ind w:left="135"/>
              <w:jc w:val="left"/>
              <w:textAlignment w:val="baseline"/>
              <w:rPr>
                <w:rFonts w:ascii="宋体" w:hAnsi="宋体" w:cs="宋体"/>
                <w:snapToGrid w:val="0"/>
                <w:color w:val="000000"/>
                <w:kern w:val="0"/>
                <w:sz w:val="18"/>
                <w:szCs w:val="18"/>
              </w:rPr>
            </w:pPr>
            <w:r>
              <w:rPr>
                <w:rFonts w:hint="eastAsia" w:ascii="宋体" w:hAnsi="宋体" w:cs="宋体"/>
                <w:snapToGrid w:val="0"/>
                <w:color w:val="000000"/>
                <w:spacing w:val="-6"/>
                <w:kern w:val="0"/>
                <w:sz w:val="18"/>
                <w:szCs w:val="18"/>
                <w:lang w:val="en-US" w:eastAsia="zh-CN"/>
              </w:rPr>
              <w:t>5、</w:t>
            </w:r>
            <w:r>
              <w:rPr>
                <w:rFonts w:hint="eastAsia" w:ascii="宋体" w:hAnsi="宋体" w:cs="宋体"/>
                <w:snapToGrid w:val="0"/>
                <w:color w:val="000000"/>
                <w:spacing w:val="-6"/>
                <w:kern w:val="0"/>
                <w:sz w:val="18"/>
                <w:szCs w:val="18"/>
              </w:rPr>
              <w:t>废气</w:t>
            </w:r>
            <w:r>
              <w:rPr>
                <w:rFonts w:ascii="宋体" w:hAnsi="宋体" w:cs="宋体"/>
                <w:snapToGrid w:val="0"/>
                <w:color w:val="000000"/>
                <w:spacing w:val="-4"/>
                <w:kern w:val="0"/>
                <w:sz w:val="18"/>
                <w:szCs w:val="18"/>
              </w:rPr>
              <w:t>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排放种类</w:t>
            </w:r>
          </w:p>
        </w:tc>
        <w:tc>
          <w:tcPr>
            <w:tcW w:w="1855" w:type="dxa"/>
            <w:gridSpan w:val="3"/>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单位</w:t>
            </w:r>
          </w:p>
        </w:tc>
        <w:tc>
          <w:tcPr>
            <w:tcW w:w="1849" w:type="dxa"/>
            <w:gridSpan w:val="4"/>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数量</w:t>
            </w:r>
          </w:p>
        </w:tc>
        <w:tc>
          <w:tcPr>
            <w:tcW w:w="1854" w:type="dxa"/>
            <w:gridSpan w:val="3"/>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数据来源</w:t>
            </w:r>
          </w:p>
        </w:tc>
        <w:tc>
          <w:tcPr>
            <w:tcW w:w="1813" w:type="dxa"/>
            <w:gridSpan w:val="2"/>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rPr>
              <w:t>二氧化硫</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hint="eastAsia" w:ascii="宋体" w:hAnsi="宋体" w:cs="宋体"/>
                <w:snapToGrid w:val="0"/>
                <w:color w:val="000000"/>
                <w:spacing w:val="-2"/>
                <w:kern w:val="0"/>
                <w:sz w:val="18"/>
                <w:szCs w:val="18"/>
                <w:lang w:val="en-US" w:eastAsia="zh-CN"/>
              </w:rPr>
            </w:pPr>
            <w:r>
              <w:rPr>
                <w:rFonts w:ascii="宋体" w:hAnsi="宋体" w:cs="宋体"/>
                <w:snapToGrid w:val="0"/>
                <w:color w:val="000000"/>
                <w:spacing w:val="-2"/>
                <w:kern w:val="0"/>
                <w:sz w:val="18"/>
                <w:szCs w:val="18"/>
              </w:rPr>
              <w:t>VOC</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vAlign w:val="top"/>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w:t>
            </w:r>
          </w:p>
        </w:tc>
        <w:tc>
          <w:tcPr>
            <w:tcW w:w="1855"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5" w:line="219" w:lineRule="auto"/>
              <w:jc w:val="center"/>
              <w:textAlignment w:val="baseline"/>
              <w:rPr>
                <w:rFonts w:ascii="宋体" w:hAnsi="宋体" w:cs="宋体"/>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430" w:type="dxa"/>
            <w:gridSpan w:val="14"/>
            <w:tcBorders>
              <w:tl2br w:val="nil"/>
              <w:tr2bl w:val="nil"/>
            </w:tcBorders>
          </w:tcPr>
          <w:p>
            <w:pPr>
              <w:widowControl/>
              <w:kinsoku w:val="0"/>
              <w:autoSpaceDE w:val="0"/>
              <w:autoSpaceDN w:val="0"/>
              <w:snapToGrid w:val="0"/>
              <w:spacing w:line="240" w:lineRule="auto"/>
              <w:jc w:val="left"/>
              <w:textAlignment w:val="baseline"/>
              <w:rPr>
                <w:rFonts w:ascii="宋体" w:hAnsi="宋体" w:cs="Arial"/>
                <w:snapToGrid w:val="0"/>
                <w:color w:val="000000"/>
                <w:kern w:val="0"/>
                <w:sz w:val="18"/>
                <w:szCs w:val="18"/>
              </w:rPr>
            </w:pPr>
            <w:r>
              <w:rPr>
                <w:rFonts w:hint="eastAsia" w:ascii="宋体" w:hAnsi="宋体" w:cs="宋体"/>
                <w:snapToGrid w:val="0"/>
                <w:color w:val="000000"/>
                <w:spacing w:val="-2"/>
                <w:kern w:val="0"/>
                <w:sz w:val="18"/>
                <w:szCs w:val="18"/>
                <w:lang w:val="en-US" w:eastAsia="zh-CN"/>
              </w:rPr>
              <w:t>6、</w:t>
            </w:r>
            <w:r>
              <w:rPr>
                <w:rFonts w:hint="eastAsia" w:ascii="宋体" w:hAnsi="宋体" w:cs="宋体"/>
                <w:snapToGrid w:val="0"/>
                <w:color w:val="000000"/>
                <w:spacing w:val="-2"/>
                <w:kern w:val="0"/>
                <w:sz w:val="18"/>
                <w:szCs w:val="18"/>
              </w:rPr>
              <w:t>废水排放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排放种类</w:t>
            </w:r>
          </w:p>
        </w:tc>
        <w:tc>
          <w:tcPr>
            <w:tcW w:w="1855" w:type="dxa"/>
            <w:gridSpan w:val="3"/>
            <w:tcBorders>
              <w:tl2br w:val="nil"/>
              <w:tr2bl w:val="nil"/>
            </w:tcBorders>
            <w:vAlign w:val="top"/>
          </w:tcPr>
          <w:p>
            <w:pPr>
              <w:widowControl/>
              <w:kinsoku w:val="0"/>
              <w:autoSpaceDE w:val="0"/>
              <w:autoSpaceDN w:val="0"/>
              <w:snapToGrid w:val="0"/>
              <w:spacing w:before="67"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单</w:t>
            </w:r>
            <w:r>
              <w:rPr>
                <w:rFonts w:ascii="宋体" w:hAnsi="宋体" w:cs="宋体"/>
                <w:snapToGrid w:val="0"/>
                <w:color w:val="000000"/>
                <w:spacing w:val="-2"/>
                <w:kern w:val="0"/>
                <w:sz w:val="18"/>
                <w:szCs w:val="18"/>
              </w:rPr>
              <w:t>位</w:t>
            </w:r>
          </w:p>
        </w:tc>
        <w:tc>
          <w:tcPr>
            <w:tcW w:w="1849" w:type="dxa"/>
            <w:gridSpan w:val="4"/>
            <w:tcBorders>
              <w:tl2br w:val="nil"/>
              <w:tr2bl w:val="nil"/>
            </w:tcBorders>
            <w:vAlign w:val="top"/>
          </w:tcPr>
          <w:p>
            <w:pPr>
              <w:widowControl/>
              <w:kinsoku w:val="0"/>
              <w:autoSpaceDE w:val="0"/>
              <w:autoSpaceDN w:val="0"/>
              <w:snapToGrid w:val="0"/>
              <w:spacing w:before="66"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数</w:t>
            </w:r>
            <w:r>
              <w:rPr>
                <w:rFonts w:ascii="宋体" w:hAnsi="宋体" w:cs="宋体"/>
                <w:snapToGrid w:val="0"/>
                <w:color w:val="000000"/>
                <w:spacing w:val="-2"/>
                <w:kern w:val="0"/>
                <w:sz w:val="18"/>
                <w:szCs w:val="18"/>
              </w:rPr>
              <w:t>量</w:t>
            </w:r>
          </w:p>
        </w:tc>
        <w:tc>
          <w:tcPr>
            <w:tcW w:w="1854" w:type="dxa"/>
            <w:gridSpan w:val="3"/>
            <w:tcBorders>
              <w:tl2br w:val="nil"/>
              <w:tr2bl w:val="nil"/>
            </w:tcBorders>
            <w:vAlign w:val="top"/>
          </w:tcPr>
          <w:p>
            <w:pPr>
              <w:widowControl/>
              <w:kinsoku w:val="0"/>
              <w:autoSpaceDE w:val="0"/>
              <w:autoSpaceDN w:val="0"/>
              <w:snapToGrid w:val="0"/>
              <w:spacing w:before="66"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2"/>
                <w:kern w:val="0"/>
                <w:sz w:val="18"/>
                <w:szCs w:val="18"/>
              </w:rPr>
              <w:t>数据来</w:t>
            </w:r>
            <w:r>
              <w:rPr>
                <w:rFonts w:ascii="宋体" w:hAnsi="宋体" w:cs="宋体"/>
                <w:snapToGrid w:val="0"/>
                <w:color w:val="000000"/>
                <w:spacing w:val="-1"/>
                <w:kern w:val="0"/>
                <w:sz w:val="18"/>
                <w:szCs w:val="18"/>
              </w:rPr>
              <w:t>源</w:t>
            </w:r>
          </w:p>
        </w:tc>
        <w:tc>
          <w:tcPr>
            <w:tcW w:w="1813" w:type="dxa"/>
            <w:gridSpan w:val="2"/>
            <w:tcBorders>
              <w:tl2br w:val="nil"/>
              <w:tr2bl w:val="nil"/>
            </w:tcBorders>
            <w:vAlign w:val="top"/>
          </w:tcPr>
          <w:p>
            <w:pPr>
              <w:widowControl/>
              <w:kinsoku w:val="0"/>
              <w:autoSpaceDE w:val="0"/>
              <w:autoSpaceDN w:val="0"/>
              <w:snapToGrid w:val="0"/>
              <w:spacing w:before="66" w:line="221"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备</w:t>
            </w:r>
            <w:r>
              <w:rPr>
                <w:rFonts w:ascii="宋体" w:hAnsi="宋体" w:cs="宋体"/>
                <w:snapToGrid w:val="0"/>
                <w:color w:val="000000"/>
                <w:spacing w:val="-2"/>
                <w:kern w:val="0"/>
                <w:sz w:val="18"/>
                <w:szCs w:val="1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废水</w:t>
            </w:r>
          </w:p>
        </w:tc>
        <w:tc>
          <w:tcPr>
            <w:tcW w:w="1855" w:type="dxa"/>
            <w:gridSpan w:val="3"/>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r>
              <w:rPr>
                <w:rFonts w:hint="eastAsia" w:ascii="宋体" w:hAnsi="宋体" w:cs="宋体"/>
                <w:snapToGrid w:val="0"/>
                <w:color w:val="000000"/>
                <w:spacing w:val="-2"/>
                <w:kern w:val="0"/>
                <w:sz w:val="18"/>
                <w:szCs w:val="18"/>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430" w:type="dxa"/>
            <w:gridSpan w:val="14"/>
            <w:tcBorders>
              <w:tl2br w:val="nil"/>
              <w:tr2bl w:val="nil"/>
            </w:tcBorders>
          </w:tcPr>
          <w:p>
            <w:pPr>
              <w:widowControl/>
              <w:kinsoku w:val="0"/>
              <w:autoSpaceDE w:val="0"/>
              <w:autoSpaceDN w:val="0"/>
              <w:snapToGrid w:val="0"/>
              <w:spacing w:line="240" w:lineRule="auto"/>
              <w:jc w:val="both"/>
              <w:textAlignment w:val="baseline"/>
              <w:rPr>
                <w:rFonts w:hint="default" w:ascii="宋体" w:hAnsi="宋体" w:cs="宋体"/>
                <w:snapToGrid w:val="0"/>
                <w:color w:val="000000"/>
                <w:spacing w:val="-2"/>
                <w:kern w:val="0"/>
                <w:sz w:val="18"/>
                <w:szCs w:val="18"/>
                <w:lang w:val="en-US"/>
              </w:rPr>
            </w:pPr>
            <w:r>
              <w:rPr>
                <w:rFonts w:hint="eastAsia" w:ascii="宋体" w:hAnsi="宋体" w:cs="宋体"/>
                <w:snapToGrid w:val="0"/>
                <w:color w:val="000000"/>
                <w:spacing w:val="-2"/>
                <w:kern w:val="0"/>
                <w:sz w:val="18"/>
                <w:szCs w:val="18"/>
                <w:lang w:val="en-US" w:eastAsia="zh-CN"/>
              </w:rPr>
              <w:t>7、固体废弃物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种类</w:t>
            </w:r>
          </w:p>
        </w:tc>
        <w:tc>
          <w:tcPr>
            <w:tcW w:w="1855" w:type="dxa"/>
            <w:gridSpan w:val="3"/>
            <w:tcBorders>
              <w:tl2br w:val="nil"/>
              <w:tr2bl w:val="nil"/>
            </w:tcBorders>
            <w:vAlign w:val="top"/>
          </w:tcPr>
          <w:p>
            <w:pPr>
              <w:widowControl/>
              <w:kinsoku w:val="0"/>
              <w:autoSpaceDE w:val="0"/>
              <w:autoSpaceDN w:val="0"/>
              <w:snapToGrid w:val="0"/>
              <w:spacing w:before="67"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单</w:t>
            </w:r>
            <w:r>
              <w:rPr>
                <w:rFonts w:ascii="宋体" w:hAnsi="宋体" w:cs="宋体"/>
                <w:snapToGrid w:val="0"/>
                <w:color w:val="000000"/>
                <w:spacing w:val="-2"/>
                <w:kern w:val="0"/>
                <w:sz w:val="18"/>
                <w:szCs w:val="18"/>
              </w:rPr>
              <w:t>位</w:t>
            </w:r>
          </w:p>
        </w:tc>
        <w:tc>
          <w:tcPr>
            <w:tcW w:w="1849" w:type="dxa"/>
            <w:gridSpan w:val="4"/>
            <w:tcBorders>
              <w:tl2br w:val="nil"/>
              <w:tr2bl w:val="nil"/>
            </w:tcBorders>
            <w:vAlign w:val="top"/>
          </w:tcPr>
          <w:p>
            <w:pPr>
              <w:widowControl/>
              <w:kinsoku w:val="0"/>
              <w:autoSpaceDE w:val="0"/>
              <w:autoSpaceDN w:val="0"/>
              <w:snapToGrid w:val="0"/>
              <w:spacing w:before="66"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数</w:t>
            </w:r>
            <w:r>
              <w:rPr>
                <w:rFonts w:ascii="宋体" w:hAnsi="宋体" w:cs="宋体"/>
                <w:snapToGrid w:val="0"/>
                <w:color w:val="000000"/>
                <w:spacing w:val="-2"/>
                <w:kern w:val="0"/>
                <w:sz w:val="18"/>
                <w:szCs w:val="18"/>
              </w:rPr>
              <w:t>量</w:t>
            </w:r>
          </w:p>
        </w:tc>
        <w:tc>
          <w:tcPr>
            <w:tcW w:w="1854" w:type="dxa"/>
            <w:gridSpan w:val="3"/>
            <w:tcBorders>
              <w:tl2br w:val="nil"/>
              <w:tr2bl w:val="nil"/>
            </w:tcBorders>
            <w:vAlign w:val="top"/>
          </w:tcPr>
          <w:p>
            <w:pPr>
              <w:widowControl/>
              <w:kinsoku w:val="0"/>
              <w:autoSpaceDE w:val="0"/>
              <w:autoSpaceDN w:val="0"/>
              <w:snapToGrid w:val="0"/>
              <w:spacing w:before="66" w:line="220" w:lineRule="auto"/>
              <w:jc w:val="center"/>
              <w:textAlignment w:val="baseline"/>
              <w:rPr>
                <w:rFonts w:ascii="宋体" w:hAnsi="宋体" w:eastAsia="宋体" w:cs="宋体"/>
                <w:snapToGrid w:val="0"/>
                <w:color w:val="000000"/>
                <w:kern w:val="0"/>
                <w:sz w:val="18"/>
                <w:szCs w:val="18"/>
                <w:lang w:val="en-US" w:eastAsia="zh-CN" w:bidi="ar-SA"/>
              </w:rPr>
            </w:pPr>
            <w:r>
              <w:rPr>
                <w:rFonts w:ascii="宋体" w:hAnsi="宋体" w:cs="宋体"/>
                <w:snapToGrid w:val="0"/>
                <w:color w:val="000000"/>
                <w:spacing w:val="-2"/>
                <w:kern w:val="0"/>
                <w:sz w:val="18"/>
                <w:szCs w:val="18"/>
              </w:rPr>
              <w:t>数据来</w:t>
            </w:r>
            <w:r>
              <w:rPr>
                <w:rFonts w:ascii="宋体" w:hAnsi="宋体" w:cs="宋体"/>
                <w:snapToGrid w:val="0"/>
                <w:color w:val="000000"/>
                <w:spacing w:val="-1"/>
                <w:kern w:val="0"/>
                <w:sz w:val="18"/>
                <w:szCs w:val="18"/>
              </w:rPr>
              <w:t>源</w:t>
            </w:r>
          </w:p>
        </w:tc>
        <w:tc>
          <w:tcPr>
            <w:tcW w:w="1813" w:type="dxa"/>
            <w:gridSpan w:val="2"/>
            <w:tcBorders>
              <w:tl2br w:val="nil"/>
              <w:tr2bl w:val="nil"/>
            </w:tcBorders>
            <w:vAlign w:val="top"/>
          </w:tcPr>
          <w:p>
            <w:pPr>
              <w:widowControl/>
              <w:kinsoku w:val="0"/>
              <w:autoSpaceDE w:val="0"/>
              <w:autoSpaceDN w:val="0"/>
              <w:snapToGrid w:val="0"/>
              <w:spacing w:before="66" w:line="221" w:lineRule="auto"/>
              <w:jc w:val="center"/>
              <w:textAlignment w:val="baseline"/>
              <w:rPr>
                <w:rFonts w:hint="eastAsia" w:ascii="宋体" w:hAnsi="宋体" w:eastAsia="宋体" w:cs="宋体"/>
                <w:snapToGrid w:val="0"/>
                <w:color w:val="000000"/>
                <w:kern w:val="0"/>
                <w:sz w:val="18"/>
                <w:szCs w:val="18"/>
                <w:lang w:val="en-US" w:eastAsia="zh-CN" w:bidi="ar-SA"/>
              </w:rPr>
            </w:pPr>
            <w:r>
              <w:rPr>
                <w:rFonts w:ascii="宋体" w:hAnsi="宋体" w:cs="宋体"/>
                <w:snapToGrid w:val="0"/>
                <w:color w:val="000000"/>
                <w:spacing w:val="-3"/>
                <w:kern w:val="0"/>
                <w:sz w:val="18"/>
                <w:szCs w:val="18"/>
              </w:rPr>
              <w:t>备</w:t>
            </w:r>
            <w:r>
              <w:rPr>
                <w:rFonts w:ascii="宋体" w:hAnsi="宋体" w:cs="宋体"/>
                <w:snapToGrid w:val="0"/>
                <w:color w:val="000000"/>
                <w:spacing w:val="-2"/>
                <w:kern w:val="0"/>
                <w:sz w:val="18"/>
                <w:szCs w:val="1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固废类别1</w:t>
            </w:r>
          </w:p>
        </w:tc>
        <w:tc>
          <w:tcPr>
            <w:tcW w:w="1855"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49" w:type="dxa"/>
            <w:gridSpan w:val="4"/>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hint="eastAsia"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hint="eastAsia" w:ascii="宋体" w:hAnsi="宋体" w:eastAsia="宋体" w:cs="宋体"/>
                <w:snapToGrid w:val="0"/>
                <w:color w:val="000000"/>
                <w:spacing w:val="-2"/>
                <w:kern w:val="0"/>
                <w:sz w:val="18"/>
                <w:szCs w:val="18"/>
                <w:lang w:val="en-US" w:eastAsia="zh-CN" w:bidi="ar-SA"/>
              </w:rPr>
            </w:pPr>
            <w:r>
              <w:rPr>
                <w:rFonts w:ascii="宋体" w:hAnsi="宋体" w:cs="宋体"/>
                <w:snapToGrid w:val="0"/>
                <w:color w:val="000000"/>
                <w:spacing w:val="-2"/>
                <w:kern w:val="0"/>
                <w:sz w:val="18"/>
                <w:szCs w:val="18"/>
              </w:rPr>
              <w:t>固废类别</w:t>
            </w:r>
            <w:r>
              <w:rPr>
                <w:rFonts w:hint="eastAsia" w:ascii="宋体" w:hAnsi="宋体" w:cs="宋体"/>
                <w:snapToGrid w:val="0"/>
                <w:color w:val="000000"/>
                <w:spacing w:val="-2"/>
                <w:kern w:val="0"/>
                <w:sz w:val="18"/>
                <w:szCs w:val="18"/>
                <w:lang w:val="en-US" w:eastAsia="zh-CN"/>
              </w:rPr>
              <w:t>2</w:t>
            </w:r>
          </w:p>
        </w:tc>
        <w:tc>
          <w:tcPr>
            <w:tcW w:w="1855"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eastAsia="宋体" w:cs="宋体"/>
                <w:snapToGrid w:val="0"/>
                <w:color w:val="000000"/>
                <w:spacing w:val="-2"/>
                <w:kern w:val="0"/>
                <w:sz w:val="18"/>
                <w:szCs w:val="18"/>
                <w:lang w:val="en-US" w:eastAsia="zh-CN" w:bidi="ar-SA"/>
              </w:rPr>
            </w:pPr>
          </w:p>
        </w:tc>
        <w:tc>
          <w:tcPr>
            <w:tcW w:w="1849" w:type="dxa"/>
            <w:gridSpan w:val="4"/>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54"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cs="宋体"/>
                <w:snapToGrid w:val="0"/>
                <w:color w:val="000000"/>
                <w:spacing w:val="-2"/>
                <w:kern w:val="0"/>
                <w:sz w:val="18"/>
                <w:szCs w:val="18"/>
              </w:rPr>
            </w:pPr>
          </w:p>
        </w:tc>
        <w:tc>
          <w:tcPr>
            <w:tcW w:w="1813"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hint="eastAsia" w:ascii="宋体" w:hAnsi="宋体" w:cs="宋体"/>
                <w:snapToGrid w:val="0"/>
                <w:color w:val="000000"/>
                <w:spacing w:val="-2"/>
                <w:kern w:val="0"/>
                <w:sz w:val="18"/>
                <w:szCs w:val="18"/>
              </w:rPr>
            </w:pPr>
            <w:r>
              <w:rPr>
                <w:rFonts w:ascii="宋体" w:hAnsi="宋体" w:cs="宋体"/>
                <w:snapToGrid w:val="0"/>
                <w:color w:val="000000"/>
                <w:spacing w:val="-2"/>
                <w:kern w:val="0"/>
                <w:sz w:val="18"/>
                <w:szCs w:val="18"/>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59"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eastAsia="宋体" w:cs="宋体"/>
                <w:snapToGrid w:val="0"/>
                <w:color w:val="000000"/>
                <w:spacing w:val="-2"/>
                <w:kern w:val="0"/>
                <w:sz w:val="18"/>
                <w:szCs w:val="18"/>
                <w:lang w:val="en-US" w:eastAsia="zh-CN" w:bidi="ar-SA"/>
              </w:rPr>
            </w:pPr>
            <w:r>
              <w:rPr>
                <w:rFonts w:ascii="宋体" w:hAnsi="宋体" w:cs="宋体"/>
                <w:snapToGrid w:val="0"/>
                <w:color w:val="000000"/>
                <w:spacing w:val="-6"/>
                <w:kern w:val="0"/>
                <w:position w:val="1"/>
                <w:sz w:val="18"/>
                <w:szCs w:val="18"/>
              </w:rPr>
              <w:t>…</w:t>
            </w:r>
            <w:r>
              <w:rPr>
                <w:rFonts w:ascii="宋体" w:hAnsi="宋体" w:cs="宋体"/>
                <w:snapToGrid w:val="0"/>
                <w:color w:val="000000"/>
                <w:spacing w:val="-4"/>
                <w:kern w:val="0"/>
                <w:position w:val="1"/>
                <w:sz w:val="18"/>
                <w:szCs w:val="18"/>
              </w:rPr>
              <w:t>…</w:t>
            </w:r>
          </w:p>
        </w:tc>
        <w:tc>
          <w:tcPr>
            <w:tcW w:w="1855"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eastAsia="宋体" w:cs="宋体"/>
                <w:snapToGrid w:val="0"/>
                <w:color w:val="000000"/>
                <w:spacing w:val="-2"/>
                <w:kern w:val="0"/>
                <w:sz w:val="18"/>
                <w:szCs w:val="18"/>
                <w:lang w:val="en-US" w:eastAsia="zh-CN" w:bidi="ar-SA"/>
              </w:rPr>
            </w:pPr>
          </w:p>
        </w:tc>
        <w:tc>
          <w:tcPr>
            <w:tcW w:w="1849" w:type="dxa"/>
            <w:gridSpan w:val="4"/>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eastAsia="宋体" w:cs="宋体"/>
                <w:snapToGrid w:val="0"/>
                <w:color w:val="000000"/>
                <w:spacing w:val="-2"/>
                <w:kern w:val="0"/>
                <w:sz w:val="18"/>
                <w:szCs w:val="18"/>
                <w:lang w:val="en-US" w:eastAsia="zh-CN" w:bidi="ar-SA"/>
              </w:rPr>
            </w:pPr>
          </w:p>
        </w:tc>
        <w:tc>
          <w:tcPr>
            <w:tcW w:w="1854" w:type="dxa"/>
            <w:gridSpan w:val="3"/>
            <w:tcBorders>
              <w:tl2br w:val="nil"/>
              <w:tr2bl w:val="nil"/>
            </w:tcBorders>
            <w:vAlign w:val="top"/>
          </w:tcPr>
          <w:p>
            <w:pPr>
              <w:widowControl/>
              <w:kinsoku w:val="0"/>
              <w:autoSpaceDE w:val="0"/>
              <w:autoSpaceDN w:val="0"/>
              <w:snapToGrid w:val="0"/>
              <w:spacing w:before="64" w:line="220" w:lineRule="auto"/>
              <w:jc w:val="center"/>
              <w:textAlignment w:val="baseline"/>
              <w:rPr>
                <w:rFonts w:ascii="宋体" w:hAnsi="宋体" w:eastAsia="宋体" w:cs="宋体"/>
                <w:snapToGrid w:val="0"/>
                <w:color w:val="000000"/>
                <w:spacing w:val="-2"/>
                <w:kern w:val="0"/>
                <w:sz w:val="18"/>
                <w:szCs w:val="18"/>
                <w:lang w:val="en-US" w:eastAsia="zh-CN" w:bidi="ar-SA"/>
              </w:rPr>
            </w:pPr>
          </w:p>
        </w:tc>
        <w:tc>
          <w:tcPr>
            <w:tcW w:w="1813" w:type="dxa"/>
            <w:gridSpan w:val="2"/>
            <w:tcBorders>
              <w:tl2br w:val="nil"/>
              <w:tr2bl w:val="nil"/>
            </w:tcBorders>
            <w:vAlign w:val="top"/>
          </w:tcPr>
          <w:p>
            <w:pPr>
              <w:widowControl/>
              <w:kinsoku w:val="0"/>
              <w:autoSpaceDE w:val="0"/>
              <w:autoSpaceDN w:val="0"/>
              <w:snapToGrid w:val="0"/>
              <w:spacing w:before="64" w:line="220" w:lineRule="auto"/>
              <w:jc w:val="center"/>
              <w:textAlignment w:val="baseline"/>
              <w:rPr>
                <w:rFonts w:hint="eastAsia" w:ascii="宋体" w:hAnsi="宋体" w:eastAsia="宋体" w:cs="宋体"/>
                <w:snapToGrid w:val="0"/>
                <w:color w:val="000000"/>
                <w:spacing w:val="-2"/>
                <w:kern w:val="0"/>
                <w:sz w:val="18"/>
                <w:szCs w:val="18"/>
                <w:lang w:val="en-US" w:eastAsia="zh-CN" w:bidi="ar-SA"/>
              </w:rPr>
            </w:pPr>
            <w:r>
              <w:rPr>
                <w:rFonts w:ascii="宋体" w:hAnsi="宋体" w:cs="宋体"/>
                <w:snapToGrid w:val="0"/>
                <w:color w:val="000000"/>
                <w:spacing w:val="-2"/>
                <w:kern w:val="0"/>
                <w:sz w:val="18"/>
                <w:szCs w:val="18"/>
              </w:rPr>
              <w:t>处理方式</w:t>
            </w:r>
          </w:p>
        </w:tc>
      </w:tr>
    </w:tbl>
    <w:p>
      <w:r>
        <w:br w:type="page"/>
      </w:r>
    </w:p>
    <w:p>
      <w:pPr>
        <w:pStyle w:val="77"/>
        <w:spacing w:after="156"/>
      </w:pPr>
      <w:bookmarkStart w:id="50" w:name="_Toc10632"/>
      <w:r>
        <w:br w:type="textWrapping"/>
      </w:r>
      <w:r>
        <w:rPr>
          <w:rFonts w:hint="eastAsia"/>
        </w:rPr>
        <w:t>（</w:t>
      </w:r>
      <w:r>
        <w:rPr>
          <w:rFonts w:hint="eastAsia"/>
          <w:lang w:val="en-US" w:eastAsia="zh-CN"/>
        </w:rPr>
        <w:t>规范</w:t>
      </w:r>
      <w:r>
        <w:rPr>
          <w:rFonts w:hint="eastAsia"/>
        </w:rPr>
        <w:t>性）</w:t>
      </w:r>
      <w:r>
        <w:br w:type="textWrapping"/>
      </w:r>
      <w:r>
        <w:rPr>
          <w:rFonts w:hint="eastAsia"/>
        </w:rPr>
        <w:t>数据质量评价</w:t>
      </w:r>
      <w:bookmarkEnd w:id="50"/>
    </w:p>
    <w:p>
      <w:pPr>
        <w:pStyle w:val="79"/>
        <w:numPr>
          <w:ilvl w:val="1"/>
          <w:numId w:val="0"/>
        </w:numPr>
        <w:bidi w:val="0"/>
        <w:ind w:leftChars="0"/>
        <w:rPr>
          <w:rFonts w:ascii="黑体" w:hAnsi="宋体" w:eastAsia="黑体" w:cs="黑体"/>
          <w:snapToGrid w:val="0"/>
          <w:color w:val="000000"/>
          <w:kern w:val="0"/>
          <w:lang w:bidi="ar"/>
        </w:rPr>
      </w:pPr>
      <w:r>
        <w:rPr>
          <w:rFonts w:hint="eastAsia" w:hAnsi="宋体" w:cs="黑体"/>
          <w:color w:val="000000"/>
          <w:kern w:val="0"/>
          <w:sz w:val="20"/>
          <w:szCs w:val="20"/>
          <w:lang w:val="en-US" w:eastAsia="zh-CN" w:bidi="ar"/>
        </w:rPr>
        <w:t xml:space="preserve">B.1  </w:t>
      </w:r>
      <w:r>
        <w:rPr>
          <w:rFonts w:ascii="黑体" w:hAnsi="宋体" w:eastAsia="黑体" w:cs="黑体"/>
          <w:color w:val="000000"/>
          <w:kern w:val="0"/>
          <w:sz w:val="20"/>
          <w:szCs w:val="20"/>
          <w:lang w:val="en-US" w:eastAsia="zh-CN" w:bidi="ar"/>
        </w:rPr>
        <w:t>数据质量</w:t>
      </w:r>
      <w:r>
        <w:rPr>
          <w:rFonts w:ascii="黑体" w:hAnsi="宋体" w:eastAsia="黑体" w:cs="黑体"/>
          <w:snapToGrid w:val="0"/>
          <w:color w:val="000000"/>
          <w:kern w:val="0"/>
          <w:lang w:val="en-US" w:eastAsia="zh-CN" w:bidi="ar"/>
        </w:rPr>
        <w:t xml:space="preserve">评分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按照数据代表性差异评分，并用5级分制来定义数据质量，数据质量等级1-5级分别设定分值为5分、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4分、3分、2分、1分，见表B.1。对于质量较差的数据须进行敏感性分析（包括不确定性评估），例如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通过敏感性检查说明产品生命周期忽略的现场数据可能对最终结果造成的影响，说明现场数据的选择与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处理、数据库数据是否符合本文件的要求。数据质量属性包括以下方面： </w:t>
      </w:r>
    </w:p>
    <w:p>
      <w:pPr>
        <w:pStyle w:val="175"/>
        <w:numPr>
          <w:ilvl w:val="0"/>
          <w:numId w:val="61"/>
        </w:numPr>
        <w:rPr>
          <w:rFonts w:hint="eastAsia"/>
        </w:rPr>
      </w:pPr>
      <w:r>
        <w:rPr>
          <w:rFonts w:hint="eastAsia"/>
          <w:lang w:val="en-US" w:eastAsia="zh-CN"/>
        </w:rPr>
        <w:t xml:space="preserve">地区性：浙江本地区的数据来源优于中国平均数据来源，中国平均数据来源优于其他国家数据来源； </w:t>
      </w:r>
    </w:p>
    <w:p>
      <w:pPr>
        <w:pStyle w:val="175"/>
        <w:numPr>
          <w:ilvl w:val="0"/>
          <w:numId w:val="61"/>
        </w:numPr>
        <w:rPr>
          <w:rFonts w:hint="eastAsia"/>
        </w:rPr>
      </w:pPr>
      <w:r>
        <w:rPr>
          <w:rFonts w:hint="eastAsia"/>
          <w:lang w:val="en-US" w:eastAsia="zh-CN"/>
        </w:rPr>
        <w:t xml:space="preserve">原料种类：使用相同原料生产的数据优于使用不同原料生产但产品相似的数据； </w:t>
      </w:r>
    </w:p>
    <w:p>
      <w:pPr>
        <w:pStyle w:val="175"/>
        <w:numPr>
          <w:ilvl w:val="0"/>
          <w:numId w:val="61"/>
        </w:numPr>
        <w:rPr>
          <w:rFonts w:hint="eastAsia"/>
        </w:rPr>
      </w:pPr>
      <w:r>
        <w:rPr>
          <w:rFonts w:hint="eastAsia"/>
          <w:lang w:val="en-US" w:eastAsia="zh-CN"/>
        </w:rPr>
        <w:t xml:space="preserve">能耗种类：能耗种类及比例相同或相似，其相关数据质量越高； </w:t>
      </w:r>
    </w:p>
    <w:p>
      <w:pPr>
        <w:pStyle w:val="175"/>
        <w:numPr>
          <w:ilvl w:val="0"/>
          <w:numId w:val="61"/>
        </w:numPr>
        <w:rPr>
          <w:rFonts w:hint="eastAsia"/>
        </w:rPr>
      </w:pPr>
      <w:r>
        <w:rPr>
          <w:rFonts w:hint="eastAsia"/>
          <w:lang w:val="en-US" w:eastAsia="zh-CN"/>
        </w:rPr>
        <w:t xml:space="preserve">生产工艺和设备：生产工艺和设备相同或相似，其相关数据质量越高； </w:t>
      </w:r>
    </w:p>
    <w:p>
      <w:pPr>
        <w:pStyle w:val="175"/>
        <w:numPr>
          <w:ilvl w:val="0"/>
          <w:numId w:val="61"/>
        </w:numPr>
        <w:rPr>
          <w:rFonts w:hint="eastAsia"/>
        </w:rPr>
      </w:pPr>
      <w:r>
        <w:rPr>
          <w:rFonts w:hint="eastAsia"/>
          <w:lang w:val="en-US" w:eastAsia="zh-CN"/>
        </w:rPr>
        <w:t>年份：数据年代越贴近评价年度，数据质量越高。</w:t>
      </w:r>
    </w:p>
    <w:p>
      <w:pPr>
        <w:pStyle w:val="80"/>
        <w:numPr>
          <w:ilvl w:val="2"/>
          <w:numId w:val="0"/>
        </w:numPr>
        <w:bidi w:val="0"/>
        <w:ind w:leftChars="0"/>
        <w:jc w:val="center"/>
        <w:rPr>
          <w:rFonts w:hint="default"/>
          <w:lang w:val="en-US"/>
        </w:rPr>
      </w:pPr>
      <w:r>
        <w:rPr>
          <w:rFonts w:hint="eastAsia"/>
          <w:lang w:val="en-US" w:eastAsia="zh-CN"/>
        </w:rPr>
        <w:t>表B.1  数据质量评分表</w:t>
      </w:r>
    </w:p>
    <w:tbl>
      <w:tblPr>
        <w:tblStyle w:val="2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05"/>
        <w:gridCol w:w="1112"/>
        <w:gridCol w:w="2179"/>
        <w:gridCol w:w="1761"/>
        <w:gridCol w:w="142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指标</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1级</w:t>
            </w:r>
          </w:p>
          <w:p>
            <w:pPr>
              <w:widowControl/>
              <w:kinsoku w:val="0"/>
              <w:autoSpaceDE w:val="0"/>
              <w:autoSpaceDN w:val="0"/>
              <w:snapToGrid w:val="0"/>
              <w:spacing w:before="66" w:line="221" w:lineRule="auto"/>
              <w:jc w:val="center"/>
              <w:textAlignment w:val="baseline"/>
              <w:rPr>
                <w:rFonts w:hint="default" w:ascii="宋体" w:hAnsi="宋体" w:cs="宋体"/>
                <w:snapToGrid w:val="0"/>
                <w:color w:val="000000"/>
                <w:kern w:val="0"/>
                <w:sz w:val="18"/>
                <w:szCs w:val="18"/>
                <w:lang w:val="en-US"/>
              </w:rPr>
            </w:pPr>
            <w:r>
              <w:rPr>
                <w:rFonts w:hint="eastAsia" w:ascii="宋体" w:hAnsi="宋体" w:cs="宋体"/>
                <w:snapToGrid w:val="0"/>
                <w:color w:val="000000"/>
                <w:kern w:val="0"/>
                <w:sz w:val="18"/>
                <w:szCs w:val="18"/>
                <w:lang w:eastAsia="zh-CN"/>
              </w:rPr>
              <w:t>（</w:t>
            </w:r>
            <w:r>
              <w:rPr>
                <w:rFonts w:hint="eastAsia" w:ascii="宋体" w:hAnsi="宋体" w:cs="宋体"/>
                <w:snapToGrid w:val="0"/>
                <w:color w:val="000000"/>
                <w:kern w:val="0"/>
                <w:sz w:val="18"/>
                <w:szCs w:val="18"/>
              </w:rPr>
              <w:t>5分</w:t>
            </w:r>
            <w:r>
              <w:rPr>
                <w:rFonts w:hint="default" w:ascii="宋体" w:hAnsi="宋体" w:cs="宋体"/>
                <w:snapToGrid w:val="0"/>
                <w:color w:val="000000"/>
                <w:kern w:val="0"/>
                <w:sz w:val="18"/>
                <w:szCs w:val="18"/>
                <w:lang w:val="en-US"/>
              </w:rPr>
              <w:t>）</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2级</w:t>
            </w:r>
          </w:p>
          <w:p>
            <w:pPr>
              <w:widowControl/>
              <w:kinsoku w:val="0"/>
              <w:autoSpaceDE w:val="0"/>
              <w:autoSpaceDN w:val="0"/>
              <w:snapToGrid w:val="0"/>
              <w:spacing w:before="66" w:line="221" w:lineRule="auto"/>
              <w:jc w:val="center"/>
              <w:textAlignment w:val="baseline"/>
              <w:rPr>
                <w:rFonts w:hint="default" w:ascii="宋体" w:hAnsi="宋体" w:cs="宋体"/>
                <w:snapToGrid w:val="0"/>
                <w:color w:val="000000"/>
                <w:kern w:val="0"/>
                <w:sz w:val="18"/>
                <w:szCs w:val="18"/>
                <w:lang w:val="en-US"/>
              </w:rPr>
            </w:pPr>
            <w:r>
              <w:rPr>
                <w:rFonts w:hint="eastAsia" w:ascii="宋体" w:hAnsi="宋体" w:cs="宋体"/>
                <w:snapToGrid w:val="0"/>
                <w:color w:val="000000"/>
                <w:kern w:val="0"/>
                <w:sz w:val="18"/>
                <w:szCs w:val="18"/>
                <w:lang w:eastAsia="zh-CN"/>
              </w:rPr>
              <w:t>（</w:t>
            </w:r>
            <w:r>
              <w:rPr>
                <w:rFonts w:hint="eastAsia" w:ascii="宋体" w:hAnsi="宋体" w:cs="宋体"/>
                <w:snapToGrid w:val="0"/>
                <w:color w:val="000000"/>
                <w:kern w:val="0"/>
                <w:sz w:val="18"/>
                <w:szCs w:val="18"/>
              </w:rPr>
              <w:t>4分</w:t>
            </w:r>
            <w:r>
              <w:rPr>
                <w:rFonts w:hint="default" w:ascii="宋体" w:hAnsi="宋体" w:cs="宋体"/>
                <w:snapToGrid w:val="0"/>
                <w:color w:val="000000"/>
                <w:kern w:val="0"/>
                <w:sz w:val="18"/>
                <w:szCs w:val="18"/>
                <w:lang w:val="en-US"/>
              </w:rPr>
              <w:t>）</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3级</w:t>
            </w:r>
          </w:p>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（3分）</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4级</w:t>
            </w:r>
          </w:p>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（2分）</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5级</w:t>
            </w:r>
          </w:p>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地区性（U1）</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来自产品生产地的数据</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来自包含产品生产地本地的较大区域范围的平均数据</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来自生产条件和生产水平相似区域的数据</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中国平均数据</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其他国的数据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原料种类（U2）</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使用相同原料生产的数据</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使用相同主要原料生产的数据</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使用不同原料生产，但产品相同</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使用不同原料生产，但产品相似</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原料数据缺失，以相似产品的数据替代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能耗种类（U3）</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能耗种类及比例相同</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能耗种类相同，比例相似</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主要能耗种类相同</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能耗种类不同，但产品相同</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能耗数据缺失，以相似产品的数据代替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生产工艺和设备（U4）</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生产工艺和设备相同</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工艺相同，设备不同</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工艺相似</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工艺不同，但产品相同</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数据缺失时，以相似产品的数据替代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4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年份（U5）</w:t>
            </w:r>
          </w:p>
        </w:tc>
        <w:tc>
          <w:tcPr>
            <w:tcW w:w="594"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与时间无关或3年以内</w:t>
            </w:r>
          </w:p>
        </w:tc>
        <w:tc>
          <w:tcPr>
            <w:tcW w:w="1163"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6年以内</w:t>
            </w:r>
          </w:p>
        </w:tc>
        <w:tc>
          <w:tcPr>
            <w:tcW w:w="940"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10年以内</w:t>
            </w:r>
          </w:p>
        </w:tc>
        <w:tc>
          <w:tcPr>
            <w:tcW w:w="761"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15年以内</w:t>
            </w:r>
          </w:p>
        </w:tc>
        <w:tc>
          <w:tcPr>
            <w:tcW w:w="895" w:type="pct"/>
            <w:tcBorders>
              <w:tl2br w:val="nil"/>
              <w:tr2bl w:val="nil"/>
            </w:tcBorders>
            <w:vAlign w:val="center"/>
          </w:tcPr>
          <w:p>
            <w:pPr>
              <w:widowControl/>
              <w:kinsoku w:val="0"/>
              <w:autoSpaceDE w:val="0"/>
              <w:autoSpaceDN w:val="0"/>
              <w:snapToGrid w:val="0"/>
              <w:spacing w:before="66" w:line="221" w:lineRule="auto"/>
              <w:jc w:val="center"/>
              <w:textAlignment w:val="baseline"/>
              <w:rPr>
                <w:rFonts w:hint="eastAsia" w:ascii="宋体" w:hAnsi="宋体" w:cs="宋体"/>
                <w:snapToGrid w:val="0"/>
                <w:color w:val="000000"/>
                <w:kern w:val="0"/>
                <w:sz w:val="18"/>
                <w:szCs w:val="18"/>
              </w:rPr>
            </w:pPr>
            <w:r>
              <w:rPr>
                <w:rFonts w:hint="eastAsia" w:ascii="宋体" w:hAnsi="宋体" w:cs="宋体"/>
                <w:snapToGrid w:val="0"/>
                <w:color w:val="000000"/>
                <w:kern w:val="0"/>
                <w:sz w:val="18"/>
                <w:szCs w:val="18"/>
              </w:rPr>
              <w:t>数据年代未知或15年以上</w:t>
            </w:r>
          </w:p>
        </w:tc>
      </w:tr>
    </w:tbl>
    <w:p>
      <w:pPr>
        <w:pStyle w:val="79"/>
        <w:numPr>
          <w:ilvl w:val="1"/>
          <w:numId w:val="0"/>
        </w:numPr>
        <w:bidi w:val="0"/>
        <w:ind w:leftChars="0"/>
        <w:rPr>
          <w:rFonts w:ascii="黑体" w:hAnsi="黑体" w:eastAsia="黑体" w:cs="黑体"/>
          <w:sz w:val="20"/>
          <w:szCs w:val="20"/>
        </w:rPr>
      </w:pPr>
      <w:r>
        <w:rPr>
          <w:rFonts w:hint="eastAsia" w:hAnsi="宋体" w:cs="黑体"/>
          <w:color w:val="000000"/>
          <w:kern w:val="0"/>
          <w:sz w:val="20"/>
          <w:szCs w:val="20"/>
          <w:lang w:val="en-US" w:eastAsia="zh-CN" w:bidi="ar"/>
        </w:rPr>
        <w:t xml:space="preserve">B.2  </w:t>
      </w:r>
      <w:r>
        <w:rPr>
          <w:rFonts w:ascii="黑体" w:hAnsi="黑体" w:eastAsia="黑体" w:cs="黑体"/>
          <w:spacing w:val="7"/>
          <w:sz w:val="20"/>
          <w:szCs w:val="20"/>
        </w:rPr>
        <w:t>单元过程数据质量</w:t>
      </w:r>
    </w:p>
    <w:p>
      <w:pPr>
        <w:pStyle w:val="13"/>
        <w:spacing w:before="219" w:line="240" w:lineRule="auto"/>
        <w:ind w:left="546"/>
        <w:rPr>
          <w:rFonts w:hint="eastAsia" w:ascii="宋体" w:hAnsi="宋体" w:eastAsia="宋体" w:cs="宋体"/>
          <w:spacing w:val="8"/>
        </w:rPr>
      </w:pPr>
      <w:r>
        <w:rPr>
          <w:rFonts w:hint="eastAsia" w:ascii="宋体" w:hAnsi="宋体" w:eastAsia="宋体" w:cs="宋体"/>
          <w:spacing w:val="8"/>
        </w:rPr>
        <w:t>某个单元过程数据质量得分由公式（B.1）计算得到：</w:t>
      </w:r>
    </w:p>
    <w:p>
      <w:pPr>
        <w:pStyle w:val="235"/>
        <w:ind w:firstLine="0" w:firstLineChars="0"/>
        <w:jc w:val="right"/>
        <w:rPr>
          <w:rFonts w:hint="eastAsia" w:hAnsi="宋体" w:eastAsia="宋体"/>
          <w:highlight w:val="none"/>
          <w:lang w:eastAsia="zh-CN"/>
        </w:rPr>
      </w:pPr>
      <w:r>
        <w:rPr>
          <w:rFonts w:hint="eastAsia" w:hAnsi="Cambria Math"/>
          <w:i w:val="0"/>
          <w:highlight w:val="none"/>
          <w:lang w:val="en-US" w:eastAsia="zh-CN"/>
        </w:rPr>
        <w:tab/>
      </w:r>
      <m:oMath>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i</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rPr>
          <m:t>=</m:t>
        </m:r>
        <m:f>
          <m:fPr>
            <m:ctrlPr>
              <w:rPr>
                <w:rFonts w:hint="eastAsia" w:ascii="Cambria Math" w:hAnsi="Cambria Math" w:eastAsia="宋体" w:cs="宋体"/>
                <w:i/>
                <w:spacing w:val="1"/>
              </w:rPr>
            </m:ctrlPr>
          </m:fPr>
          <m:num>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1</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2</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3</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4</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5</m:t>
                </m:r>
                <m:ctrlPr>
                  <w:rPr>
                    <w:rFonts w:hint="eastAsia" w:ascii="Cambria Math" w:hAnsi="Cambria Math" w:eastAsia="宋体" w:cs="宋体"/>
                    <w:i/>
                    <w:spacing w:val="1"/>
                    <w:lang w:val="en-US" w:eastAsia="zh-CN"/>
                  </w:rPr>
                </m:ctrlPr>
              </m:sub>
            </m:sSub>
            <m:ctrlPr>
              <w:rPr>
                <w:rFonts w:hint="eastAsia" w:ascii="Cambria Math" w:hAnsi="Cambria Math" w:eastAsia="宋体" w:cs="宋体"/>
                <w:i/>
                <w:spacing w:val="1"/>
              </w:rPr>
            </m:ctrlPr>
          </m:num>
          <m:den>
            <m:r>
              <m:rPr/>
              <w:rPr>
                <w:rFonts w:hint="eastAsia" w:ascii="Cambria Math" w:hAnsi="Cambria Math" w:eastAsia="宋体" w:cs="宋体"/>
                <w:spacing w:val="1"/>
                <w:lang w:val="en-US" w:eastAsia="zh-CN"/>
              </w:rPr>
              <m:t>5</m:t>
            </m:r>
            <m:ctrlPr>
              <w:rPr>
                <w:rFonts w:hint="eastAsia" w:ascii="Cambria Math" w:hAnsi="Cambria Math" w:eastAsia="宋体" w:cs="宋体"/>
                <w:i/>
                <w:spacing w:val="1"/>
              </w:rPr>
            </m:ctrlPr>
          </m:den>
        </m:f>
      </m:oMath>
      <w:r>
        <w:rPr>
          <w:rFonts w:hint="eastAsia" w:hAnsi="Cambria Math"/>
          <w:i w:val="0"/>
          <w:highlight w:val="none"/>
          <w:lang w:val="en-US" w:eastAsia="zh-CN"/>
        </w:rPr>
        <w:tab/>
      </w:r>
      <w:r>
        <w:rPr>
          <w:rFonts w:hint="eastAsia" w:hAnsi="宋体"/>
          <w:highlight w:val="none"/>
          <w:lang w:eastAsia="zh-CN"/>
        </w:rPr>
        <w:t>（</w:t>
      </w:r>
      <w:r>
        <w:rPr>
          <w:rFonts w:hint="eastAsia" w:hAnsi="宋体"/>
          <w:highlight w:val="none"/>
          <w:lang w:val="en-US" w:eastAsia="zh-CN"/>
        </w:rPr>
        <w:t>B.1</w:t>
      </w:r>
      <w:r>
        <w:rPr>
          <w:rFonts w:hint="eastAsia" w:hAnsi="宋体"/>
          <w:highlight w:val="none"/>
          <w:lang w:eastAsia="zh-CN"/>
        </w:rPr>
        <w:t>）</w:t>
      </w:r>
    </w:p>
    <w:p>
      <w:pPr>
        <w:pStyle w:val="13"/>
        <w:spacing w:before="256" w:line="240" w:lineRule="auto"/>
        <w:ind w:left="550"/>
        <w:jc w:val="both"/>
        <w:rPr>
          <w:rFonts w:hint="eastAsia" w:ascii="宋体" w:hAnsi="宋体" w:eastAsia="宋体" w:cs="宋体"/>
          <w:spacing w:val="1"/>
        </w:rPr>
      </w:pPr>
      <w:r>
        <w:rPr>
          <w:rFonts w:hint="eastAsia" w:ascii="宋体" w:hAnsi="宋体" w:eastAsia="宋体" w:cs="宋体"/>
          <w:spacing w:val="1"/>
        </w:rPr>
        <w:t>式中：</w:t>
      </w:r>
    </w:p>
    <w:p>
      <w:pPr>
        <w:pStyle w:val="13"/>
        <w:spacing w:before="64" w:line="240" w:lineRule="auto"/>
        <w:ind w:left="552"/>
        <w:rPr>
          <w:rFonts w:hint="eastAsia" w:ascii="宋体" w:hAnsi="宋体" w:eastAsia="宋体" w:cs="宋体"/>
          <w:spacing w:val="7"/>
        </w:rPr>
      </w:pPr>
      <m:oMath>
        <m:r>
          <m:rPr/>
          <w:rPr>
            <w:rFonts w:hint="eastAsia" w:ascii="Cambria Math" w:hAnsi="Cambria Math" w:eastAsia="宋体" w:cs="宋体"/>
            <w:spacing w:val="7"/>
            <w:lang w:val="en-US" w:eastAsia="zh-CN"/>
          </w:rPr>
          <m:t>i</m:t>
        </m:r>
      </m:oMath>
      <w:r>
        <w:rPr>
          <w:rFonts w:hint="eastAsia" w:ascii="宋体" w:hAnsi="宋体" w:eastAsia="宋体" w:cs="宋体"/>
          <w:i/>
          <w:iCs/>
          <w:spacing w:val="7"/>
        </w:rPr>
        <w:t>——</w:t>
      </w:r>
      <w:r>
        <w:rPr>
          <w:rFonts w:hint="eastAsia" w:ascii="宋体" w:hAnsi="宋体" w:eastAsia="宋体" w:cs="宋体"/>
          <w:spacing w:val="7"/>
        </w:rPr>
        <w:t>单元过程编号；</w:t>
      </w:r>
    </w:p>
    <w:p>
      <w:pPr>
        <w:pStyle w:val="13"/>
        <w:spacing w:before="64" w:line="240" w:lineRule="auto"/>
        <w:ind w:left="552"/>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i</m:t>
            </m:r>
            <m:ctrlPr>
              <w:rPr>
                <w:rFonts w:hint="eastAsia" w:ascii="Cambria Math" w:hAnsi="Cambria Math" w:eastAsia="宋体" w:cs="宋体"/>
                <w:i/>
                <w:spacing w:val="7"/>
                <w:lang w:val="en-US" w:eastAsia="zh-CN"/>
              </w:rPr>
            </m:ctrlPr>
          </m:sub>
        </m:sSub>
      </m:oMath>
      <w:r>
        <w:rPr>
          <w:rFonts w:hint="eastAsia" w:ascii="宋体" w:hAnsi="宋体" w:eastAsia="宋体" w:cs="宋体"/>
          <w:spacing w:val="10"/>
        </w:rPr>
        <w:t>—单元过程数据质量得分；</w:t>
      </w:r>
    </w:p>
    <w:p>
      <w:pPr>
        <w:pStyle w:val="13"/>
        <w:spacing w:line="240" w:lineRule="auto"/>
        <w:ind w:left="554"/>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1</m:t>
            </m:r>
            <m:ctrlPr>
              <w:rPr>
                <w:rFonts w:hint="eastAsia" w:ascii="Cambria Math" w:hAnsi="Cambria Math" w:eastAsia="宋体" w:cs="宋体"/>
                <w:i/>
                <w:spacing w:val="7"/>
                <w:lang w:val="en-US" w:eastAsia="zh-CN"/>
              </w:rPr>
            </m:ctrlPr>
          </m:sub>
        </m:sSub>
      </m:oMath>
      <w:r>
        <w:rPr>
          <w:rFonts w:hint="eastAsia" w:ascii="宋体" w:hAnsi="宋体" w:eastAsia="宋体" w:cs="宋体"/>
          <w:spacing w:val="8"/>
        </w:rPr>
        <w:t>——地区性方面对应得分；</w:t>
      </w:r>
    </w:p>
    <w:p>
      <w:pPr>
        <w:pStyle w:val="13"/>
        <w:spacing w:before="16" w:line="240" w:lineRule="auto"/>
        <w:ind w:left="554"/>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2</m:t>
            </m:r>
            <m:ctrlPr>
              <w:rPr>
                <w:rFonts w:hint="eastAsia" w:ascii="Cambria Math" w:hAnsi="Cambria Math" w:eastAsia="宋体" w:cs="宋体"/>
                <w:i/>
                <w:spacing w:val="7"/>
                <w:lang w:val="en-US" w:eastAsia="zh-CN"/>
              </w:rPr>
            </m:ctrlPr>
          </m:sub>
        </m:sSub>
      </m:oMath>
      <w:r>
        <w:rPr>
          <w:rFonts w:hint="eastAsia" w:ascii="宋体" w:hAnsi="宋体" w:eastAsia="宋体" w:cs="宋体"/>
          <w:spacing w:val="7"/>
        </w:rPr>
        <w:t>——原料种类方面对应得分；</w:t>
      </w:r>
    </w:p>
    <w:p>
      <w:pPr>
        <w:pStyle w:val="13"/>
        <w:spacing w:line="240" w:lineRule="auto"/>
        <w:ind w:left="554"/>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3</m:t>
            </m:r>
            <m:ctrlPr>
              <w:rPr>
                <w:rFonts w:hint="eastAsia" w:ascii="Cambria Math" w:hAnsi="Cambria Math" w:eastAsia="宋体" w:cs="宋体"/>
                <w:i/>
                <w:spacing w:val="7"/>
                <w:lang w:val="en-US" w:eastAsia="zh-CN"/>
              </w:rPr>
            </m:ctrlPr>
          </m:sub>
        </m:sSub>
      </m:oMath>
      <w:r>
        <w:rPr>
          <w:rFonts w:hint="eastAsia" w:ascii="宋体" w:hAnsi="宋体" w:eastAsia="宋体" w:cs="宋体"/>
          <w:spacing w:val="7"/>
        </w:rPr>
        <w:t>——能耗种类方面对应得分；</w:t>
      </w:r>
    </w:p>
    <w:p>
      <w:pPr>
        <w:pStyle w:val="13"/>
        <w:spacing w:before="16" w:line="240" w:lineRule="auto"/>
        <w:ind w:left="554"/>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4</m:t>
            </m:r>
            <m:ctrlPr>
              <w:rPr>
                <w:rFonts w:hint="eastAsia" w:ascii="Cambria Math" w:hAnsi="Cambria Math" w:eastAsia="宋体" w:cs="宋体"/>
                <w:i/>
                <w:spacing w:val="7"/>
                <w:lang w:val="en-US" w:eastAsia="zh-CN"/>
              </w:rPr>
            </m:ctrlPr>
          </m:sub>
        </m:sSub>
      </m:oMath>
      <w:r>
        <w:rPr>
          <w:rFonts w:hint="eastAsia" w:ascii="宋体" w:hAnsi="宋体" w:eastAsia="宋体" w:cs="宋体"/>
          <w:spacing w:val="8"/>
        </w:rPr>
        <w:t>——生产工艺和设备方面对应得分；</w:t>
      </w:r>
    </w:p>
    <w:p>
      <w:pPr>
        <w:pStyle w:val="13"/>
        <w:spacing w:before="1" w:line="240" w:lineRule="auto"/>
        <w:ind w:left="554"/>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U</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5</m:t>
            </m:r>
            <m:ctrlPr>
              <w:rPr>
                <w:rFonts w:hint="eastAsia" w:ascii="Cambria Math" w:hAnsi="Cambria Math" w:eastAsia="宋体" w:cs="宋体"/>
                <w:i/>
                <w:spacing w:val="7"/>
                <w:lang w:val="en-US" w:eastAsia="zh-CN"/>
              </w:rPr>
            </m:ctrlPr>
          </m:sub>
        </m:sSub>
      </m:oMath>
      <w:r>
        <w:rPr>
          <w:rFonts w:hint="eastAsia" w:ascii="宋体" w:hAnsi="宋体" w:eastAsia="宋体" w:cs="宋体"/>
          <w:spacing w:val="8"/>
        </w:rPr>
        <w:t>——年份方面对应得分。</w:t>
      </w:r>
    </w:p>
    <w:p>
      <w:pPr>
        <w:pStyle w:val="79"/>
        <w:numPr>
          <w:ilvl w:val="1"/>
          <w:numId w:val="0"/>
        </w:numPr>
        <w:bidi w:val="0"/>
        <w:ind w:leftChars="0"/>
        <w:rPr>
          <w:rFonts w:ascii="黑体" w:hAnsi="黑体" w:eastAsia="黑体" w:cs="黑体"/>
          <w:sz w:val="20"/>
          <w:szCs w:val="20"/>
        </w:rPr>
      </w:pPr>
      <w:r>
        <w:rPr>
          <w:rFonts w:hint="eastAsia" w:hAnsi="宋体" w:cs="黑体"/>
          <w:color w:val="000000"/>
          <w:kern w:val="0"/>
          <w:sz w:val="20"/>
          <w:szCs w:val="20"/>
          <w:lang w:val="en-US" w:eastAsia="zh-CN" w:bidi="ar"/>
        </w:rPr>
        <w:t xml:space="preserve">B.3  </w:t>
      </w:r>
      <w:r>
        <w:rPr>
          <w:rFonts w:ascii="黑体" w:hAnsi="黑体" w:eastAsia="黑体" w:cs="黑体"/>
          <w:spacing w:val="8"/>
          <w:sz w:val="20"/>
          <w:szCs w:val="20"/>
        </w:rPr>
        <w:t>生命周期阶段碳足迹数据质量</w:t>
      </w:r>
    </w:p>
    <w:p>
      <w:pPr>
        <w:pStyle w:val="13"/>
        <w:spacing w:before="220" w:line="228" w:lineRule="auto"/>
        <w:ind w:left="546"/>
        <w:rPr>
          <w:rFonts w:hint="eastAsia" w:ascii="宋体" w:hAnsi="宋体" w:eastAsia="宋体" w:cs="宋体"/>
        </w:rPr>
      </w:pPr>
      <w:r>
        <w:rPr>
          <w:rFonts w:hint="eastAsia" w:ascii="宋体" w:hAnsi="宋体" w:eastAsia="宋体" w:cs="宋体"/>
          <w:spacing w:val="9"/>
        </w:rPr>
        <w:t>某个生命周期阶段碳足迹的数据质量得分由公式（B.2）</w:t>
      </w:r>
      <w:r>
        <w:rPr>
          <w:rFonts w:hint="eastAsia" w:ascii="宋体" w:hAnsi="宋体" w:eastAsia="宋体" w:cs="宋体"/>
          <w:spacing w:val="8"/>
        </w:rPr>
        <w:t>计算得到：</w:t>
      </w:r>
    </w:p>
    <w:p>
      <w:pPr>
        <w:pStyle w:val="235"/>
        <w:ind w:firstLine="0" w:firstLineChars="0"/>
        <w:jc w:val="right"/>
        <w:rPr>
          <w:rFonts w:hint="eastAsia" w:hAnsi="宋体" w:eastAsia="宋体"/>
          <w:highlight w:val="none"/>
          <w:lang w:eastAsia="zh-CN"/>
        </w:rPr>
      </w:pPr>
      <w:r>
        <w:rPr>
          <w:rFonts w:hint="eastAsia" w:hAnsi="Cambria Math"/>
          <w:i w:val="0"/>
          <w:highlight w:val="none"/>
          <w:lang w:val="en-US" w:eastAsia="zh-CN"/>
        </w:rPr>
        <w:tab/>
      </w:r>
      <m:oMath>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stage.i</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rPr>
          <m:t>=</m:t>
        </m:r>
        <m:f>
          <m:fPr>
            <m:ctrlPr>
              <w:rPr>
                <w:rFonts w:hint="eastAsia" w:ascii="Cambria Math" w:hAnsi="Cambria Math" w:eastAsia="宋体" w:cs="宋体"/>
                <w:i/>
                <w:spacing w:val="1"/>
              </w:rPr>
            </m:ctrlPr>
          </m:fPr>
          <m:num>
            <m:nary>
              <m:naryPr>
                <m:chr m:val="∑"/>
                <m:limLoc m:val="subSup"/>
                <m:supHide m:val="true"/>
                <m:ctrlPr>
                  <w:rPr>
                    <w:rFonts w:hint="eastAsia" w:ascii="Cambria Math" w:hAnsi="Cambria Math" w:eastAsia="宋体" w:cs="宋体"/>
                    <w:i/>
                    <w:spacing w:val="1"/>
                  </w:rPr>
                </m:ctrlPr>
              </m:naryPr>
              <m:sub>
                <m:r>
                  <m:rPr/>
                  <w:rPr>
                    <w:rFonts w:hint="eastAsia" w:ascii="Cambria Math" w:hAnsi="Cambria Math" w:eastAsia="宋体" w:cs="宋体"/>
                    <w:spacing w:val="1"/>
                    <w:lang w:val="en-US" w:eastAsia="zh-CN"/>
                  </w:rPr>
                  <m:t>n</m:t>
                </m:r>
                <m:ctrlPr>
                  <w:rPr>
                    <w:rFonts w:hint="eastAsia" w:ascii="Cambria Math" w:hAnsi="Cambria Math" w:eastAsia="宋体" w:cs="宋体"/>
                    <w:i/>
                    <w:spacing w:val="1"/>
                  </w:rPr>
                </m:ctrlPr>
              </m:sub>
              <m:sup>
                <m:ctrlPr>
                  <w:rPr>
                    <w:rFonts w:hint="eastAsia" w:ascii="Cambria Math" w:hAnsi="Cambria Math" w:eastAsia="宋体" w:cs="宋体"/>
                    <w:i/>
                    <w:spacing w:val="1"/>
                  </w:rPr>
                </m:ctrlPr>
              </m:sup>
              <m:e>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i</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rPr>
                  <m:t>×</m:t>
                </m:r>
                <m:sSub>
                  <m:sSubPr>
                    <m:ctrlPr>
                      <w:rPr>
                        <w:rFonts w:hint="eastAsia" w:ascii="Cambria Math" w:hAnsi="Cambria Math" w:eastAsia="宋体" w:cs="宋体"/>
                        <w:i/>
                        <w:spacing w:val="1"/>
                        <w:lang w:val="en-US"/>
                      </w:rPr>
                    </m:ctrlPr>
                  </m:sSubPr>
                  <m:e>
                    <m:r>
                      <m:rPr/>
                      <w:rPr>
                        <w:rFonts w:hint="eastAsia" w:ascii="Cambria Math" w:hAnsi="Cambria Math" w:eastAsia="宋体" w:cs="宋体"/>
                        <w:spacing w:val="1"/>
                        <w:lang w:val="en-US" w:eastAsia="zh-CN"/>
                      </w:rPr>
                      <m:t>C</m:t>
                    </m:r>
                    <m:ctrlPr>
                      <w:rPr>
                        <w:rFonts w:hint="eastAsia" w:ascii="Cambria Math" w:hAnsi="Cambria Math" w:eastAsia="宋体" w:cs="宋体"/>
                        <w:i/>
                        <w:spacing w:val="1"/>
                        <w:lang w:val="en-US"/>
                      </w:rPr>
                    </m:ctrlPr>
                  </m:e>
                  <m:sub>
                    <m:r>
                      <m:rPr/>
                      <w:rPr>
                        <w:rFonts w:hint="eastAsia" w:ascii="Cambria Math" w:hAnsi="Cambria Math" w:eastAsia="宋体" w:cs="宋体"/>
                        <w:spacing w:val="1"/>
                        <w:lang w:val="en-US" w:eastAsia="zh-CN"/>
                      </w:rPr>
                      <m:t>i</m:t>
                    </m:r>
                    <m:ctrlPr>
                      <w:rPr>
                        <w:rFonts w:hint="eastAsia" w:ascii="Cambria Math" w:hAnsi="Cambria Math" w:eastAsia="宋体" w:cs="宋体"/>
                        <w:i/>
                        <w:spacing w:val="1"/>
                        <w:lang w:val="en-US"/>
                      </w:rPr>
                    </m:ctrlPr>
                  </m:sub>
                </m:sSub>
                <m:r>
                  <m:rPr/>
                  <w:rPr>
                    <w:rFonts w:hint="eastAsia" w:ascii="Cambria Math" w:hAnsi="Cambria Math" w:eastAsia="宋体" w:cs="宋体"/>
                    <w:spacing w:val="1"/>
                    <w:lang w:val="en-US" w:eastAsia="zh-CN"/>
                  </w:rPr>
                  <m:t>)</m:t>
                </m:r>
                <m:ctrlPr>
                  <w:rPr>
                    <w:rFonts w:hint="eastAsia" w:ascii="Cambria Math" w:hAnsi="Cambria Math" w:eastAsia="宋体" w:cs="宋体"/>
                    <w:i/>
                    <w:spacing w:val="1"/>
                  </w:rPr>
                </m:ctrlPr>
              </m:e>
            </m:nary>
            <m:ctrlPr>
              <w:rPr>
                <w:rFonts w:hint="eastAsia" w:ascii="Cambria Math" w:hAnsi="Cambria Math" w:eastAsia="宋体" w:cs="宋体"/>
                <w:i/>
                <w:spacing w:val="1"/>
              </w:rPr>
            </m:ctrlPr>
          </m:num>
          <m:den>
            <m:nary>
              <m:naryPr>
                <m:chr m:val="∑"/>
                <m:limLoc m:val="subSup"/>
                <m:supHide m:val="true"/>
                <m:ctrlPr>
                  <w:rPr>
                    <w:rFonts w:hint="eastAsia" w:ascii="Cambria Math" w:hAnsi="Cambria Math" w:eastAsia="宋体" w:cs="宋体"/>
                    <w:i/>
                    <w:spacing w:val="1"/>
                  </w:rPr>
                </m:ctrlPr>
              </m:naryPr>
              <m:sub>
                <m:r>
                  <m:rPr/>
                  <w:rPr>
                    <w:rFonts w:hint="eastAsia" w:ascii="Cambria Math" w:hAnsi="Cambria Math" w:eastAsia="宋体" w:cs="宋体"/>
                    <w:spacing w:val="1"/>
                    <w:lang w:val="en-US" w:eastAsia="zh-CN"/>
                  </w:rPr>
                  <m:t>n</m:t>
                </m:r>
                <m:ctrlPr>
                  <w:rPr>
                    <w:rFonts w:hint="eastAsia" w:ascii="Cambria Math" w:hAnsi="Cambria Math" w:eastAsia="宋体" w:cs="宋体"/>
                    <w:i/>
                    <w:spacing w:val="1"/>
                  </w:rPr>
                </m:ctrlPr>
              </m:sub>
              <m:sup>
                <m:ctrlPr>
                  <w:rPr>
                    <w:rFonts w:hint="eastAsia" w:ascii="Cambria Math" w:hAnsi="Cambria Math" w:eastAsia="宋体" w:cs="宋体"/>
                    <w:i/>
                    <w:spacing w:val="1"/>
                  </w:rPr>
                </m:ctrlPr>
              </m:sup>
              <m:e>
                <m:sSub>
                  <m:sSubPr>
                    <m:ctrlPr>
                      <w:rPr>
                        <w:rFonts w:hint="eastAsia" w:ascii="Cambria Math" w:hAnsi="Cambria Math" w:eastAsia="宋体" w:cs="宋体"/>
                        <w:i/>
                        <w:spacing w:val="1"/>
                        <w:lang w:val="en-US"/>
                      </w:rPr>
                    </m:ctrlPr>
                  </m:sSubPr>
                  <m:e>
                    <m:r>
                      <m:rPr/>
                      <w:rPr>
                        <w:rFonts w:hint="eastAsia" w:ascii="Cambria Math" w:hAnsi="Cambria Math" w:eastAsia="宋体" w:cs="宋体"/>
                        <w:spacing w:val="1"/>
                        <w:lang w:val="en-US" w:eastAsia="zh-CN"/>
                      </w:rPr>
                      <m:t>C</m:t>
                    </m:r>
                    <m:ctrlPr>
                      <w:rPr>
                        <w:rFonts w:hint="eastAsia" w:ascii="Cambria Math" w:hAnsi="Cambria Math" w:eastAsia="宋体" w:cs="宋体"/>
                        <w:i/>
                        <w:spacing w:val="1"/>
                        <w:lang w:val="en-US"/>
                      </w:rPr>
                    </m:ctrlPr>
                  </m:e>
                  <m:sub>
                    <m:r>
                      <m:rPr/>
                      <w:rPr>
                        <w:rFonts w:hint="eastAsia" w:ascii="Cambria Math" w:hAnsi="Cambria Math" w:eastAsia="宋体" w:cs="宋体"/>
                        <w:spacing w:val="1"/>
                        <w:lang w:val="en-US" w:eastAsia="zh-CN"/>
                      </w:rPr>
                      <m:t>i</m:t>
                    </m:r>
                    <m:ctrlPr>
                      <w:rPr>
                        <w:rFonts w:hint="eastAsia" w:ascii="Cambria Math" w:hAnsi="Cambria Math" w:eastAsia="宋体" w:cs="宋体"/>
                        <w:i/>
                        <w:spacing w:val="1"/>
                        <w:lang w:val="en-US"/>
                      </w:rPr>
                    </m:ctrlPr>
                  </m:sub>
                </m:sSub>
                <m:ctrlPr>
                  <w:rPr>
                    <w:rFonts w:hint="eastAsia" w:ascii="Cambria Math" w:hAnsi="Cambria Math" w:eastAsia="宋体" w:cs="宋体"/>
                    <w:i/>
                    <w:spacing w:val="1"/>
                  </w:rPr>
                </m:ctrlPr>
              </m:e>
            </m:nary>
            <m:ctrlPr>
              <w:rPr>
                <w:rFonts w:hint="eastAsia" w:ascii="Cambria Math" w:hAnsi="Cambria Math" w:eastAsia="宋体" w:cs="宋体"/>
                <w:i/>
                <w:spacing w:val="1"/>
              </w:rPr>
            </m:ctrlPr>
          </m:den>
        </m:f>
      </m:oMath>
      <w:r>
        <w:rPr>
          <w:rFonts w:hint="eastAsia" w:hAnsi="Cambria Math"/>
          <w:i w:val="0"/>
          <w:highlight w:val="none"/>
          <w:lang w:val="en-US" w:eastAsia="zh-CN"/>
        </w:rPr>
        <w:tab/>
      </w:r>
      <w:r>
        <w:rPr>
          <w:rFonts w:hint="eastAsia" w:hAnsi="宋体"/>
          <w:highlight w:val="none"/>
          <w:lang w:eastAsia="zh-CN"/>
        </w:rPr>
        <w:t>（</w:t>
      </w:r>
      <w:r>
        <w:rPr>
          <w:rFonts w:hint="eastAsia" w:hAnsi="宋体"/>
          <w:highlight w:val="none"/>
          <w:lang w:val="en-US" w:eastAsia="zh-CN"/>
        </w:rPr>
        <w:t>B.2</w:t>
      </w:r>
      <w:r>
        <w:rPr>
          <w:rFonts w:hint="eastAsia" w:hAnsi="宋体"/>
          <w:highlight w:val="none"/>
          <w:lang w:eastAsia="zh-CN"/>
        </w:rPr>
        <w:t>）</w:t>
      </w:r>
    </w:p>
    <w:p>
      <w:pPr>
        <w:pStyle w:val="13"/>
        <w:spacing w:before="233" w:line="229" w:lineRule="auto"/>
        <w:ind w:left="550"/>
        <w:rPr>
          <w:rFonts w:hint="eastAsia" w:ascii="宋体" w:hAnsi="宋体" w:eastAsia="宋体" w:cs="宋体"/>
          <w:spacing w:val="1"/>
        </w:rPr>
      </w:pPr>
      <w:r>
        <w:rPr>
          <w:rFonts w:hint="eastAsia" w:ascii="宋体" w:hAnsi="宋体" w:eastAsia="宋体" w:cs="宋体"/>
          <w:spacing w:val="1"/>
        </w:rPr>
        <w:t>式中：</w:t>
      </w:r>
    </w:p>
    <w:p>
      <w:pPr>
        <w:pStyle w:val="13"/>
        <w:spacing w:before="63" w:line="219" w:lineRule="auto"/>
        <w:ind w:left="543"/>
        <w:rPr>
          <w:rFonts w:hint="eastAsia" w:ascii="宋体" w:hAnsi="宋体" w:eastAsia="宋体" w:cs="宋体"/>
          <w:b w:val="0"/>
          <w:bCs w:val="0"/>
        </w:rPr>
      </w:pPr>
      <m:oMath>
        <m:r>
          <m:rPr/>
          <w:rPr>
            <w:rFonts w:hint="default" w:ascii="Cambria Math" w:hAnsi="Cambria Math" w:eastAsia="宋体" w:cs="宋体"/>
            <w:spacing w:val="7"/>
            <w:lang w:val="en-US" w:eastAsia="zh-CN"/>
          </w:rPr>
          <m:t>stage</m:t>
        </m:r>
        <m:r>
          <m:rPr/>
          <w:rPr>
            <w:rFonts w:hint="eastAsia" w:ascii="Cambria Math" w:hAnsi="Cambria Math" w:eastAsia="宋体" w:cs="宋体"/>
            <w:spacing w:val="12"/>
          </w:rPr>
          <m:t>.</m:t>
        </m:r>
        <m:r>
          <m:rPr/>
          <w:rPr>
            <w:rFonts w:hint="default" w:ascii="Cambria Math" w:hAnsi="Cambria Math" w:eastAsia="宋体" w:cs="宋体"/>
            <w:spacing w:val="7"/>
            <w:lang w:val="en-US" w:eastAsia="zh-CN"/>
          </w:rPr>
          <m:t>i</m:t>
        </m:r>
      </m:oMath>
      <w:r>
        <w:rPr>
          <w:rFonts w:hint="eastAsia" w:ascii="宋体" w:hAnsi="宋体" w:eastAsia="宋体" w:cs="宋体"/>
          <w:b w:val="0"/>
          <w:bCs w:val="0"/>
          <w:i/>
          <w:iCs/>
          <w:spacing w:val="12"/>
        </w:rPr>
        <w:t>——</w:t>
      </w:r>
      <w:r>
        <w:rPr>
          <w:rFonts w:hint="eastAsia" w:ascii="宋体" w:hAnsi="宋体" w:eastAsia="宋体" w:cs="宋体"/>
          <w:b w:val="0"/>
          <w:bCs w:val="0"/>
          <w:spacing w:val="12"/>
        </w:rPr>
        <w:t>生命周期阶段编号；</w:t>
      </w:r>
    </w:p>
    <w:p>
      <w:pPr>
        <w:pStyle w:val="13"/>
        <w:spacing w:before="30" w:line="312" w:lineRule="exact"/>
        <w:ind w:left="540"/>
        <w:rPr>
          <w:rFonts w:hint="eastAsia" w:ascii="宋体" w:hAnsi="宋体" w:eastAsia="宋体" w:cs="宋体"/>
          <w:b w:val="0"/>
          <w:bCs w:val="0"/>
          <w:i/>
          <w:iCs/>
          <w:spacing w:val="12"/>
        </w:rPr>
      </w:pPr>
      <m:oMath>
        <m:r>
          <m:rPr/>
          <w:rPr>
            <w:rFonts w:hint="default" w:ascii="Cambria Math" w:hAnsi="Cambria Math" w:eastAsia="宋体" w:cs="宋体"/>
            <w:spacing w:val="7"/>
            <w:lang w:val="en-US" w:eastAsia="zh-CN"/>
          </w:rPr>
          <m:t>n</m:t>
        </m:r>
      </m:oMath>
      <w:r>
        <w:rPr>
          <w:rFonts w:hint="eastAsia" w:ascii="宋体" w:hAnsi="宋体" w:eastAsia="宋体" w:cs="宋体"/>
          <w:b w:val="0"/>
          <w:bCs w:val="0"/>
          <w:i/>
          <w:iCs/>
          <w:spacing w:val="12"/>
        </w:rPr>
        <w:t>——</w:t>
      </w:r>
      <m:oMath>
        <m:r>
          <m:rPr/>
          <w:rPr>
            <w:rFonts w:hint="default" w:ascii="Cambria Math" w:hAnsi="Cambria Math" w:eastAsia="宋体" w:cs="宋体"/>
            <w:spacing w:val="7"/>
            <w:lang w:val="en-US" w:eastAsia="zh-CN"/>
          </w:rPr>
          <m:t>stage</m:t>
        </m:r>
        <m:r>
          <m:rPr/>
          <w:rPr>
            <w:rFonts w:hint="eastAsia" w:ascii="Cambria Math" w:hAnsi="Cambria Math" w:eastAsia="宋体" w:cs="宋体"/>
            <w:spacing w:val="12"/>
          </w:rPr>
          <m:t>.</m:t>
        </m:r>
        <m:r>
          <m:rPr/>
          <w:rPr>
            <w:rFonts w:hint="default" w:ascii="Cambria Math" w:hAnsi="Cambria Math" w:eastAsia="宋体" w:cs="宋体"/>
            <w:spacing w:val="7"/>
            <w:lang w:val="en-US" w:eastAsia="zh-CN"/>
          </w:rPr>
          <m:t>i</m:t>
        </m:r>
      </m:oMath>
      <w:r>
        <w:rPr>
          <w:rFonts w:hint="eastAsia" w:ascii="宋体" w:hAnsi="宋体" w:eastAsia="宋体" w:cs="宋体"/>
          <w:b w:val="0"/>
          <w:bCs w:val="0"/>
          <w:spacing w:val="12"/>
        </w:rPr>
        <w:t>所包含的所有单元过程数量；</w:t>
      </w:r>
    </w:p>
    <w:p>
      <w:pPr>
        <w:pStyle w:val="13"/>
        <w:spacing w:line="230" w:lineRule="auto"/>
        <w:ind w:left="551"/>
        <w:rPr>
          <w:rFonts w:hint="eastAsia" w:ascii="宋体" w:hAnsi="宋体" w:eastAsia="宋体" w:cs="宋体"/>
        </w:rPr>
      </w:pPr>
      <m:oMath>
        <m:sSub>
          <m:sSubPr>
            <m:ctrlPr>
              <w:rPr>
                <w:rFonts w:hint="eastAsia" w:ascii="Cambria Math" w:hAnsi="Cambria Math" w:eastAsia="宋体" w:cs="宋体"/>
                <w:b w:val="0"/>
                <w:bCs w:val="0"/>
                <w:i/>
                <w:spacing w:val="7"/>
                <w:lang w:val="en-US" w:eastAsia="zh-CN"/>
              </w:rPr>
            </m:ctrlPr>
          </m:sSubPr>
          <m:e>
            <m:r>
              <m:rPr/>
              <w:rPr>
                <w:rFonts w:hint="default" w:ascii="Cambria Math" w:hAnsi="Cambria Math" w:eastAsia="宋体" w:cs="宋体"/>
                <w:spacing w:val="7"/>
                <w:lang w:val="en-US" w:eastAsia="zh-CN"/>
              </w:rPr>
              <m:t>C</m:t>
            </m:r>
            <m:ctrlPr>
              <w:rPr>
                <w:rFonts w:hint="eastAsia" w:ascii="Cambria Math" w:hAnsi="Cambria Math" w:eastAsia="宋体" w:cs="宋体"/>
                <w:b w:val="0"/>
                <w:bCs w:val="0"/>
                <w:i/>
                <w:spacing w:val="7"/>
                <w:lang w:val="en-US" w:eastAsia="zh-CN"/>
              </w:rPr>
            </m:ctrlPr>
          </m:e>
          <m:sub>
            <m:r>
              <m:rPr/>
              <w:rPr>
                <w:rFonts w:hint="default" w:ascii="Cambria Math" w:hAnsi="Cambria Math" w:eastAsia="宋体" w:cs="宋体"/>
                <w:spacing w:val="7"/>
                <w:lang w:val="en-US" w:eastAsia="zh-CN"/>
              </w:rPr>
              <m:t>i</m:t>
            </m:r>
            <m:ctrlPr>
              <w:rPr>
                <w:rFonts w:hint="eastAsia" w:ascii="Cambria Math" w:hAnsi="Cambria Math" w:eastAsia="宋体" w:cs="宋体"/>
                <w:b w:val="0"/>
                <w:bCs w:val="0"/>
                <w:i/>
                <w:spacing w:val="7"/>
                <w:lang w:val="en-US" w:eastAsia="zh-CN"/>
              </w:rPr>
            </m:ctrlPr>
          </m:sub>
        </m:sSub>
      </m:oMath>
      <w:r>
        <w:rPr>
          <w:rFonts w:hint="eastAsia" w:ascii="宋体" w:hAnsi="宋体" w:eastAsia="宋体" w:cs="宋体"/>
          <w:b w:val="0"/>
          <w:bCs w:val="0"/>
          <w:spacing w:val="12"/>
        </w:rPr>
        <w:t>——单元过程碳排放量。</w:t>
      </w:r>
    </w:p>
    <w:p>
      <w:pPr>
        <w:pStyle w:val="79"/>
        <w:numPr>
          <w:ilvl w:val="1"/>
          <w:numId w:val="0"/>
        </w:numPr>
        <w:bidi w:val="0"/>
        <w:ind w:leftChars="0"/>
        <w:rPr>
          <w:rFonts w:ascii="黑体" w:hAnsi="黑体" w:eastAsia="黑体" w:cs="黑体"/>
          <w:sz w:val="20"/>
          <w:szCs w:val="20"/>
        </w:rPr>
      </w:pPr>
      <w:r>
        <w:rPr>
          <w:rFonts w:hint="eastAsia" w:hAnsi="宋体" w:cs="黑体"/>
          <w:color w:val="000000"/>
          <w:kern w:val="0"/>
          <w:sz w:val="20"/>
          <w:szCs w:val="20"/>
          <w:lang w:val="en-US" w:eastAsia="zh-CN" w:bidi="ar"/>
        </w:rPr>
        <w:t xml:space="preserve">B.4  </w:t>
      </w:r>
      <w:r>
        <w:rPr>
          <w:rFonts w:ascii="黑体" w:hAnsi="黑体" w:eastAsia="黑体" w:cs="黑体"/>
          <w:spacing w:val="7"/>
          <w:sz w:val="20"/>
          <w:szCs w:val="20"/>
        </w:rPr>
        <w:t>产品碳足迹数据质量</w:t>
      </w:r>
    </w:p>
    <w:p>
      <w:pPr>
        <w:pStyle w:val="13"/>
        <w:spacing w:before="220" w:line="228" w:lineRule="auto"/>
        <w:ind w:left="546"/>
        <w:rPr>
          <w:rFonts w:hint="eastAsia" w:ascii="宋体" w:hAnsi="宋体" w:eastAsia="宋体" w:cs="宋体"/>
        </w:rPr>
      </w:pPr>
      <w:r>
        <w:rPr>
          <w:rFonts w:hint="eastAsia" w:ascii="宋体" w:hAnsi="宋体" w:eastAsia="宋体" w:cs="宋体"/>
          <w:spacing w:val="9"/>
        </w:rPr>
        <w:t>根据目标和范围定义的产品碳足迹的数据质量得分由公式（B.3）计算得到：</w:t>
      </w:r>
    </w:p>
    <w:p>
      <w:pPr>
        <w:pStyle w:val="235"/>
        <w:ind w:firstLine="0" w:firstLineChars="0"/>
        <w:jc w:val="right"/>
        <w:rPr>
          <w:rFonts w:hint="eastAsia" w:hAnsi="宋体" w:eastAsia="宋体"/>
          <w:highlight w:val="none"/>
          <w:lang w:eastAsia="zh-CN"/>
        </w:rPr>
      </w:pPr>
      <w:r>
        <w:rPr>
          <w:rFonts w:hint="eastAsia" w:hAnsi="Cambria Math"/>
          <w:i w:val="0"/>
          <w:highlight w:val="none"/>
          <w:lang w:val="en-US" w:eastAsia="zh-CN"/>
        </w:rPr>
        <w:tab/>
      </w:r>
      <m:oMath>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cfp</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rPr>
          <m:t>=</m:t>
        </m:r>
        <m:f>
          <m:fPr>
            <m:ctrlPr>
              <w:rPr>
                <w:rFonts w:hint="eastAsia" w:ascii="Cambria Math" w:hAnsi="Cambria Math" w:eastAsia="宋体" w:cs="宋体"/>
                <w:i/>
                <w:spacing w:val="1"/>
              </w:rPr>
            </m:ctrlPr>
          </m:fPr>
          <m:num>
            <m:nary>
              <m:naryPr>
                <m:chr m:val="∑"/>
                <m:limLoc m:val="subSup"/>
                <m:supHide m:val="true"/>
                <m:ctrlPr>
                  <w:rPr>
                    <w:rFonts w:hint="eastAsia" w:ascii="Cambria Math" w:hAnsi="Cambria Math" w:eastAsia="宋体" w:cs="宋体"/>
                    <w:i/>
                    <w:spacing w:val="1"/>
                  </w:rPr>
                </m:ctrlPr>
              </m:naryPr>
              <m:sub>
                <m:r>
                  <m:rPr/>
                  <w:rPr>
                    <w:rFonts w:hint="eastAsia" w:ascii="Cambria Math" w:hAnsi="Cambria Math" w:eastAsia="宋体" w:cs="宋体"/>
                    <w:spacing w:val="1"/>
                    <w:lang w:val="en-US" w:eastAsia="zh-CN"/>
                  </w:rPr>
                  <m:t>m</m:t>
                </m:r>
                <m:ctrlPr>
                  <w:rPr>
                    <w:rFonts w:hint="eastAsia" w:ascii="Cambria Math" w:hAnsi="Cambria Math" w:eastAsia="宋体" w:cs="宋体"/>
                    <w:i/>
                    <w:spacing w:val="1"/>
                  </w:rPr>
                </m:ctrlPr>
              </m:sub>
              <m:sup>
                <m:ctrlPr>
                  <w:rPr>
                    <w:rFonts w:hint="eastAsia" w:ascii="Cambria Math" w:hAnsi="Cambria Math" w:eastAsia="宋体" w:cs="宋体"/>
                    <w:i/>
                    <w:spacing w:val="1"/>
                  </w:rPr>
                </m:ctrlPr>
              </m:sup>
              <m:e>
                <m:r>
                  <m:rPr/>
                  <w:rPr>
                    <w:rFonts w:hint="eastAsia" w:ascii="Cambria Math" w:hAnsi="Cambria Math" w:eastAsia="宋体" w:cs="宋体"/>
                    <w:spacing w:val="1"/>
                    <w:lang w:val="en-US" w:eastAsia="zh-CN"/>
                  </w:rPr>
                  <m:t>(</m:t>
                </m:r>
                <m:sSub>
                  <m:sSubPr>
                    <m:ctrlPr>
                      <w:rPr>
                        <w:rFonts w:hint="eastAsia" w:ascii="Cambria Math" w:hAnsi="Cambria Math" w:eastAsia="宋体" w:cs="宋体"/>
                        <w:i/>
                        <w:spacing w:val="1"/>
                        <w:lang w:val="en-US" w:eastAsia="zh-CN"/>
                      </w:rPr>
                    </m:ctrlPr>
                  </m:sSubPr>
                  <m:e>
                    <m:r>
                      <m:rPr/>
                      <w:rPr>
                        <w:rFonts w:hint="eastAsia" w:ascii="Cambria Math" w:hAnsi="Cambria Math" w:eastAsia="宋体" w:cs="宋体"/>
                        <w:spacing w:val="1"/>
                        <w:lang w:val="en-US" w:eastAsia="zh-CN"/>
                      </w:rPr>
                      <m:t>U</m:t>
                    </m:r>
                    <m:ctrlPr>
                      <w:rPr>
                        <w:rFonts w:hint="eastAsia" w:ascii="Cambria Math" w:hAnsi="Cambria Math" w:eastAsia="宋体" w:cs="宋体"/>
                        <w:i/>
                        <w:spacing w:val="1"/>
                        <w:lang w:val="en-US" w:eastAsia="zh-CN"/>
                      </w:rPr>
                    </m:ctrlPr>
                  </m:e>
                  <m:sub>
                    <m:r>
                      <m:rPr/>
                      <w:rPr>
                        <w:rFonts w:hint="eastAsia" w:ascii="Cambria Math" w:hAnsi="Cambria Math" w:eastAsia="宋体" w:cs="宋体"/>
                        <w:spacing w:val="1"/>
                        <w:lang w:val="en-US" w:eastAsia="zh-CN"/>
                      </w:rPr>
                      <m:t>stage.i</m:t>
                    </m:r>
                    <m:ctrlPr>
                      <w:rPr>
                        <w:rFonts w:hint="eastAsia" w:ascii="Cambria Math" w:hAnsi="Cambria Math" w:eastAsia="宋体" w:cs="宋体"/>
                        <w:i/>
                        <w:spacing w:val="1"/>
                        <w:lang w:val="en-US" w:eastAsia="zh-CN"/>
                      </w:rPr>
                    </m:ctrlPr>
                  </m:sub>
                </m:sSub>
                <m:r>
                  <m:rPr/>
                  <w:rPr>
                    <w:rFonts w:hint="eastAsia" w:ascii="Cambria Math" w:hAnsi="Cambria Math" w:eastAsia="宋体" w:cs="宋体"/>
                    <w:spacing w:val="1"/>
                    <w:lang w:val="en-US"/>
                  </w:rPr>
                  <m:t>×</m:t>
                </m:r>
                <m:sSub>
                  <m:sSubPr>
                    <m:ctrlPr>
                      <w:rPr>
                        <w:rFonts w:hint="eastAsia" w:ascii="Cambria Math" w:hAnsi="Cambria Math" w:eastAsia="宋体" w:cs="宋体"/>
                        <w:i/>
                        <w:spacing w:val="1"/>
                        <w:lang w:val="en-US"/>
                      </w:rPr>
                    </m:ctrlPr>
                  </m:sSubPr>
                  <m:e>
                    <m:r>
                      <m:rPr/>
                      <w:rPr>
                        <w:rFonts w:hint="eastAsia" w:ascii="Cambria Math" w:hAnsi="Cambria Math" w:eastAsia="宋体" w:cs="宋体"/>
                        <w:spacing w:val="1"/>
                        <w:lang w:val="en-US" w:eastAsia="zh-CN"/>
                      </w:rPr>
                      <m:t>C</m:t>
                    </m:r>
                    <m:ctrlPr>
                      <w:rPr>
                        <w:rFonts w:hint="eastAsia" w:ascii="Cambria Math" w:hAnsi="Cambria Math" w:eastAsia="宋体" w:cs="宋体"/>
                        <w:i/>
                        <w:spacing w:val="1"/>
                        <w:lang w:val="en-US"/>
                      </w:rPr>
                    </m:ctrlPr>
                  </m:e>
                  <m:sub>
                    <m:r>
                      <m:rPr/>
                      <w:rPr>
                        <w:rFonts w:hint="eastAsia" w:ascii="Cambria Math" w:hAnsi="Cambria Math" w:eastAsia="宋体" w:cs="宋体"/>
                        <w:spacing w:val="1"/>
                        <w:lang w:val="en-US" w:eastAsia="zh-CN"/>
                      </w:rPr>
                      <m:t>stage.i</m:t>
                    </m:r>
                    <m:ctrlPr>
                      <w:rPr>
                        <w:rFonts w:hint="eastAsia" w:ascii="Cambria Math" w:hAnsi="Cambria Math" w:eastAsia="宋体" w:cs="宋体"/>
                        <w:i/>
                        <w:spacing w:val="1"/>
                        <w:lang w:val="en-US"/>
                      </w:rPr>
                    </m:ctrlPr>
                  </m:sub>
                </m:sSub>
                <m:r>
                  <m:rPr/>
                  <w:rPr>
                    <w:rFonts w:hint="eastAsia" w:ascii="Cambria Math" w:hAnsi="Cambria Math" w:eastAsia="宋体" w:cs="宋体"/>
                    <w:spacing w:val="1"/>
                    <w:lang w:val="en-US" w:eastAsia="zh-CN"/>
                  </w:rPr>
                  <m:t>)</m:t>
                </m:r>
                <m:ctrlPr>
                  <w:rPr>
                    <w:rFonts w:hint="eastAsia" w:ascii="Cambria Math" w:hAnsi="Cambria Math" w:eastAsia="宋体" w:cs="宋体"/>
                    <w:i/>
                    <w:spacing w:val="1"/>
                  </w:rPr>
                </m:ctrlPr>
              </m:e>
            </m:nary>
            <m:ctrlPr>
              <w:rPr>
                <w:rFonts w:hint="eastAsia" w:ascii="Cambria Math" w:hAnsi="Cambria Math" w:eastAsia="宋体" w:cs="宋体"/>
                <w:i/>
                <w:spacing w:val="1"/>
              </w:rPr>
            </m:ctrlPr>
          </m:num>
          <m:den>
            <m:nary>
              <m:naryPr>
                <m:chr m:val="∑"/>
                <m:limLoc m:val="subSup"/>
                <m:supHide m:val="true"/>
                <m:ctrlPr>
                  <w:rPr>
                    <w:rFonts w:hint="eastAsia" w:ascii="Cambria Math" w:hAnsi="Cambria Math" w:eastAsia="宋体" w:cs="宋体"/>
                    <w:i/>
                    <w:spacing w:val="1"/>
                  </w:rPr>
                </m:ctrlPr>
              </m:naryPr>
              <m:sub>
                <m:r>
                  <m:rPr/>
                  <w:rPr>
                    <w:rFonts w:hint="eastAsia" w:ascii="Cambria Math" w:hAnsi="Cambria Math" w:eastAsia="宋体" w:cs="宋体"/>
                    <w:spacing w:val="1"/>
                    <w:lang w:val="en-US" w:eastAsia="zh-CN"/>
                  </w:rPr>
                  <m:t>n</m:t>
                </m:r>
                <m:ctrlPr>
                  <w:rPr>
                    <w:rFonts w:hint="eastAsia" w:ascii="Cambria Math" w:hAnsi="Cambria Math" w:eastAsia="宋体" w:cs="宋体"/>
                    <w:i/>
                    <w:spacing w:val="1"/>
                  </w:rPr>
                </m:ctrlPr>
              </m:sub>
              <m:sup>
                <m:ctrlPr>
                  <w:rPr>
                    <w:rFonts w:hint="eastAsia" w:ascii="Cambria Math" w:hAnsi="Cambria Math" w:eastAsia="宋体" w:cs="宋体"/>
                    <w:i/>
                    <w:spacing w:val="1"/>
                  </w:rPr>
                </m:ctrlPr>
              </m:sup>
              <m:e>
                <m:sSub>
                  <m:sSubPr>
                    <m:ctrlPr>
                      <w:rPr>
                        <w:rFonts w:hint="eastAsia" w:ascii="Cambria Math" w:hAnsi="Cambria Math" w:eastAsia="宋体" w:cs="宋体"/>
                        <w:i/>
                        <w:spacing w:val="1"/>
                        <w:lang w:val="en-US"/>
                      </w:rPr>
                    </m:ctrlPr>
                  </m:sSubPr>
                  <m:e>
                    <m:r>
                      <m:rPr/>
                      <w:rPr>
                        <w:rFonts w:hint="eastAsia" w:ascii="Cambria Math" w:hAnsi="Cambria Math" w:eastAsia="宋体" w:cs="宋体"/>
                        <w:spacing w:val="1"/>
                        <w:lang w:val="en-US" w:eastAsia="zh-CN"/>
                      </w:rPr>
                      <m:t>C</m:t>
                    </m:r>
                    <m:ctrlPr>
                      <w:rPr>
                        <w:rFonts w:hint="eastAsia" w:ascii="Cambria Math" w:hAnsi="Cambria Math" w:eastAsia="宋体" w:cs="宋体"/>
                        <w:i/>
                        <w:spacing w:val="1"/>
                        <w:lang w:val="en-US"/>
                      </w:rPr>
                    </m:ctrlPr>
                  </m:e>
                  <m:sub>
                    <m:r>
                      <m:rPr/>
                      <w:rPr>
                        <w:rFonts w:hint="eastAsia" w:ascii="Cambria Math" w:hAnsi="Cambria Math" w:eastAsia="宋体" w:cs="宋体"/>
                        <w:spacing w:val="1"/>
                        <w:lang w:val="en-US" w:eastAsia="zh-CN"/>
                      </w:rPr>
                      <m:t>stage.i</m:t>
                    </m:r>
                    <m:ctrlPr>
                      <w:rPr>
                        <w:rFonts w:hint="eastAsia" w:ascii="Cambria Math" w:hAnsi="Cambria Math" w:eastAsia="宋体" w:cs="宋体"/>
                        <w:i/>
                        <w:spacing w:val="1"/>
                        <w:lang w:val="en-US"/>
                      </w:rPr>
                    </m:ctrlPr>
                  </m:sub>
                </m:sSub>
                <m:ctrlPr>
                  <w:rPr>
                    <w:rFonts w:hint="eastAsia" w:ascii="Cambria Math" w:hAnsi="Cambria Math" w:eastAsia="宋体" w:cs="宋体"/>
                    <w:i/>
                    <w:spacing w:val="1"/>
                  </w:rPr>
                </m:ctrlPr>
              </m:e>
            </m:nary>
            <m:ctrlPr>
              <w:rPr>
                <w:rFonts w:hint="eastAsia" w:ascii="Cambria Math" w:hAnsi="Cambria Math" w:eastAsia="宋体" w:cs="宋体"/>
                <w:i/>
                <w:spacing w:val="1"/>
              </w:rPr>
            </m:ctrlPr>
          </m:den>
        </m:f>
      </m:oMath>
      <w:r>
        <w:rPr>
          <w:rFonts w:hint="eastAsia" w:hAnsi="Cambria Math"/>
          <w:i w:val="0"/>
          <w:highlight w:val="none"/>
          <w:lang w:val="en-US" w:eastAsia="zh-CN"/>
        </w:rPr>
        <w:tab/>
      </w:r>
      <w:r>
        <w:rPr>
          <w:rFonts w:hint="eastAsia" w:hAnsi="宋体"/>
          <w:highlight w:val="none"/>
          <w:lang w:eastAsia="zh-CN"/>
        </w:rPr>
        <w:t>（</w:t>
      </w:r>
      <w:r>
        <w:rPr>
          <w:rFonts w:hint="eastAsia" w:hAnsi="宋体"/>
          <w:highlight w:val="none"/>
          <w:lang w:val="en-US" w:eastAsia="zh-CN"/>
        </w:rPr>
        <w:t>B.3</w:t>
      </w:r>
      <w:r>
        <w:rPr>
          <w:rFonts w:hint="eastAsia" w:hAnsi="宋体"/>
          <w:highlight w:val="none"/>
          <w:lang w:eastAsia="zh-CN"/>
        </w:rPr>
        <w:t>）</w:t>
      </w:r>
    </w:p>
    <w:p>
      <w:pPr>
        <w:pStyle w:val="13"/>
        <w:spacing w:before="223" w:line="229" w:lineRule="auto"/>
        <w:ind w:left="550"/>
        <w:rPr>
          <w:rFonts w:hint="eastAsia" w:ascii="宋体" w:hAnsi="宋体" w:eastAsia="宋体" w:cs="宋体"/>
        </w:rPr>
      </w:pPr>
      <w:r>
        <w:rPr>
          <w:rFonts w:hint="eastAsia" w:ascii="宋体" w:hAnsi="宋体" w:eastAsia="宋体" w:cs="宋体"/>
          <w:spacing w:val="1"/>
        </w:rPr>
        <w:t>式中：</w:t>
      </w:r>
    </w:p>
    <w:p>
      <w:pPr>
        <w:pStyle w:val="13"/>
        <w:spacing w:before="61" w:line="242" w:lineRule="auto"/>
        <w:ind w:left="540"/>
        <w:rPr>
          <w:rFonts w:hint="eastAsia" w:ascii="宋体" w:hAnsi="宋体" w:eastAsia="宋体" w:cs="宋体"/>
        </w:rPr>
      </w:pPr>
      <m:oMath>
        <m:r>
          <m:rPr/>
          <w:rPr>
            <w:rFonts w:hint="eastAsia" w:ascii="Cambria Math" w:hAnsi="Cambria Math" w:eastAsia="宋体" w:cs="宋体"/>
            <w:spacing w:val="7"/>
            <w:lang w:val="en-US" w:eastAsia="zh-CN"/>
          </w:rPr>
          <m:t>m</m:t>
        </m:r>
      </m:oMath>
      <w:r>
        <w:rPr>
          <w:rFonts w:hint="eastAsia" w:ascii="宋体" w:hAnsi="宋体" w:eastAsia="宋体" w:cs="宋体"/>
          <w:i/>
          <w:iCs/>
          <w:spacing w:val="12"/>
        </w:rPr>
        <w:t>——</w:t>
      </w:r>
      <w:r>
        <w:rPr>
          <w:rFonts w:hint="eastAsia" w:ascii="宋体" w:hAnsi="宋体" w:eastAsia="宋体" w:cs="宋体"/>
          <w:spacing w:val="9"/>
        </w:rPr>
        <w:t>产品碳足迹所包含的生命周期阶段数量；</w:t>
      </w:r>
    </w:p>
    <w:p>
      <w:pPr>
        <w:pStyle w:val="13"/>
        <w:spacing w:before="1" w:line="230" w:lineRule="auto"/>
        <w:ind w:left="551"/>
        <w:rPr>
          <w:rFonts w:hint="eastAsia" w:ascii="宋体" w:hAnsi="宋体" w:eastAsia="宋体" w:cs="宋体"/>
        </w:rPr>
      </w:pPr>
      <m:oMath>
        <m:sSub>
          <m:sSubPr>
            <m:ctrlPr>
              <w:rPr>
                <w:rFonts w:hint="eastAsia" w:ascii="Cambria Math" w:hAnsi="Cambria Math" w:eastAsia="宋体" w:cs="宋体"/>
                <w:i/>
                <w:spacing w:val="7"/>
                <w:lang w:val="en-US" w:eastAsia="zh-CN"/>
              </w:rPr>
            </m:ctrlPr>
          </m:sSubPr>
          <m:e>
            <m:r>
              <m:rPr/>
              <w:rPr>
                <w:rFonts w:hint="eastAsia" w:ascii="Cambria Math" w:hAnsi="Cambria Math" w:eastAsia="宋体" w:cs="宋体"/>
                <w:spacing w:val="7"/>
                <w:lang w:val="en-US" w:eastAsia="zh-CN"/>
              </w:rPr>
              <m:t>C</m:t>
            </m:r>
            <m:ctrlPr>
              <w:rPr>
                <w:rFonts w:hint="eastAsia" w:ascii="Cambria Math" w:hAnsi="Cambria Math" w:eastAsia="宋体" w:cs="宋体"/>
                <w:i/>
                <w:spacing w:val="7"/>
                <w:lang w:val="en-US" w:eastAsia="zh-CN"/>
              </w:rPr>
            </m:ctrlPr>
          </m:e>
          <m:sub>
            <m:r>
              <m:rPr/>
              <w:rPr>
                <w:rFonts w:hint="eastAsia" w:ascii="Cambria Math" w:hAnsi="Cambria Math" w:eastAsia="宋体" w:cs="宋体"/>
                <w:spacing w:val="7"/>
                <w:lang w:val="en-US" w:eastAsia="zh-CN"/>
              </w:rPr>
              <m:t>stage.i</m:t>
            </m:r>
            <m:ctrlPr>
              <w:rPr>
                <w:rFonts w:hint="eastAsia" w:ascii="Cambria Math" w:hAnsi="Cambria Math" w:eastAsia="宋体" w:cs="宋体"/>
                <w:i/>
                <w:spacing w:val="7"/>
                <w:lang w:val="en-US" w:eastAsia="zh-CN"/>
              </w:rPr>
            </m:ctrlPr>
          </m:sub>
        </m:sSub>
      </m:oMath>
      <w:r>
        <w:rPr>
          <w:rFonts w:hint="eastAsia" w:ascii="宋体" w:hAnsi="宋体" w:eastAsia="宋体" w:cs="宋体"/>
          <w:spacing w:val="12"/>
        </w:rPr>
        <w:t>——</w:t>
      </w:r>
      <w:r>
        <w:rPr>
          <w:rFonts w:hint="eastAsia" w:ascii="宋体" w:hAnsi="宋体" w:eastAsia="宋体" w:cs="宋体"/>
          <w:spacing w:val="13"/>
        </w:rPr>
        <w:t>第</w:t>
      </w:r>
      <m:oMath>
        <m:r>
          <m:rPr/>
          <w:rPr>
            <w:rFonts w:hint="default" w:ascii="Cambria Math" w:hAnsi="Cambria Math" w:eastAsia="宋体" w:cs="宋体"/>
            <w:spacing w:val="7"/>
            <w:lang w:val="en-US" w:eastAsia="zh-CN"/>
          </w:rPr>
          <m:t>i</m:t>
        </m:r>
      </m:oMath>
      <w:r>
        <w:rPr>
          <w:rFonts w:hint="eastAsia" w:ascii="宋体" w:hAnsi="宋体" w:eastAsia="宋体" w:cs="宋体"/>
          <w:spacing w:val="13"/>
        </w:rPr>
        <w:t>个生命周期阶段的碳排放量。</w:t>
      </w:r>
    </w:p>
    <w:p>
      <w:pPr>
        <w:pStyle w:val="79"/>
        <w:numPr>
          <w:ilvl w:val="1"/>
          <w:numId w:val="0"/>
        </w:numPr>
        <w:bidi w:val="0"/>
        <w:ind w:leftChars="0"/>
        <w:rPr>
          <w:rFonts w:ascii="黑体" w:hAnsi="黑体" w:eastAsia="黑体" w:cs="黑体"/>
          <w:sz w:val="20"/>
          <w:szCs w:val="20"/>
        </w:rPr>
      </w:pPr>
      <w:r>
        <w:rPr>
          <w:rFonts w:hint="eastAsia" w:hAnsi="宋体" w:cs="黑体"/>
          <w:color w:val="000000"/>
          <w:kern w:val="0"/>
          <w:sz w:val="20"/>
          <w:szCs w:val="20"/>
          <w:lang w:val="en-US" w:eastAsia="zh-CN" w:bidi="ar"/>
        </w:rPr>
        <w:t xml:space="preserve">B.5  </w:t>
      </w:r>
      <w:r>
        <w:rPr>
          <w:rFonts w:ascii="黑体" w:hAnsi="黑体" w:eastAsia="黑体" w:cs="黑体"/>
          <w:spacing w:val="7"/>
          <w:sz w:val="20"/>
          <w:szCs w:val="20"/>
        </w:rPr>
        <w:t>产品碳足迹数据质量分级</w:t>
      </w:r>
    </w:p>
    <w:p>
      <w:pPr>
        <w:pStyle w:val="13"/>
        <w:spacing w:before="221" w:line="257" w:lineRule="auto"/>
        <w:ind w:left="126" w:right="30" w:firstLine="421"/>
        <w:rPr>
          <w:rFonts w:hint="eastAsia" w:ascii="宋体" w:hAnsi="宋体" w:eastAsia="宋体" w:cs="宋体"/>
          <w:spacing w:val="9"/>
        </w:rPr>
      </w:pPr>
      <w:r>
        <w:rPr>
          <w:rFonts w:hint="eastAsia" w:ascii="宋体" w:hAnsi="宋体" w:eastAsia="宋体" w:cs="宋体"/>
          <w:spacing w:val="4"/>
        </w:rPr>
        <w:t>数据质量等级一级至五级分别设定分值为5分、4分、3分、2分、1分，根据上述公式（B.1</w:t>
      </w:r>
      <w:r>
        <w:rPr>
          <w:rFonts w:hint="eastAsia" w:ascii="宋体" w:hAnsi="宋体" w:eastAsia="宋体" w:cs="宋体"/>
          <w:spacing w:val="-26"/>
        </w:rPr>
        <w:t>）</w:t>
      </w:r>
      <w:r>
        <w:rPr>
          <w:rFonts w:hint="eastAsia" w:ascii="宋体" w:hAnsi="宋体" w:eastAsia="宋体" w:cs="宋体"/>
          <w:spacing w:val="-26"/>
          <w:lang w:eastAsia="zh-CN"/>
        </w:rPr>
        <w:t>～</w:t>
      </w:r>
      <w:r>
        <w:rPr>
          <w:rFonts w:hint="eastAsia" w:ascii="宋体" w:hAnsi="宋体" w:eastAsia="宋体" w:cs="宋体"/>
          <w:spacing w:val="4"/>
        </w:rPr>
        <w:t>（B.</w:t>
      </w:r>
      <w:r>
        <w:rPr>
          <w:rFonts w:hint="default" w:ascii="宋体" w:hAnsi="宋体" w:cs="宋体"/>
          <w:spacing w:val="4"/>
          <w:lang w:val="en-US"/>
        </w:rPr>
        <w:t>3</w:t>
      </w:r>
      <w:r>
        <w:rPr>
          <w:rFonts w:hint="eastAsia" w:ascii="宋体" w:hAnsi="宋体" w:eastAsia="宋体" w:cs="宋体"/>
          <w:spacing w:val="-26"/>
        </w:rPr>
        <w:t>）</w:t>
      </w:r>
      <w:r>
        <w:rPr>
          <w:rFonts w:hint="eastAsia" w:ascii="宋体" w:hAnsi="宋体" w:eastAsia="宋体" w:cs="宋体"/>
          <w:spacing w:val="1"/>
        </w:rPr>
        <w:t xml:space="preserve"> </w:t>
      </w:r>
      <w:r>
        <w:rPr>
          <w:rFonts w:hint="eastAsia" w:ascii="宋体" w:hAnsi="宋体" w:eastAsia="宋体" w:cs="宋体"/>
          <w:spacing w:val="9"/>
        </w:rPr>
        <w:t>计算得到产品碳足迹或生命周期阶段的数据质量评价等级，具体见表B.2。</w:t>
      </w:r>
    </w:p>
    <w:p>
      <w:pPr>
        <w:pStyle w:val="13"/>
        <w:spacing w:before="221" w:line="257" w:lineRule="auto"/>
        <w:ind w:right="30"/>
        <w:jc w:val="center"/>
      </w:pPr>
      <w:r>
        <w:rPr>
          <w:rFonts w:ascii="黑体" w:hAnsi="黑体" w:eastAsia="黑体" w:cs="黑体"/>
          <w:spacing w:val="7"/>
          <w:sz w:val="20"/>
          <w:szCs w:val="20"/>
        </w:rPr>
        <w:t>表</w:t>
      </w:r>
      <w:r>
        <w:rPr>
          <w:rFonts w:ascii="黑体" w:hAnsi="黑体" w:eastAsia="黑体" w:cs="黑体"/>
          <w:spacing w:val="-30"/>
          <w:sz w:val="20"/>
          <w:szCs w:val="20"/>
        </w:rPr>
        <w:t xml:space="preserve"> </w:t>
      </w:r>
      <w:r>
        <w:rPr>
          <w:rFonts w:ascii="黑体" w:hAnsi="黑体" w:eastAsia="黑体" w:cs="黑体"/>
          <w:spacing w:val="7"/>
          <w:sz w:val="20"/>
          <w:szCs w:val="20"/>
        </w:rPr>
        <w:t>B.2 产品碳足迹数据质量等级表</w:t>
      </w:r>
    </w:p>
    <w:tbl>
      <w:tblPr>
        <w:tblStyle w:val="238"/>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37"/>
        <w:gridCol w:w="1644"/>
        <w:gridCol w:w="1644"/>
        <w:gridCol w:w="1644"/>
        <w:gridCol w:w="1644"/>
        <w:gridCol w:w="16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07" w:type="pct"/>
            <w:tcBorders>
              <w:top w:val="single" w:color="000000" w:sz="6" w:space="0"/>
              <w:left w:val="single" w:color="000000" w:sz="6" w:space="0"/>
            </w:tcBorders>
            <w:vAlign w:val="top"/>
          </w:tcPr>
          <w:p>
            <w:pPr>
              <w:pStyle w:val="239"/>
              <w:spacing w:before="71" w:line="219" w:lineRule="auto"/>
              <w:ind w:left="217"/>
            </w:pPr>
            <w:r>
              <w:rPr>
                <w:spacing w:val="-2"/>
              </w:rPr>
              <w:t>评价等级</w:t>
            </w:r>
          </w:p>
        </w:tc>
        <w:tc>
          <w:tcPr>
            <w:tcW w:w="877" w:type="pct"/>
            <w:tcBorders>
              <w:top w:val="single" w:color="000000" w:sz="6" w:space="0"/>
            </w:tcBorders>
            <w:vAlign w:val="top"/>
          </w:tcPr>
          <w:p>
            <w:pPr>
              <w:pStyle w:val="239"/>
              <w:spacing w:before="71" w:line="222" w:lineRule="auto"/>
              <w:ind w:left="661"/>
            </w:pPr>
            <w:r>
              <w:t>一级</w:t>
            </w:r>
          </w:p>
        </w:tc>
        <w:tc>
          <w:tcPr>
            <w:tcW w:w="877" w:type="pct"/>
            <w:tcBorders>
              <w:top w:val="single" w:color="000000" w:sz="6" w:space="0"/>
            </w:tcBorders>
            <w:vAlign w:val="top"/>
          </w:tcPr>
          <w:p>
            <w:pPr>
              <w:pStyle w:val="239"/>
              <w:spacing w:before="71" w:line="222" w:lineRule="auto"/>
              <w:ind w:left="666"/>
            </w:pPr>
            <w:r>
              <w:rPr>
                <w:spacing w:val="-5"/>
              </w:rPr>
              <w:t>二级</w:t>
            </w:r>
          </w:p>
        </w:tc>
        <w:tc>
          <w:tcPr>
            <w:tcW w:w="877" w:type="pct"/>
            <w:tcBorders>
              <w:top w:val="single" w:color="000000" w:sz="6" w:space="0"/>
            </w:tcBorders>
            <w:vAlign w:val="top"/>
          </w:tcPr>
          <w:p>
            <w:pPr>
              <w:pStyle w:val="239"/>
              <w:spacing w:before="71" w:line="222" w:lineRule="auto"/>
              <w:ind w:left="665"/>
            </w:pPr>
            <w:r>
              <w:rPr>
                <w:spacing w:val="-4"/>
              </w:rPr>
              <w:t>三级</w:t>
            </w:r>
          </w:p>
        </w:tc>
        <w:tc>
          <w:tcPr>
            <w:tcW w:w="877" w:type="pct"/>
            <w:tcBorders>
              <w:top w:val="single" w:color="000000" w:sz="6" w:space="0"/>
            </w:tcBorders>
            <w:vAlign w:val="top"/>
          </w:tcPr>
          <w:p>
            <w:pPr>
              <w:pStyle w:val="239"/>
              <w:spacing w:before="71" w:line="222" w:lineRule="auto"/>
              <w:ind w:left="683"/>
            </w:pPr>
            <w:r>
              <w:rPr>
                <w:spacing w:val="-12"/>
              </w:rPr>
              <w:t>四级</w:t>
            </w:r>
          </w:p>
        </w:tc>
        <w:tc>
          <w:tcPr>
            <w:tcW w:w="882" w:type="pct"/>
            <w:tcBorders>
              <w:top w:val="single" w:color="000000" w:sz="6" w:space="0"/>
              <w:right w:val="single" w:color="000000" w:sz="6" w:space="0"/>
            </w:tcBorders>
            <w:vAlign w:val="top"/>
          </w:tcPr>
          <w:p>
            <w:pPr>
              <w:pStyle w:val="239"/>
              <w:spacing w:before="71" w:line="222" w:lineRule="auto"/>
              <w:ind w:left="672"/>
            </w:pPr>
            <w:r>
              <w:rPr>
                <w:spacing w:val="-5"/>
              </w:rPr>
              <w:t>五级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07" w:type="pct"/>
            <w:tcBorders>
              <w:left w:val="single" w:color="000000" w:sz="6" w:space="0"/>
            </w:tcBorders>
            <w:vAlign w:val="top"/>
          </w:tcPr>
          <w:p>
            <w:pPr>
              <w:pStyle w:val="239"/>
              <w:spacing w:before="71" w:line="220" w:lineRule="auto"/>
              <w:ind w:left="220"/>
            </w:pPr>
            <w:r>
              <w:rPr>
                <w:spacing w:val="-3"/>
              </w:rPr>
              <w:t>分值区间</w:t>
            </w:r>
          </w:p>
        </w:tc>
        <w:tc>
          <w:tcPr>
            <w:tcW w:w="877" w:type="pct"/>
            <w:vAlign w:val="top"/>
          </w:tcPr>
          <w:p>
            <w:pPr>
              <w:pStyle w:val="239"/>
              <w:spacing w:before="70" w:line="237" w:lineRule="auto"/>
              <w:ind w:left="721"/>
            </w:pPr>
            <w:r>
              <w:rPr>
                <w:spacing w:val="-13"/>
              </w:rPr>
              <w:t>≥5</w:t>
            </w:r>
          </w:p>
        </w:tc>
        <w:tc>
          <w:tcPr>
            <w:tcW w:w="877" w:type="pct"/>
            <w:vAlign w:val="top"/>
          </w:tcPr>
          <w:p>
            <w:pPr>
              <w:pStyle w:val="239"/>
              <w:spacing w:before="70" w:line="237" w:lineRule="auto"/>
              <w:ind w:left="500"/>
            </w:pPr>
            <w:r>
              <w:rPr>
                <w:spacing w:val="-1"/>
              </w:rPr>
              <w:t>≥4</w:t>
            </w:r>
            <w:r>
              <w:rPr>
                <w:spacing w:val="-12"/>
              </w:rPr>
              <w:t>～＜</w:t>
            </w:r>
            <w:r>
              <w:rPr>
                <w:spacing w:val="-1"/>
              </w:rPr>
              <w:t>5</w:t>
            </w:r>
          </w:p>
        </w:tc>
        <w:tc>
          <w:tcPr>
            <w:tcW w:w="877" w:type="pct"/>
            <w:vAlign w:val="top"/>
          </w:tcPr>
          <w:p>
            <w:pPr>
              <w:pStyle w:val="239"/>
              <w:spacing w:before="70" w:line="237" w:lineRule="auto"/>
              <w:ind w:left="503"/>
            </w:pPr>
            <w:r>
              <w:rPr>
                <w:spacing w:val="-1"/>
              </w:rPr>
              <w:t>≥3</w:t>
            </w:r>
            <w:r>
              <w:rPr>
                <w:spacing w:val="-12"/>
              </w:rPr>
              <w:t>～＜</w:t>
            </w:r>
            <w:r>
              <w:rPr>
                <w:spacing w:val="-1"/>
              </w:rPr>
              <w:t>4</w:t>
            </w:r>
          </w:p>
        </w:tc>
        <w:tc>
          <w:tcPr>
            <w:tcW w:w="877" w:type="pct"/>
            <w:vAlign w:val="top"/>
          </w:tcPr>
          <w:p>
            <w:pPr>
              <w:pStyle w:val="239"/>
              <w:spacing w:before="70" w:line="237" w:lineRule="auto"/>
              <w:ind w:left="504"/>
            </w:pPr>
            <w:r>
              <w:rPr>
                <w:spacing w:val="-1"/>
              </w:rPr>
              <w:t>≥2</w:t>
            </w:r>
            <w:r>
              <w:rPr>
                <w:spacing w:val="-11"/>
              </w:rPr>
              <w:t>～＜</w:t>
            </w:r>
            <w:r>
              <w:rPr>
                <w:spacing w:val="-1"/>
              </w:rPr>
              <w:t>3</w:t>
            </w:r>
          </w:p>
        </w:tc>
        <w:tc>
          <w:tcPr>
            <w:tcW w:w="882" w:type="pct"/>
            <w:tcBorders>
              <w:right w:val="single" w:color="000000" w:sz="6" w:space="0"/>
            </w:tcBorders>
            <w:vAlign w:val="top"/>
          </w:tcPr>
          <w:p>
            <w:pPr>
              <w:pStyle w:val="239"/>
              <w:spacing w:before="70" w:line="237" w:lineRule="auto"/>
              <w:ind w:left="507"/>
            </w:pPr>
            <w:r>
              <w:rPr>
                <w:spacing w:val="-1"/>
              </w:rPr>
              <w:t>≥1</w:t>
            </w:r>
            <w:r>
              <w:rPr>
                <w:spacing w:val="-11"/>
              </w:rPr>
              <w:t>～＜</w:t>
            </w:r>
            <w:r>
              <w:rPr>
                <w:spacing w:val="-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607" w:type="pct"/>
            <w:tcBorders>
              <w:left w:val="single" w:color="000000" w:sz="6" w:space="0"/>
              <w:bottom w:val="single" w:color="000000" w:sz="6" w:space="0"/>
            </w:tcBorders>
            <w:vAlign w:val="top"/>
          </w:tcPr>
          <w:p>
            <w:pPr>
              <w:pStyle w:val="239"/>
              <w:spacing w:before="75" w:line="220" w:lineRule="auto"/>
              <w:ind w:left="219"/>
            </w:pPr>
            <w:r>
              <w:rPr>
                <w:spacing w:val="-3"/>
              </w:rPr>
              <w:t>等级描述</w:t>
            </w:r>
          </w:p>
        </w:tc>
        <w:tc>
          <w:tcPr>
            <w:tcW w:w="877" w:type="pct"/>
            <w:tcBorders>
              <w:bottom w:val="single" w:color="000000" w:sz="6" w:space="0"/>
            </w:tcBorders>
            <w:vAlign w:val="top"/>
          </w:tcPr>
          <w:p>
            <w:pPr>
              <w:pStyle w:val="239"/>
              <w:spacing w:before="75" w:line="220" w:lineRule="auto"/>
              <w:ind w:left="391"/>
            </w:pPr>
            <w:r>
              <w:rPr>
                <w:spacing w:val="-2"/>
              </w:rPr>
              <w:t>数据质量高</w:t>
            </w:r>
          </w:p>
        </w:tc>
        <w:tc>
          <w:tcPr>
            <w:tcW w:w="877" w:type="pct"/>
            <w:tcBorders>
              <w:bottom w:val="single" w:color="000000" w:sz="6" w:space="0"/>
            </w:tcBorders>
            <w:vAlign w:val="top"/>
          </w:tcPr>
          <w:p>
            <w:pPr>
              <w:pStyle w:val="239"/>
              <w:spacing w:before="75" w:line="220" w:lineRule="auto"/>
              <w:ind w:left="304"/>
            </w:pPr>
            <w:r>
              <w:rPr>
                <w:spacing w:val="-2"/>
              </w:rPr>
              <w:t>数据质量较高</w:t>
            </w:r>
          </w:p>
        </w:tc>
        <w:tc>
          <w:tcPr>
            <w:tcW w:w="877" w:type="pct"/>
            <w:tcBorders>
              <w:bottom w:val="single" w:color="000000" w:sz="6" w:space="0"/>
            </w:tcBorders>
            <w:vAlign w:val="top"/>
          </w:tcPr>
          <w:p>
            <w:pPr>
              <w:pStyle w:val="239"/>
              <w:spacing w:before="75" w:line="220" w:lineRule="auto"/>
              <w:ind w:left="307"/>
            </w:pPr>
            <w:r>
              <w:rPr>
                <w:spacing w:val="-1"/>
              </w:rPr>
              <w:t>数据质量一般</w:t>
            </w:r>
          </w:p>
        </w:tc>
        <w:tc>
          <w:tcPr>
            <w:tcW w:w="877" w:type="pct"/>
            <w:tcBorders>
              <w:bottom w:val="single" w:color="000000" w:sz="6" w:space="0"/>
            </w:tcBorders>
            <w:vAlign w:val="top"/>
          </w:tcPr>
          <w:p>
            <w:pPr>
              <w:pStyle w:val="239"/>
              <w:spacing w:before="75" w:line="219" w:lineRule="auto"/>
              <w:ind w:left="308"/>
            </w:pPr>
            <w:r>
              <w:rPr>
                <w:spacing w:val="-2"/>
              </w:rPr>
              <w:t>数据质量欠佳</w:t>
            </w:r>
          </w:p>
        </w:tc>
        <w:tc>
          <w:tcPr>
            <w:tcW w:w="882" w:type="pct"/>
            <w:tcBorders>
              <w:bottom w:val="single" w:color="000000" w:sz="6" w:space="0"/>
              <w:right w:val="single" w:color="000000" w:sz="6" w:space="0"/>
            </w:tcBorders>
            <w:vAlign w:val="top"/>
          </w:tcPr>
          <w:p>
            <w:pPr>
              <w:pStyle w:val="239"/>
              <w:spacing w:before="75" w:line="220" w:lineRule="auto"/>
              <w:ind w:left="402"/>
            </w:pPr>
            <w:r>
              <w:rPr>
                <w:spacing w:val="-2"/>
              </w:rPr>
              <w:t>数据质量差</w:t>
            </w:r>
          </w:p>
        </w:tc>
      </w:tr>
    </w:tbl>
    <w:p>
      <w:pPr>
        <w:rPr>
          <w:rFonts w:hint="eastAsia" w:ascii="黑体" w:hAnsi="宋体" w:eastAsia="黑体" w:cs="宋体"/>
          <w:kern w:val="0"/>
          <w:lang w:val="en-US" w:eastAsia="zh-CN" w:bidi="en-US"/>
        </w:rPr>
      </w:pPr>
      <w:r>
        <w:rPr>
          <w:rFonts w:hint="eastAsia" w:ascii="黑体" w:hAnsi="宋体" w:eastAsia="黑体" w:cs="宋体"/>
          <w:kern w:val="0"/>
          <w:lang w:val="en-US" w:eastAsia="zh-CN" w:bidi="en-US"/>
        </w:rPr>
        <w:br w:type="page"/>
      </w:r>
    </w:p>
    <w:p>
      <w:pPr>
        <w:pStyle w:val="77"/>
        <w:spacing w:after="156"/>
      </w:pPr>
      <w:bookmarkStart w:id="51" w:name="_Toc29293"/>
      <w:r>
        <w:br w:type="textWrapping"/>
      </w:r>
      <w:r>
        <w:rPr>
          <w:rFonts w:hint="eastAsia"/>
        </w:rPr>
        <w:t>（资料性）</w:t>
      </w:r>
      <w:r>
        <w:br w:type="textWrapping"/>
      </w:r>
      <w:r>
        <w:rPr>
          <w:rFonts w:hint="eastAsia"/>
        </w:rPr>
        <w:t>产品碳足迹贡献分析示例</w:t>
      </w:r>
      <w:bookmarkEnd w:id="51"/>
    </w:p>
    <w:p>
      <w:pPr>
        <w:pStyle w:val="25"/>
        <w:keepNext w:val="0"/>
        <w:keepLines w:val="0"/>
        <w:widowControl w:val="0"/>
        <w:numPr>
          <w:ilvl w:val="1"/>
          <w:numId w:val="62"/>
        </w:numPr>
        <w:suppressLineNumbers w:val="0"/>
        <w:autoSpaceDE w:val="0"/>
        <w:autoSpaceDN w:val="0"/>
        <w:spacing w:before="176" w:beforeAutospacing="0" w:after="0" w:afterAutospacing="0"/>
        <w:ind w:left="744" w:right="0" w:hanging="526"/>
        <w:jc w:val="left"/>
        <w:rPr>
          <w:rFonts w:hint="eastAsia" w:ascii="黑体" w:hAnsi="宋体" w:eastAsia="黑体" w:cs="黑体"/>
          <w:kern w:val="0"/>
          <w:sz w:val="21"/>
          <w:szCs w:val="21"/>
          <w:lang w:val="en-US" w:eastAsia="zh-CN" w:bidi="ar"/>
        </w:rPr>
      </w:pPr>
      <w:r>
        <w:rPr>
          <w:rFonts w:hint="eastAsia" w:ascii="黑体" w:hAnsi="宋体" w:eastAsia="黑体" w:cs="黑体"/>
          <w:kern w:val="0"/>
          <w:sz w:val="21"/>
          <w:szCs w:val="21"/>
          <w:lang w:val="en-US" w:eastAsia="zh-CN" w:bidi="ar"/>
        </w:rPr>
        <w:t>识别最相关的生命周期阶段</w:t>
      </w:r>
    </w:p>
    <w:p>
      <w:pPr>
        <w:pStyle w:val="25"/>
        <w:keepNext w:val="0"/>
        <w:keepLines w:val="0"/>
        <w:widowControl w:val="0"/>
        <w:suppressLineNumbers w:val="0"/>
        <w:autoSpaceDE w:val="0"/>
        <w:autoSpaceDN w:val="0"/>
        <w:spacing w:before="1" w:beforeAutospacing="0" w:after="0" w:afterAutospacing="0" w:line="276" w:lineRule="auto"/>
        <w:ind w:left="218" w:right="415" w:firstLine="42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如表C.1的示例所示，按照对产品碳足迹贡献由大到小排序，其中</w:t>
      </w:r>
      <w:r>
        <w:rPr>
          <w:rFonts w:hint="eastAsia" w:ascii="宋体" w:hAnsi="宋体" w:cs="宋体"/>
          <w:kern w:val="0"/>
          <w:sz w:val="21"/>
          <w:szCs w:val="21"/>
          <w:lang w:val="en-US" w:eastAsia="zh-CN" w:bidi="ar"/>
        </w:rPr>
        <w:t>原辅材料获取加工</w:t>
      </w:r>
      <w:r>
        <w:rPr>
          <w:rFonts w:hint="eastAsia" w:ascii="宋体" w:hAnsi="宋体" w:eastAsia="宋体" w:cs="宋体"/>
          <w:kern w:val="0"/>
          <w:sz w:val="21"/>
          <w:szCs w:val="21"/>
          <w:lang w:val="en-US" w:eastAsia="zh-CN" w:bidi="ar"/>
        </w:rPr>
        <w:t>阶段、产品生产阶段和产品下游储存和分销阶段三个阶段的贡献之和为</w:t>
      </w:r>
      <w:r>
        <w:rPr>
          <w:rFonts w:hint="eastAsia" w:ascii="宋体" w:hAnsi="宋体" w:cs="宋体"/>
          <w:spacing w:val="-8"/>
          <w:kern w:val="0"/>
          <w:sz w:val="21"/>
          <w:szCs w:val="21"/>
          <w:lang w:val="en-US" w:eastAsia="zh-CN" w:bidi="ar"/>
        </w:rPr>
        <w:t>96</w:t>
      </w:r>
      <w:r>
        <w:rPr>
          <w:rFonts w:hint="eastAsia" w:ascii="宋体" w:hAnsi="宋体" w:eastAsia="宋体" w:cs="宋体"/>
          <w:spacing w:val="-8"/>
          <w:kern w:val="0"/>
          <w:sz w:val="21"/>
          <w:szCs w:val="21"/>
          <w:lang w:val="en-US" w:eastAsia="zh-CN" w:bidi="ar"/>
        </w:rPr>
        <w:t>%（</w:t>
      </w:r>
      <w:r>
        <w:rPr>
          <w:rFonts w:hint="eastAsia" w:ascii="宋体" w:hAnsi="宋体" w:eastAsia="宋体" w:cs="宋体"/>
          <w:kern w:val="0"/>
          <w:sz w:val="21"/>
          <w:szCs w:val="21"/>
          <w:lang w:val="en-US" w:eastAsia="zh-CN" w:bidi="ar"/>
        </w:rPr>
        <w:t>超过</w:t>
      </w:r>
      <w:r>
        <w:rPr>
          <w:rFonts w:hint="eastAsia" w:ascii="宋体" w:hAnsi="宋体" w:eastAsia="宋体" w:cs="宋体"/>
          <w:spacing w:val="-13"/>
          <w:kern w:val="0"/>
          <w:sz w:val="21"/>
          <w:szCs w:val="21"/>
          <w:lang w:val="en-US" w:eastAsia="zh-CN" w:bidi="ar"/>
        </w:rPr>
        <w:t>80%），</w:t>
      </w:r>
      <w:r>
        <w:rPr>
          <w:rFonts w:hint="eastAsia" w:ascii="宋体" w:hAnsi="宋体" w:eastAsia="宋体" w:cs="宋体"/>
          <w:kern w:val="0"/>
          <w:sz w:val="21"/>
          <w:szCs w:val="21"/>
          <w:lang w:val="en-US" w:eastAsia="zh-CN" w:bidi="ar"/>
        </w:rPr>
        <w:t>则这三个阶段被识别为与该产品碳足迹最相关的生命周期阶段。</w:t>
      </w:r>
    </w:p>
    <w:p>
      <w:pPr>
        <w:pStyle w:val="25"/>
        <w:keepNext w:val="0"/>
        <w:keepLines w:val="0"/>
        <w:widowControl w:val="0"/>
        <w:suppressLineNumbers w:val="0"/>
        <w:autoSpaceDE w:val="0"/>
        <w:autoSpaceDN w:val="0"/>
        <w:spacing w:before="1" w:beforeAutospacing="0" w:after="0" w:afterAutospacing="0" w:line="276" w:lineRule="auto"/>
        <w:ind w:right="415"/>
        <w:jc w:val="center"/>
        <w:rPr>
          <w:rFonts w:hint="eastAsia" w:ascii="黑体" w:hAnsi="宋体" w:eastAsia="宋体" w:cs="宋体"/>
          <w:sz w:val="12"/>
          <w:szCs w:val="12"/>
        </w:rPr>
      </w:pPr>
      <w:r>
        <w:rPr>
          <w:rFonts w:hint="eastAsia" w:ascii="黑体" w:hAnsi="宋体" w:eastAsia="黑体" w:cs="黑体"/>
          <w:kern w:val="0"/>
          <w:sz w:val="21"/>
          <w:szCs w:val="21"/>
          <w:lang w:val="en-US" w:eastAsia="zh-CN" w:bidi="ar"/>
        </w:rPr>
        <w:t>表</w:t>
      </w:r>
      <w:r>
        <w:rPr>
          <w:rFonts w:hint="eastAsia" w:ascii="黑体" w:hAnsi="宋体" w:eastAsia="黑体" w:cs="宋体"/>
          <w:kern w:val="0"/>
          <w:sz w:val="21"/>
          <w:szCs w:val="21"/>
          <w:lang w:val="en-US" w:eastAsia="zh-CN" w:bidi="ar"/>
        </w:rPr>
        <w:t xml:space="preserve"> </w:t>
      </w:r>
      <w:r>
        <w:rPr>
          <w:rFonts w:hint="eastAsia" w:ascii="黑体" w:hAnsi="宋体" w:eastAsia="黑体" w:cs="黑体"/>
          <w:kern w:val="0"/>
          <w:sz w:val="21"/>
          <w:szCs w:val="21"/>
          <w:lang w:val="en-US" w:eastAsia="zh-CN" w:bidi="ar"/>
        </w:rPr>
        <w:t>C.1 不同生命周期阶段对碳足迹的贡献分析（示例）</w:t>
      </w:r>
    </w:p>
    <w:tbl>
      <w:tblPr>
        <w:tblStyle w:val="27"/>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4687"/>
        <w:gridCol w:w="46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500" w:type="pct"/>
            <w:tcBorders>
              <w:top w:val="single" w:color="000000" w:sz="8" w:space="0"/>
              <w:left w:val="single" w:color="000000" w:sz="8" w:space="0"/>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生命周期阶段（LCS）</w:t>
            </w:r>
          </w:p>
        </w:tc>
        <w:tc>
          <w:tcPr>
            <w:tcW w:w="2500" w:type="pct"/>
            <w:tcBorders>
              <w:top w:val="single" w:color="000000" w:sz="8" w:space="0"/>
              <w:left w:val="nil"/>
              <w:bottom w:val="single" w:color="000000" w:sz="8"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贡献率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2500" w:type="pct"/>
            <w:tcBorders>
              <w:top w:val="single" w:color="000000" w:sz="8"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原辅材料获取加工阶段</w:t>
            </w:r>
          </w:p>
        </w:tc>
        <w:tc>
          <w:tcPr>
            <w:tcW w:w="2500" w:type="pct"/>
            <w:tcBorders>
              <w:top w:val="single" w:color="000000" w:sz="8"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2500"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原辅材料运输阶段</w:t>
            </w:r>
          </w:p>
        </w:tc>
        <w:tc>
          <w:tcPr>
            <w:tcW w:w="2500"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2500"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产品生产阶段</w:t>
            </w:r>
          </w:p>
        </w:tc>
        <w:tc>
          <w:tcPr>
            <w:tcW w:w="2500"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2500"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产品下游储存和分销阶段</w:t>
            </w:r>
          </w:p>
        </w:tc>
        <w:tc>
          <w:tcPr>
            <w:tcW w:w="2500"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2500" w:type="pct"/>
            <w:tcBorders>
              <w:top w:val="single" w:color="000000" w:sz="4" w:space="0"/>
              <w:left w:val="single" w:color="000000" w:sz="8" w:space="0"/>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最相关的生命周期阶段的贡献之和</w:t>
            </w:r>
          </w:p>
        </w:tc>
        <w:tc>
          <w:tcPr>
            <w:tcW w:w="2500" w:type="pct"/>
            <w:tcBorders>
              <w:top w:val="single" w:color="000000" w:sz="4" w:space="0"/>
              <w:left w:val="nil"/>
              <w:bottom w:val="single" w:color="000000" w:sz="8"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96%</w:t>
            </w:r>
          </w:p>
        </w:tc>
      </w:tr>
    </w:tbl>
    <w:p>
      <w:pPr>
        <w:pStyle w:val="25"/>
        <w:keepNext w:val="0"/>
        <w:keepLines w:val="0"/>
        <w:widowControl w:val="0"/>
        <w:numPr>
          <w:ilvl w:val="1"/>
          <w:numId w:val="62"/>
        </w:numPr>
        <w:suppressLineNumbers w:val="0"/>
        <w:autoSpaceDE w:val="0"/>
        <w:autoSpaceDN w:val="0"/>
        <w:spacing w:before="176" w:beforeAutospacing="0" w:after="0" w:afterAutospacing="0"/>
        <w:ind w:left="744" w:right="0" w:hanging="526"/>
        <w:jc w:val="left"/>
        <w:rPr>
          <w:rFonts w:hint="eastAsia" w:ascii="黑体" w:hAnsi="宋体" w:eastAsia="宋体" w:cs="宋体"/>
          <w:sz w:val="15"/>
          <w:szCs w:val="15"/>
        </w:rPr>
      </w:pPr>
      <w:r>
        <w:rPr>
          <w:rFonts w:hint="eastAsia" w:ascii="黑体" w:hAnsi="宋体" w:eastAsia="黑体" w:cs="黑体"/>
          <w:kern w:val="0"/>
          <w:sz w:val="21"/>
          <w:szCs w:val="21"/>
          <w:lang w:val="en-US" w:eastAsia="zh-CN" w:bidi="ar"/>
        </w:rPr>
        <w:t>识别最相关的单元过程</w:t>
      </w:r>
    </w:p>
    <w:p>
      <w:pPr>
        <w:pStyle w:val="25"/>
        <w:keepNext w:val="0"/>
        <w:keepLines w:val="0"/>
        <w:widowControl w:val="0"/>
        <w:suppressLineNumbers w:val="0"/>
        <w:autoSpaceDE w:val="0"/>
        <w:autoSpaceDN w:val="0"/>
        <w:spacing w:before="0" w:beforeAutospacing="0" w:after="0" w:afterAutospacing="0" w:line="276" w:lineRule="auto"/>
        <w:ind w:left="218" w:right="412" w:firstLine="420"/>
        <w:jc w:val="center"/>
        <w:rPr>
          <w:rFonts w:hint="eastAsia" w:ascii="黑体" w:hAnsi="宋体" w:eastAsia="宋体" w:cs="宋体"/>
          <w:sz w:val="12"/>
          <w:szCs w:val="12"/>
        </w:rPr>
      </w:pPr>
      <w:r>
        <w:rPr>
          <w:rFonts w:hint="eastAsia" w:ascii="宋体" w:hAnsi="宋体" w:eastAsia="宋体" w:cs="宋体"/>
          <w:kern w:val="0"/>
          <w:sz w:val="21"/>
          <w:szCs w:val="21"/>
          <w:lang w:val="en-US" w:eastAsia="zh-CN" w:bidi="ar"/>
        </w:rPr>
        <w:t>如表C.2的示例所示，按照对产品碳足迹贡献由大到小排序，其中过程B、D、F、G四个单元过程的贡献之和为8</w:t>
      </w:r>
      <w:r>
        <w:rPr>
          <w:rFonts w:hint="eastAsia" w:ascii="宋体" w:hAnsi="宋体" w:cs="宋体"/>
          <w:kern w:val="0"/>
          <w:sz w:val="21"/>
          <w:szCs w:val="21"/>
          <w:lang w:val="en-US" w:eastAsia="zh-CN" w:bidi="ar"/>
        </w:rPr>
        <w:t>2</w:t>
      </w:r>
      <w:r>
        <w:rPr>
          <w:rFonts w:hint="eastAsia" w:ascii="宋体" w:hAnsi="宋体" w:eastAsia="宋体" w:cs="宋体"/>
          <w:kern w:val="0"/>
          <w:sz w:val="21"/>
          <w:szCs w:val="21"/>
          <w:lang w:val="en-US" w:eastAsia="zh-CN" w:bidi="ar"/>
        </w:rPr>
        <w:t>.4%（超过80%），则这四个过程被识别为与该产品碳足迹最相关的单元过程。</w:t>
      </w:r>
      <w:r>
        <w:rPr>
          <w:rFonts w:hint="eastAsia" w:ascii="黑体" w:hAnsi="宋体" w:eastAsia="黑体" w:cs="黑体"/>
          <w:kern w:val="0"/>
          <w:sz w:val="21"/>
          <w:szCs w:val="21"/>
          <w:lang w:val="en-US" w:eastAsia="zh-CN" w:bidi="ar"/>
        </w:rPr>
        <w:t>表</w:t>
      </w:r>
      <w:r>
        <w:rPr>
          <w:rFonts w:hint="eastAsia" w:ascii="黑体" w:hAnsi="宋体" w:eastAsia="黑体" w:cs="宋体"/>
          <w:kern w:val="0"/>
          <w:sz w:val="21"/>
          <w:szCs w:val="21"/>
          <w:lang w:val="en-US" w:eastAsia="zh-CN" w:bidi="ar"/>
        </w:rPr>
        <w:t xml:space="preserve"> </w:t>
      </w:r>
      <w:r>
        <w:rPr>
          <w:rFonts w:hint="eastAsia" w:ascii="黑体" w:hAnsi="宋体" w:eastAsia="黑体" w:cs="黑体"/>
          <w:kern w:val="0"/>
          <w:sz w:val="21"/>
          <w:szCs w:val="21"/>
          <w:lang w:val="en-US" w:eastAsia="zh-CN" w:bidi="ar"/>
        </w:rPr>
        <w:t>C.2 各生命周期阶段不同单元过程对碳足迹的贡献分析（示例）</w:t>
      </w:r>
    </w:p>
    <w:tbl>
      <w:tblPr>
        <w:tblStyle w:val="27"/>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3120"/>
        <w:gridCol w:w="3125"/>
        <w:gridCol w:w="3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665" w:type="pct"/>
            <w:tcBorders>
              <w:top w:val="single" w:color="000000" w:sz="8" w:space="0"/>
              <w:left w:val="single" w:color="000000" w:sz="8" w:space="0"/>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生命周期阶段</w:t>
            </w:r>
          </w:p>
        </w:tc>
        <w:tc>
          <w:tcPr>
            <w:tcW w:w="1667" w:type="pct"/>
            <w:tcBorders>
              <w:top w:val="single" w:color="000000" w:sz="8" w:space="0"/>
              <w:left w:val="nil"/>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单元过程</w:t>
            </w:r>
          </w:p>
        </w:tc>
        <w:tc>
          <w:tcPr>
            <w:tcW w:w="1667" w:type="pct"/>
            <w:tcBorders>
              <w:top w:val="single" w:color="000000" w:sz="8" w:space="0"/>
              <w:left w:val="nil"/>
              <w:bottom w:val="single" w:color="000000" w:sz="8"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贡献率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vMerge w:val="restart"/>
            <w:tcBorders>
              <w:top w:val="nil"/>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原辅材料获取加工阶段</w:t>
            </w:r>
          </w:p>
        </w:tc>
        <w:tc>
          <w:tcPr>
            <w:tcW w:w="1667" w:type="pct"/>
            <w:tcBorders>
              <w:top w:val="single" w:color="000000" w:sz="8"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过程A</w:t>
            </w:r>
          </w:p>
        </w:tc>
        <w:tc>
          <w:tcPr>
            <w:tcW w:w="1667" w:type="pct"/>
            <w:tcBorders>
              <w:top w:val="single" w:color="000000" w:sz="8"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vMerge w:val="continue"/>
            <w:tcBorders>
              <w:top w:val="nil"/>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default"/>
                <w:spacing w:val="-3"/>
                <w:lang w:val="en-US" w:eastAsia="zh-CN"/>
              </w:rPr>
            </w:pP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过程B</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原辅材料运输阶段</w:t>
            </w: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过程C</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vMerge w:val="restart"/>
            <w:tcBorders>
              <w:top w:val="nil"/>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产品的生产阶段</w:t>
            </w: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过程D</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18.4%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vMerge w:val="continue"/>
            <w:tcBorders>
              <w:top w:val="nil"/>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default"/>
                <w:spacing w:val="-3"/>
                <w:lang w:val="en-US" w:eastAsia="zh-CN"/>
              </w:rPr>
            </w:pP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过程E</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vMerge w:val="continue"/>
            <w:tcBorders>
              <w:top w:val="nil"/>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default"/>
                <w:spacing w:val="-3"/>
                <w:lang w:val="en-US" w:eastAsia="zh-CN"/>
              </w:rPr>
            </w:pP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过程F</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产品下游储存和分销阶段</w:t>
            </w:r>
          </w:p>
        </w:tc>
        <w:tc>
          <w:tcPr>
            <w:tcW w:w="1667" w:type="pct"/>
            <w:tcBorders>
              <w:top w:val="single" w:color="000000" w:sz="4" w:space="0"/>
              <w:left w:val="nil"/>
              <w:bottom w:val="single" w:color="000000" w:sz="4"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过程G</w:t>
            </w:r>
          </w:p>
        </w:tc>
        <w:tc>
          <w:tcPr>
            <w:tcW w:w="1667" w:type="pct"/>
            <w:tcBorders>
              <w:top w:val="single" w:color="000000" w:sz="4" w:space="0"/>
              <w:left w:val="nil"/>
              <w:bottom w:val="single" w:color="000000" w:sz="4"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54" w:hRule="atLeast"/>
        </w:trPr>
        <w:tc>
          <w:tcPr>
            <w:tcW w:w="1665" w:type="pct"/>
            <w:tcBorders>
              <w:top w:val="single" w:color="000000" w:sz="4" w:space="0"/>
              <w:left w:val="single" w:color="000000" w:sz="8" w:space="0"/>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最相关单元过程的贡献之和</w:t>
            </w:r>
          </w:p>
        </w:tc>
        <w:tc>
          <w:tcPr>
            <w:tcW w:w="1667" w:type="pct"/>
            <w:tcBorders>
              <w:top w:val="single" w:color="000000" w:sz="4" w:space="0"/>
              <w:left w:val="nil"/>
              <w:bottom w:val="single" w:color="000000" w:sz="8" w:space="0"/>
              <w:right w:val="single" w:color="000000" w:sz="4"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w:t>
            </w:r>
          </w:p>
        </w:tc>
        <w:tc>
          <w:tcPr>
            <w:tcW w:w="1667" w:type="pct"/>
            <w:tcBorders>
              <w:top w:val="single" w:color="000000" w:sz="4" w:space="0"/>
              <w:left w:val="nil"/>
              <w:bottom w:val="single" w:color="000000" w:sz="8" w:space="0"/>
              <w:right w:val="single" w:color="000000" w:sz="8" w:space="0"/>
            </w:tcBorders>
            <w:shd w:val="clear" w:color="auto" w:fill="auto"/>
            <w:vAlign w:val="center"/>
          </w:tcPr>
          <w:p>
            <w:pPr>
              <w:pStyle w:val="239"/>
              <w:keepNext w:val="0"/>
              <w:keepLines w:val="0"/>
              <w:suppressLineNumbers w:val="0"/>
              <w:spacing w:before="75" w:beforeAutospacing="0" w:after="0" w:afterAutospacing="0" w:line="220" w:lineRule="auto"/>
              <w:ind w:left="0" w:right="0"/>
              <w:jc w:val="center"/>
              <w:rPr>
                <w:rFonts w:hint="eastAsia"/>
                <w:spacing w:val="-3"/>
                <w:lang w:val="en-US" w:eastAsia="zh-CN"/>
              </w:rPr>
            </w:pPr>
            <w:r>
              <w:rPr>
                <w:rFonts w:hint="eastAsia"/>
                <w:spacing w:val="-3"/>
                <w:lang w:val="en-US" w:eastAsia="zh-CN"/>
              </w:rPr>
              <w:t>82.4%</w:t>
            </w:r>
          </w:p>
        </w:tc>
      </w:tr>
    </w:tbl>
    <w:p>
      <w:r>
        <w:br w:type="page"/>
      </w:r>
    </w:p>
    <w:p>
      <w:pPr>
        <w:pStyle w:val="77"/>
        <w:spacing w:after="156"/>
      </w:pPr>
      <w:bookmarkStart w:id="52" w:name="_Toc25380"/>
      <w:r>
        <w:br w:type="textWrapping"/>
      </w:r>
      <w:r>
        <w:rPr>
          <w:rFonts w:hint="eastAsia"/>
        </w:rPr>
        <w:t>（资料性）</w:t>
      </w:r>
      <w:r>
        <w:br w:type="textWrapping"/>
      </w:r>
      <w:r>
        <w:rPr>
          <w:rFonts w:hint="eastAsia"/>
        </w:rPr>
        <w:t>产品碳足迹评价报告框架</w:t>
      </w:r>
      <w:bookmarkEnd w:id="52"/>
    </w:p>
    <w:tbl>
      <w:tblPr>
        <w:tblStyle w:val="238"/>
        <w:tblpPr w:leftFromText="180" w:rightFromText="180" w:vertAnchor="text" w:horzAnchor="page" w:tblpX="1305" w:tblpY="152"/>
        <w:tblOverlap w:val="never"/>
        <w:tblW w:w="9574"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7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499" w:hRule="atLeast"/>
        </w:trPr>
        <w:tc>
          <w:tcPr>
            <w:tcW w:w="9574" w:type="dxa"/>
            <w:vAlign w:val="top"/>
          </w:tcPr>
          <w:p>
            <w:pPr>
              <w:spacing w:before="146" w:line="240" w:lineRule="auto"/>
              <w:ind w:left="119"/>
              <w:outlineLvl w:val="0"/>
              <w:rPr>
                <w:rFonts w:ascii="宋体" w:hAnsi="宋体" w:eastAsia="宋体" w:cs="宋体"/>
                <w:sz w:val="20"/>
                <w:szCs w:val="20"/>
              </w:rPr>
            </w:pPr>
            <w:r>
              <w:rPr>
                <w:rFonts w:ascii="宋体" w:hAnsi="宋体" w:eastAsia="宋体" w:cs="宋体"/>
                <w:spacing w:val="11"/>
                <w:position w:val="2"/>
                <w:sz w:val="20"/>
                <w:szCs w:val="20"/>
                <w14:textOutline w14:w="3795" w14:cap="sq" w14:cmpd="sng">
                  <w14:solidFill>
                    <w14:srgbClr w14:val="000000"/>
                  </w14:solidFill>
                  <w14:prstDash w14:val="solid"/>
                  <w14:bevel/>
                </w14:textOutline>
              </w:rPr>
              <w:t>一</w:t>
            </w:r>
            <w:r>
              <w:rPr>
                <w:rFonts w:ascii="宋体" w:hAnsi="宋体" w:eastAsia="宋体" w:cs="宋体"/>
                <w:spacing w:val="8"/>
                <w:position w:val="2"/>
                <w:sz w:val="20"/>
                <w:szCs w:val="20"/>
                <w14:textOutline w14:w="3795" w14:cap="sq" w14:cmpd="sng">
                  <w14:solidFill>
                    <w14:srgbClr w14:val="000000"/>
                  </w14:solidFill>
                  <w14:prstDash w14:val="solid"/>
                  <w14:bevel/>
                </w14:textOutline>
              </w:rPr>
              <w:t>、报告摘要</w:t>
            </w:r>
          </w:p>
          <w:p>
            <w:pPr>
              <w:spacing w:before="55"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before="2" w:line="240" w:lineRule="auto"/>
              <w:ind w:left="118" w:right="107" w:firstLine="418"/>
              <w:rPr>
                <w:rFonts w:ascii="宋体" w:hAnsi="宋体" w:eastAsia="宋体" w:cs="宋体"/>
                <w:sz w:val="20"/>
                <w:szCs w:val="20"/>
              </w:rPr>
            </w:pPr>
            <w:r>
              <w:rPr>
                <w:rFonts w:ascii="宋体" w:hAnsi="宋体" w:eastAsia="宋体" w:cs="宋体"/>
                <w:spacing w:val="14"/>
                <w:sz w:val="20"/>
                <w:szCs w:val="20"/>
              </w:rPr>
              <w:t>包括但</w:t>
            </w:r>
            <w:r>
              <w:rPr>
                <w:rFonts w:ascii="宋体" w:hAnsi="宋体" w:eastAsia="宋体" w:cs="宋体"/>
                <w:spacing w:val="9"/>
                <w:sz w:val="20"/>
                <w:szCs w:val="20"/>
              </w:rPr>
              <w:t>不</w:t>
            </w:r>
            <w:r>
              <w:rPr>
                <w:rFonts w:ascii="宋体" w:hAnsi="宋体" w:eastAsia="宋体" w:cs="宋体"/>
                <w:spacing w:val="7"/>
                <w:sz w:val="20"/>
                <w:szCs w:val="20"/>
              </w:rPr>
              <w:t>限于对目标范围定义和相关假设、系统边界阶段说明、数据质量声明、评价结果、改进建议</w:t>
            </w:r>
            <w:r>
              <w:rPr>
                <w:rFonts w:ascii="宋体" w:hAnsi="宋体" w:eastAsia="宋体" w:cs="宋体"/>
                <w:spacing w:val="5"/>
                <w:sz w:val="20"/>
                <w:szCs w:val="20"/>
              </w:rPr>
              <w:t>的描述。</w:t>
            </w:r>
          </w:p>
          <w:p>
            <w:pPr>
              <w:spacing w:line="240" w:lineRule="auto"/>
              <w:ind w:left="119"/>
              <w:rPr>
                <w:rFonts w:ascii="宋体" w:hAnsi="宋体" w:eastAsia="宋体" w:cs="宋体"/>
                <w:sz w:val="20"/>
                <w:szCs w:val="20"/>
              </w:rPr>
            </w:pPr>
            <w:r>
              <w:rPr>
                <w:rFonts w:ascii="宋体" w:hAnsi="宋体" w:eastAsia="宋体" w:cs="宋体"/>
                <w:spacing w:val="11"/>
                <w:position w:val="1"/>
                <w:sz w:val="20"/>
                <w:szCs w:val="20"/>
                <w14:textOutline w14:w="3795" w14:cap="sq" w14:cmpd="sng">
                  <w14:solidFill>
                    <w14:srgbClr w14:val="000000"/>
                  </w14:solidFill>
                  <w14:prstDash w14:val="solid"/>
                  <w14:bevel/>
                </w14:textOutline>
              </w:rPr>
              <w:t>二</w:t>
            </w:r>
            <w:r>
              <w:rPr>
                <w:rFonts w:ascii="宋体" w:hAnsi="宋体" w:eastAsia="宋体" w:cs="宋体"/>
                <w:spacing w:val="8"/>
                <w:position w:val="1"/>
                <w:sz w:val="20"/>
                <w:szCs w:val="20"/>
                <w14:textOutline w14:w="3795" w14:cap="sq" w14:cmpd="sng">
                  <w14:solidFill>
                    <w14:srgbClr w14:val="000000"/>
                  </w14:solidFill>
                  <w14:prstDash w14:val="solid"/>
                  <w14:bevel/>
                </w14:textOutline>
              </w:rPr>
              <w:t>、基本信息</w:t>
            </w:r>
          </w:p>
          <w:p>
            <w:pPr>
              <w:spacing w:before="124" w:line="240" w:lineRule="auto"/>
              <w:ind w:left="113"/>
              <w:rPr>
                <w:rFonts w:ascii="宋体" w:hAnsi="宋体" w:eastAsia="宋体" w:cs="宋体"/>
                <w:sz w:val="20"/>
                <w:szCs w:val="20"/>
              </w:rPr>
            </w:pPr>
            <w:r>
              <w:rPr>
                <w:rFonts w:ascii="Times New Roman" w:hAnsi="Times New Roman" w:eastAsia="Times New Roman" w:cs="Times New Roman"/>
                <w:b/>
                <w:bCs/>
                <w:spacing w:val="12"/>
                <w:sz w:val="20"/>
                <w:szCs w:val="20"/>
              </w:rPr>
              <w:t>2</w:t>
            </w:r>
            <w:r>
              <w:rPr>
                <w:rFonts w:ascii="Times New Roman" w:hAnsi="Times New Roman" w:eastAsia="Times New Roman" w:cs="Times New Roman"/>
                <w:b/>
                <w:bCs/>
                <w:spacing w:val="8"/>
                <w:sz w:val="20"/>
                <w:szCs w:val="20"/>
              </w:rPr>
              <w:t>.</w:t>
            </w:r>
            <w:r>
              <w:rPr>
                <w:rFonts w:ascii="Times New Roman" w:hAnsi="Times New Roman" w:eastAsia="Times New Roman" w:cs="Times New Roman"/>
                <w:b/>
                <w:bCs/>
                <w:spacing w:val="6"/>
                <w:sz w:val="20"/>
                <w:szCs w:val="20"/>
              </w:rPr>
              <w:t>1</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产品基本信息</w:t>
            </w:r>
          </w:p>
          <w:p>
            <w:pPr>
              <w:spacing w:before="154"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before="2" w:line="240" w:lineRule="auto"/>
              <w:ind w:left="118" w:right="107" w:firstLine="418"/>
              <w:rPr>
                <w:rFonts w:ascii="宋体" w:hAnsi="宋体" w:eastAsia="宋体" w:cs="宋体"/>
                <w:spacing w:val="7"/>
                <w:sz w:val="20"/>
                <w:szCs w:val="20"/>
              </w:rPr>
            </w:pPr>
            <w:r>
              <w:rPr>
                <w:rFonts w:ascii="宋体" w:hAnsi="宋体" w:eastAsia="宋体" w:cs="宋体"/>
                <w:spacing w:val="7"/>
                <w:sz w:val="20"/>
                <w:szCs w:val="20"/>
              </w:rPr>
              <w:t>包括但不限于对</w:t>
            </w:r>
            <w:r>
              <w:rPr>
                <w:rFonts w:hint="eastAsia" w:ascii="宋体" w:hAnsi="宋体" w:eastAsia="宋体" w:cs="宋体"/>
                <w:spacing w:val="7"/>
                <w:sz w:val="20"/>
                <w:szCs w:val="20"/>
                <w:lang w:val="en-US" w:eastAsia="zh-CN"/>
              </w:rPr>
              <w:t>面料</w:t>
            </w:r>
            <w:r>
              <w:rPr>
                <w:rFonts w:ascii="宋体" w:hAnsi="宋体" w:eastAsia="宋体" w:cs="宋体"/>
                <w:spacing w:val="7"/>
                <w:sz w:val="20"/>
                <w:szCs w:val="20"/>
              </w:rPr>
              <w:t>名称</w:t>
            </w:r>
            <w:r>
              <w:rPr>
                <w:rFonts w:hint="eastAsia" w:ascii="宋体" w:hAnsi="宋体" w:eastAsia="宋体" w:cs="宋体"/>
                <w:spacing w:val="7"/>
                <w:sz w:val="20"/>
                <w:szCs w:val="20"/>
                <w:lang w:val="en-US" w:eastAsia="zh-CN"/>
              </w:rPr>
              <w:t>和类型、面料纤维成分及蚕丝含量、面料成品</w:t>
            </w:r>
            <w:r>
              <w:rPr>
                <w:rFonts w:ascii="宋体" w:hAnsi="宋体" w:eastAsia="宋体" w:cs="宋体"/>
                <w:spacing w:val="7"/>
                <w:sz w:val="20"/>
                <w:szCs w:val="20"/>
              </w:rPr>
              <w:t>规格</w:t>
            </w:r>
            <w:r>
              <w:rPr>
                <w:rFonts w:hint="eastAsia" w:ascii="宋体" w:hAnsi="宋体" w:eastAsia="宋体" w:cs="宋体"/>
                <w:spacing w:val="7"/>
                <w:sz w:val="20"/>
                <w:szCs w:val="20"/>
                <w:lang w:eastAsia="zh-CN"/>
              </w:rPr>
              <w:t>、</w:t>
            </w:r>
            <w:r>
              <w:rPr>
                <w:rFonts w:hint="eastAsia" w:ascii="宋体" w:hAnsi="宋体" w:eastAsia="宋体" w:cs="宋体"/>
                <w:spacing w:val="7"/>
                <w:sz w:val="20"/>
                <w:szCs w:val="20"/>
                <w:lang w:val="en-US" w:eastAsia="zh-CN"/>
              </w:rPr>
              <w:t>面料织造规格、面料染色工艺</w:t>
            </w:r>
            <w:r>
              <w:rPr>
                <w:rFonts w:ascii="宋体" w:hAnsi="宋体" w:eastAsia="宋体" w:cs="宋体"/>
                <w:spacing w:val="7"/>
                <w:sz w:val="20"/>
                <w:szCs w:val="20"/>
              </w:rPr>
              <w:t>的描述。</w:t>
            </w:r>
          </w:p>
          <w:p>
            <w:pPr>
              <w:spacing w:before="141" w:line="240" w:lineRule="auto"/>
              <w:ind w:left="113"/>
              <w:outlineLvl w:val="0"/>
              <w:rPr>
                <w:rFonts w:ascii="宋体" w:hAnsi="宋体" w:eastAsia="宋体" w:cs="宋体"/>
                <w:sz w:val="20"/>
                <w:szCs w:val="20"/>
              </w:rPr>
            </w:pPr>
            <w:r>
              <w:rPr>
                <w:rFonts w:ascii="Times New Roman" w:hAnsi="Times New Roman" w:eastAsia="Times New Roman" w:cs="Times New Roman"/>
                <w:b/>
                <w:bCs/>
                <w:spacing w:val="8"/>
                <w:sz w:val="20"/>
                <w:szCs w:val="20"/>
              </w:rPr>
              <w:t>2.2</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产品生产企业基本信</w:t>
            </w:r>
            <w:r>
              <w:rPr>
                <w:rFonts w:ascii="宋体" w:hAnsi="宋体" w:eastAsia="宋体" w:cs="宋体"/>
                <w:spacing w:val="7"/>
                <w:sz w:val="20"/>
                <w:szCs w:val="20"/>
                <w14:textOutline w14:w="3795" w14:cap="sq" w14:cmpd="sng">
                  <w14:solidFill>
                    <w14:srgbClr w14:val="000000"/>
                  </w14:solidFill>
                  <w14:prstDash w14:val="solid"/>
                  <w14:bevel/>
                </w14:textOutline>
              </w:rPr>
              <w:t>息</w:t>
            </w:r>
          </w:p>
          <w:p>
            <w:pPr>
              <w:spacing w:before="152"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536"/>
              <w:rPr>
                <w:rFonts w:ascii="宋体" w:hAnsi="宋体" w:eastAsia="宋体" w:cs="宋体"/>
                <w:spacing w:val="9"/>
                <w:sz w:val="20"/>
                <w:szCs w:val="20"/>
              </w:rPr>
            </w:pPr>
            <w:r>
              <w:rPr>
                <w:rFonts w:ascii="宋体" w:hAnsi="宋体" w:eastAsia="宋体" w:cs="宋体"/>
                <w:spacing w:val="15"/>
                <w:sz w:val="20"/>
                <w:szCs w:val="20"/>
              </w:rPr>
              <w:t>包</w:t>
            </w:r>
            <w:r>
              <w:rPr>
                <w:rFonts w:ascii="宋体" w:hAnsi="宋体" w:eastAsia="宋体" w:cs="宋体"/>
                <w:spacing w:val="9"/>
                <w:sz w:val="20"/>
                <w:szCs w:val="20"/>
              </w:rPr>
              <w:t>括但不限于企业名称、地址、联系人、联系电话的描述。</w:t>
            </w:r>
          </w:p>
          <w:p>
            <w:pPr>
              <w:spacing w:before="144" w:line="240" w:lineRule="auto"/>
              <w:ind w:left="116"/>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三、</w:t>
            </w:r>
            <w:r>
              <w:rPr>
                <w:rFonts w:ascii="宋体" w:hAnsi="宋体" w:eastAsia="宋体" w:cs="宋体"/>
                <w:spacing w:val="-4"/>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目标范围定义</w:t>
            </w:r>
          </w:p>
          <w:p>
            <w:pPr>
              <w:spacing w:before="152" w:line="240" w:lineRule="auto"/>
              <w:ind w:left="111"/>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.1</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研究目的</w:t>
            </w:r>
          </w:p>
          <w:p>
            <w:pPr>
              <w:spacing w:before="154"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11"/>
              <w:outlineLvl w:val="0"/>
              <w:rPr>
                <w:rFonts w:ascii="宋体" w:hAnsi="宋体" w:eastAsia="宋体" w:cs="宋体"/>
                <w:sz w:val="20"/>
                <w:szCs w:val="20"/>
              </w:rPr>
            </w:pPr>
            <w:r>
              <w:rPr>
                <w:rFonts w:ascii="Times New Roman" w:hAnsi="Times New Roman" w:eastAsia="Times New Roman" w:cs="Times New Roman"/>
                <w:b/>
                <w:bCs/>
                <w:spacing w:val="10"/>
                <w:sz w:val="20"/>
                <w:szCs w:val="20"/>
              </w:rPr>
              <w:t>3</w:t>
            </w:r>
            <w:r>
              <w:rPr>
                <w:rFonts w:ascii="Times New Roman" w:hAnsi="Times New Roman" w:eastAsia="Times New Roman" w:cs="Times New Roman"/>
                <w:b/>
                <w:bCs/>
                <w:spacing w:val="7"/>
                <w:sz w:val="20"/>
                <w:szCs w:val="20"/>
              </w:rPr>
              <w:t>.2</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声明单位</w:t>
            </w:r>
          </w:p>
          <w:p>
            <w:pPr>
              <w:spacing w:before="151"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before="1" w:line="240" w:lineRule="auto"/>
              <w:ind w:left="111"/>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.3</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系统边界</w:t>
            </w:r>
          </w:p>
          <w:p>
            <w:pPr>
              <w:spacing w:before="152" w:line="240" w:lineRule="auto"/>
              <w:ind w:left="145" w:right="108" w:firstLine="420"/>
              <w:rPr>
                <w:rFonts w:ascii="宋体" w:hAnsi="宋体" w:eastAsia="宋体" w:cs="宋体"/>
                <w:spacing w:val="-19"/>
                <w:w w:val="95"/>
                <w:sz w:val="20"/>
                <w:szCs w:val="20"/>
              </w:rPr>
            </w:pPr>
            <w:r>
              <w:rPr>
                <w:rFonts w:ascii="宋体" w:hAnsi="宋体" w:eastAsia="宋体" w:cs="宋体"/>
                <w:spacing w:val="-19"/>
                <w:w w:val="95"/>
                <w:sz w:val="20"/>
                <w:szCs w:val="20"/>
              </w:rPr>
              <w:t>× × × × × × × × × × × × × × × × × × × × × × × × × × × × × × × × × × × × × × × × × × × × × × × × × × × × × × × × × × × × × × × × × × × × × × × × × × × × × × × × × × × × × × × × × × × × × × × × × × × × × × × × × × × × × × × × × × × × × × × × × × × × × ×</w:t>
            </w:r>
          </w:p>
          <w:p>
            <w:pPr>
              <w:spacing w:line="240" w:lineRule="auto"/>
              <w:ind w:left="536"/>
              <w:rPr>
                <w:rFonts w:ascii="宋体" w:hAnsi="宋体" w:eastAsia="宋体" w:cs="宋体"/>
                <w:spacing w:val="15"/>
                <w:sz w:val="20"/>
                <w:szCs w:val="20"/>
              </w:rPr>
            </w:pPr>
            <w:r>
              <w:rPr>
                <w:rFonts w:ascii="宋体" w:hAnsi="宋体" w:eastAsia="宋体" w:cs="宋体"/>
                <w:spacing w:val="15"/>
                <w:sz w:val="20"/>
                <w:szCs w:val="20"/>
              </w:rPr>
              <w:t>包括但不限于对系统边界的设定、生命周期阶段、单元过程划分的描述。</w:t>
            </w:r>
          </w:p>
          <w:p>
            <w:pPr>
              <w:spacing w:before="153" w:line="240" w:lineRule="auto"/>
              <w:ind w:left="111"/>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.4</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取舍准则</w:t>
            </w:r>
          </w:p>
          <w:p>
            <w:pPr>
              <w:spacing w:before="151"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35"/>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四</w:t>
            </w:r>
            <w:r>
              <w:rPr>
                <w:rFonts w:ascii="宋体" w:hAnsi="宋体" w:eastAsia="宋体" w:cs="宋体"/>
                <w:spacing w:val="8"/>
                <w:sz w:val="20"/>
                <w:szCs w:val="20"/>
                <w14:textOutline w14:w="3795" w14:cap="sq" w14:cmpd="sng">
                  <w14:solidFill>
                    <w14:srgbClr w14:val="000000"/>
                  </w14:solidFill>
                  <w14:prstDash w14:val="solid"/>
                  <w14:bevel/>
                </w14:textOutline>
              </w:rPr>
              <w:t>、数据收集和数据质量控制</w:t>
            </w:r>
          </w:p>
          <w:p>
            <w:pPr>
              <w:spacing w:before="150" w:line="240" w:lineRule="auto"/>
              <w:ind w:left="113"/>
              <w:rPr>
                <w:rFonts w:ascii="宋体" w:hAnsi="宋体" w:eastAsia="宋体" w:cs="宋体"/>
                <w:sz w:val="20"/>
                <w:szCs w:val="20"/>
              </w:rPr>
            </w:pPr>
            <w:r>
              <w:rPr>
                <w:rFonts w:ascii="Times New Roman" w:hAnsi="Times New Roman" w:eastAsia="Times New Roman" w:cs="Times New Roman"/>
                <w:b/>
                <w:bCs/>
                <w:spacing w:val="8"/>
                <w:sz w:val="20"/>
                <w:szCs w:val="20"/>
              </w:rPr>
              <w:t>4.1</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原辅材料获取加工阶</w:t>
            </w:r>
            <w:r>
              <w:rPr>
                <w:rFonts w:ascii="宋体" w:hAnsi="宋体" w:eastAsia="宋体" w:cs="宋体"/>
                <w:spacing w:val="7"/>
                <w:sz w:val="20"/>
                <w:szCs w:val="20"/>
                <w14:textOutline w14:w="3795" w14:cap="sq" w14:cmpd="sng">
                  <w14:solidFill>
                    <w14:srgbClr w14:val="000000"/>
                  </w14:solidFill>
                  <w14:prstDash w14:val="solid"/>
                  <w14:bevel/>
                </w14:textOutline>
              </w:rPr>
              <w:t>段</w:t>
            </w:r>
          </w:p>
          <w:p>
            <w:pPr>
              <w:spacing w:before="155"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13"/>
              <w:outlineLvl w:val="0"/>
              <w:rPr>
                <w:rFonts w:ascii="宋体" w:hAnsi="宋体" w:eastAsia="宋体" w:cs="宋体"/>
                <w:sz w:val="20"/>
                <w:szCs w:val="20"/>
              </w:rPr>
            </w:pPr>
            <w:r>
              <w:rPr>
                <w:rFonts w:ascii="Times New Roman" w:hAnsi="Times New Roman" w:eastAsia="Times New Roman" w:cs="Times New Roman"/>
                <w:b/>
                <w:bCs/>
                <w:spacing w:val="12"/>
                <w:sz w:val="20"/>
                <w:szCs w:val="20"/>
              </w:rPr>
              <w:t>4</w:t>
            </w:r>
            <w:r>
              <w:rPr>
                <w:rFonts w:ascii="Times New Roman" w:hAnsi="Times New Roman" w:eastAsia="Times New Roman" w:cs="Times New Roman"/>
                <w:b/>
                <w:bCs/>
                <w:spacing w:val="7"/>
                <w:sz w:val="20"/>
                <w:szCs w:val="20"/>
              </w:rPr>
              <w:t>.2</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原辅材料运输阶段</w:t>
            </w:r>
          </w:p>
          <w:p>
            <w:pPr>
              <w:spacing w:before="153"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13"/>
              <w:outlineLvl w:val="0"/>
              <w:rPr>
                <w:rFonts w:ascii="宋体" w:hAnsi="宋体" w:eastAsia="宋体" w:cs="宋体"/>
                <w:sz w:val="20"/>
                <w:szCs w:val="20"/>
              </w:rPr>
            </w:pPr>
            <w:r>
              <w:rPr>
                <w:rFonts w:ascii="Times New Roman" w:hAnsi="Times New Roman" w:eastAsia="Times New Roman" w:cs="Times New Roman"/>
                <w:b/>
                <w:bCs/>
                <w:spacing w:val="8"/>
                <w:sz w:val="20"/>
                <w:szCs w:val="20"/>
              </w:rPr>
              <w:t>4</w:t>
            </w:r>
            <w:r>
              <w:rPr>
                <w:rFonts w:ascii="Times New Roman" w:hAnsi="Times New Roman" w:eastAsia="Times New Roman" w:cs="Times New Roman"/>
                <w:b/>
                <w:bCs/>
                <w:spacing w:val="7"/>
                <w:sz w:val="20"/>
                <w:szCs w:val="20"/>
              </w:rPr>
              <w:t>.3</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产品生产阶段</w:t>
            </w:r>
          </w:p>
          <w:p>
            <w:pPr>
              <w:spacing w:before="155"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13"/>
              <w:outlineLvl w:val="0"/>
              <w:rPr>
                <w:rFonts w:hint="eastAsia" w:ascii="宋体" w:hAnsi="宋体" w:eastAsia="宋体" w:cs="宋体"/>
                <w:sz w:val="20"/>
                <w:szCs w:val="20"/>
                <w:lang w:eastAsia="zh-CN"/>
              </w:rPr>
            </w:pPr>
            <w:r>
              <w:rPr>
                <w:rFonts w:ascii="Times New Roman" w:hAnsi="Times New Roman" w:eastAsia="Times New Roman" w:cs="Times New Roman"/>
                <w:b/>
                <w:bCs/>
                <w:spacing w:val="14"/>
                <w:sz w:val="20"/>
                <w:szCs w:val="20"/>
              </w:rPr>
              <w:t>4</w:t>
            </w:r>
            <w:r>
              <w:rPr>
                <w:rFonts w:ascii="Times New Roman" w:hAnsi="Times New Roman" w:eastAsia="Times New Roman" w:cs="Times New Roman"/>
                <w:b/>
                <w:bCs/>
                <w:spacing w:val="10"/>
                <w:sz w:val="20"/>
                <w:szCs w:val="20"/>
              </w:rPr>
              <w:t>.</w:t>
            </w:r>
            <w:r>
              <w:rPr>
                <w:rFonts w:ascii="Times New Roman" w:hAnsi="Times New Roman" w:eastAsia="Times New Roman" w:cs="Times New Roman"/>
                <w:b/>
                <w:bCs/>
                <w:spacing w:val="7"/>
                <w:sz w:val="20"/>
                <w:szCs w:val="20"/>
              </w:rPr>
              <w:t>4</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下游存储与分销阶段</w:t>
            </w:r>
            <w:r>
              <w:rPr>
                <w:rFonts w:hint="eastAsia" w:ascii="宋体" w:hAnsi="宋体" w:cs="宋体"/>
                <w:spacing w:val="7"/>
                <w:sz w:val="20"/>
                <w:szCs w:val="20"/>
                <w:lang w:eastAsia="zh-CN"/>
                <w14:textOutline w14:w="3795" w14:cap="sq" w14:cmpd="sng">
                  <w14:solidFill>
                    <w14:srgbClr w14:val="000000"/>
                  </w14:solidFill>
                  <w14:prstDash w14:val="solid"/>
                  <w14:bevel/>
                </w14:textOutline>
              </w:rPr>
              <w:t xml:space="preserve"> （</w:t>
            </w:r>
            <w:r>
              <w:rPr>
                <w:rFonts w:hint="eastAsia" w:ascii="宋体" w:hAnsi="宋体" w:cs="宋体"/>
                <w:spacing w:val="7"/>
                <w:sz w:val="20"/>
                <w:szCs w:val="20"/>
                <w:lang w:val="en-US" w:eastAsia="zh-CN"/>
                <w14:textOutline w14:w="3795" w14:cap="sq" w14:cmpd="sng">
                  <w14:solidFill>
                    <w14:srgbClr w14:val="000000"/>
                  </w14:solidFill>
                  <w14:prstDash w14:val="solid"/>
                  <w14:bevel/>
                </w14:textOutline>
              </w:rPr>
              <w:t>如有</w:t>
            </w:r>
            <w:r>
              <w:rPr>
                <w:rFonts w:hint="eastAsia" w:ascii="宋体" w:hAnsi="宋体" w:cs="宋体"/>
                <w:spacing w:val="7"/>
                <w:sz w:val="20"/>
                <w:szCs w:val="20"/>
                <w:lang w:eastAsia="zh-CN"/>
                <w14:textOutline w14:w="3795" w14:cap="sq" w14:cmpd="sng">
                  <w14:solidFill>
                    <w14:srgbClr w14:val="000000"/>
                  </w14:solidFill>
                  <w14:prstDash w14:val="solid"/>
                  <w14:bevel/>
                </w14:textOutline>
              </w:rPr>
              <w:t>）</w:t>
            </w:r>
          </w:p>
          <w:p>
            <w:pPr>
              <w:spacing w:before="144" w:line="240" w:lineRule="auto"/>
              <w:ind w:left="145" w:right="108"/>
              <w:rPr>
                <w:rFonts w:ascii="宋体" w:hAnsi="宋体" w:eastAsia="宋体" w:cs="宋体"/>
                <w:sz w:val="20"/>
                <w:szCs w:val="20"/>
              </w:rPr>
            </w:pPr>
            <w:r>
              <w:rPr>
                <w:rFonts w:ascii="宋体" w:hAnsi="宋体" w:eastAsia="宋体" w:cs="宋体"/>
                <w:spacing w:val="-19"/>
                <w:w w:val="95"/>
                <w:position w:val="1"/>
                <w:sz w:val="20"/>
                <w:szCs w:val="20"/>
              </w:rPr>
              <w:t>×</w:t>
            </w:r>
            <w:r>
              <w:rPr>
                <w:rFonts w:ascii="宋体" w:hAnsi="宋体" w:eastAsia="宋体" w:cs="宋体"/>
                <w:spacing w:val="-14"/>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7"/>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1"/>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7"/>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7"/>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7"/>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1"/>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7"/>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60"/>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58"/>
                <w:position w:val="1"/>
                <w:sz w:val="20"/>
                <w:szCs w:val="20"/>
              </w:rPr>
              <w:t xml:space="preserve"> </w:t>
            </w:r>
            <w:r>
              <w:rPr>
                <w:rFonts w:ascii="宋体" w:hAnsi="宋体" w:eastAsia="宋体" w:cs="宋体"/>
                <w:spacing w:val="-19"/>
                <w:w w:val="95"/>
                <w:position w:val="1"/>
                <w:sz w:val="20"/>
                <w:szCs w:val="20"/>
              </w:rPr>
              <w:t>×</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before="1" w:line="240" w:lineRule="auto"/>
              <w:ind w:left="113"/>
              <w:outlineLvl w:val="0"/>
              <w:rPr>
                <w:rFonts w:ascii="宋体" w:hAnsi="宋体" w:eastAsia="宋体" w:cs="宋体"/>
                <w:sz w:val="20"/>
                <w:szCs w:val="20"/>
              </w:rPr>
            </w:pPr>
            <w:r>
              <w:rPr>
                <w:rFonts w:ascii="Times New Roman" w:hAnsi="Times New Roman" w:eastAsia="Times New Roman" w:cs="Times New Roman"/>
                <w:b/>
                <w:bCs/>
                <w:spacing w:val="12"/>
                <w:sz w:val="20"/>
                <w:szCs w:val="20"/>
              </w:rPr>
              <w:t>4</w:t>
            </w:r>
            <w:r>
              <w:rPr>
                <w:rFonts w:ascii="Times New Roman" w:hAnsi="Times New Roman" w:eastAsia="Times New Roman" w:cs="Times New Roman"/>
                <w:b/>
                <w:bCs/>
                <w:spacing w:val="8"/>
                <w:sz w:val="20"/>
                <w:szCs w:val="20"/>
              </w:rPr>
              <w:t>.</w:t>
            </w:r>
            <w:r>
              <w:rPr>
                <w:rFonts w:ascii="Times New Roman" w:hAnsi="Times New Roman" w:eastAsia="Times New Roman" w:cs="Times New Roman"/>
                <w:b/>
                <w:bCs/>
                <w:spacing w:val="6"/>
                <w:sz w:val="20"/>
                <w:szCs w:val="20"/>
              </w:rPr>
              <w:t>5</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数据质量评价</w:t>
            </w:r>
          </w:p>
          <w:p>
            <w:pPr>
              <w:spacing w:before="153"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119"/>
              <w:outlineLvl w:val="0"/>
              <w:rPr>
                <w:rFonts w:hint="default" w:ascii="宋体" w:hAnsi="宋体" w:eastAsia="宋体" w:cs="宋体"/>
                <w:sz w:val="20"/>
                <w:szCs w:val="20"/>
                <w:lang w:val="en-US" w:eastAsia="zh-CN"/>
              </w:rPr>
            </w:pPr>
            <w:r>
              <w:rPr>
                <w:rFonts w:ascii="宋体" w:hAnsi="宋体" w:eastAsia="宋体" w:cs="宋体"/>
                <w:spacing w:val="12"/>
                <w:sz w:val="20"/>
                <w:szCs w:val="20"/>
                <w14:textOutline w14:w="3795" w14:cap="sq" w14:cmpd="sng">
                  <w14:solidFill>
                    <w14:srgbClr w14:val="000000"/>
                  </w14:solidFill>
                  <w14:prstDash w14:val="solid"/>
                  <w14:bevel/>
                </w14:textOutline>
              </w:rPr>
              <w:t>五</w:t>
            </w:r>
            <w:r>
              <w:rPr>
                <w:rFonts w:ascii="宋体" w:hAnsi="宋体" w:eastAsia="宋体" w:cs="宋体"/>
                <w:spacing w:val="9"/>
                <w:sz w:val="20"/>
                <w:szCs w:val="20"/>
                <w14:textOutline w14:w="3795" w14:cap="sq" w14:cmpd="sng">
                  <w14:solidFill>
                    <w14:srgbClr w14:val="000000"/>
                  </w14:solidFill>
                  <w14:prstDash w14:val="solid"/>
                  <w14:bevel/>
                </w14:textOutline>
              </w:rPr>
              <w:t>、产品</w:t>
            </w:r>
            <w:r>
              <w:rPr>
                <w:rFonts w:hint="eastAsia" w:ascii="宋体" w:hAnsi="宋体" w:cs="宋体"/>
                <w:spacing w:val="9"/>
                <w:sz w:val="20"/>
                <w:szCs w:val="20"/>
                <w:lang w:eastAsia="zh-CN"/>
                <w14:textOutline w14:w="3795" w14:cap="sq" w14:cmpd="sng">
                  <w14:solidFill>
                    <w14:srgbClr w14:val="000000"/>
                  </w14:solidFill>
                  <w14:prstDash w14:val="solid"/>
                  <w14:bevel/>
                </w14:textOutline>
              </w:rPr>
              <w:t>碳足迹</w:t>
            </w:r>
            <w:r>
              <w:rPr>
                <w:rFonts w:hint="eastAsia" w:ascii="宋体" w:hAnsi="宋体" w:cs="宋体"/>
                <w:spacing w:val="9"/>
                <w:sz w:val="20"/>
                <w:szCs w:val="20"/>
                <w:lang w:val="en-US" w:eastAsia="zh-CN"/>
                <w14:textOutline w14:w="3795" w14:cap="sq" w14:cmpd="sng">
                  <w14:solidFill>
                    <w14:srgbClr w14:val="000000"/>
                  </w14:solidFill>
                  <w14:prstDash w14:val="solid"/>
                  <w14:bevel/>
                </w14:textOutline>
              </w:rPr>
              <w:t>核算</w:t>
            </w:r>
          </w:p>
          <w:p>
            <w:pPr>
              <w:spacing w:before="143"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536"/>
              <w:rPr>
                <w:rFonts w:ascii="宋体" w:hAnsi="宋体" w:eastAsia="宋体" w:cs="宋体"/>
                <w:sz w:val="20"/>
                <w:szCs w:val="20"/>
              </w:rPr>
            </w:pPr>
            <w:r>
              <w:rPr>
                <w:rFonts w:ascii="宋体" w:hAnsi="宋体" w:eastAsia="宋体" w:cs="宋体"/>
                <w:spacing w:val="18"/>
                <w:sz w:val="20"/>
                <w:szCs w:val="20"/>
              </w:rPr>
              <w:t>包</w:t>
            </w:r>
            <w:r>
              <w:rPr>
                <w:rFonts w:ascii="宋体" w:hAnsi="宋体" w:eastAsia="宋体" w:cs="宋体"/>
                <w:spacing w:val="10"/>
                <w:sz w:val="20"/>
                <w:szCs w:val="20"/>
              </w:rPr>
              <w:t>括</w:t>
            </w:r>
            <w:r>
              <w:rPr>
                <w:rFonts w:ascii="宋体" w:hAnsi="宋体" w:eastAsia="宋体" w:cs="宋体"/>
                <w:spacing w:val="9"/>
                <w:sz w:val="20"/>
                <w:szCs w:val="20"/>
              </w:rPr>
              <w:t>但不限于对产品</w:t>
            </w:r>
            <w:r>
              <w:rPr>
                <w:rFonts w:hint="eastAsia" w:ascii="宋体" w:hAnsi="宋体" w:cs="宋体"/>
                <w:spacing w:val="9"/>
                <w:sz w:val="20"/>
                <w:szCs w:val="20"/>
                <w:lang w:eastAsia="zh-CN"/>
              </w:rPr>
              <w:t>碳足迹评价</w:t>
            </w:r>
            <w:r>
              <w:rPr>
                <w:rFonts w:ascii="宋体" w:hAnsi="宋体" w:eastAsia="宋体" w:cs="宋体"/>
                <w:spacing w:val="9"/>
                <w:sz w:val="20"/>
                <w:szCs w:val="20"/>
              </w:rPr>
              <w:t>数据、核算方法、核算结果的描述。</w:t>
            </w:r>
          </w:p>
          <w:p>
            <w:pPr>
              <w:spacing w:before="153" w:line="240" w:lineRule="auto"/>
              <w:ind w:left="118"/>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六、产品碳足迹评价及改进建</w:t>
            </w:r>
            <w:r>
              <w:rPr>
                <w:rFonts w:ascii="宋体" w:hAnsi="宋体" w:eastAsia="宋体" w:cs="宋体"/>
                <w:spacing w:val="9"/>
                <w:sz w:val="20"/>
                <w:szCs w:val="20"/>
                <w14:textOutline w14:w="3795" w14:cap="sq" w14:cmpd="sng">
                  <w14:solidFill>
                    <w14:srgbClr w14:val="000000"/>
                  </w14:solidFill>
                  <w14:prstDash w14:val="solid"/>
                  <w14:bevel/>
                </w14:textOutline>
              </w:rPr>
              <w:t>议</w:t>
            </w:r>
          </w:p>
          <w:p>
            <w:pPr>
              <w:spacing w:before="146" w:line="240" w:lineRule="auto"/>
              <w:ind w:left="115"/>
              <w:rPr>
                <w:rFonts w:ascii="宋体" w:hAnsi="宋体" w:eastAsia="宋体" w:cs="宋体"/>
                <w:sz w:val="20"/>
                <w:szCs w:val="20"/>
              </w:rPr>
            </w:pPr>
            <w:r>
              <w:rPr>
                <w:rFonts w:ascii="Times New Roman" w:hAnsi="Times New Roman" w:eastAsia="Times New Roman" w:cs="Times New Roman"/>
                <w:b/>
                <w:bCs/>
                <w:spacing w:val="7"/>
                <w:sz w:val="20"/>
                <w:szCs w:val="20"/>
              </w:rPr>
              <w:t>6.1</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产品碳足迹评</w:t>
            </w:r>
            <w:r>
              <w:rPr>
                <w:rFonts w:ascii="宋体" w:hAnsi="宋体" w:eastAsia="宋体" w:cs="宋体"/>
                <w:spacing w:val="6"/>
                <w:sz w:val="20"/>
                <w:szCs w:val="20"/>
                <w14:textOutline w14:w="3795" w14:cap="sq" w14:cmpd="sng">
                  <w14:solidFill>
                    <w14:srgbClr w14:val="000000"/>
                  </w14:solidFill>
                  <w14:prstDash w14:val="solid"/>
                  <w14:bevel/>
                </w14:textOutline>
              </w:rPr>
              <w:t>价</w:t>
            </w:r>
          </w:p>
          <w:p>
            <w:pPr>
              <w:spacing w:before="155"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before="1" w:line="240" w:lineRule="auto"/>
              <w:ind w:firstLine="456" w:firstLineChars="200"/>
              <w:rPr>
                <w:rFonts w:ascii="宋体" w:hAnsi="宋体" w:eastAsia="宋体" w:cs="宋体"/>
                <w:sz w:val="20"/>
                <w:szCs w:val="20"/>
              </w:rPr>
            </w:pPr>
            <w:r>
              <w:rPr>
                <w:rFonts w:ascii="宋体" w:hAnsi="宋体" w:eastAsia="宋体" w:cs="宋体"/>
                <w:spacing w:val="14"/>
                <w:sz w:val="20"/>
                <w:szCs w:val="20"/>
              </w:rPr>
              <w:t>包括但</w:t>
            </w:r>
            <w:r>
              <w:rPr>
                <w:rFonts w:ascii="宋体" w:hAnsi="宋体" w:eastAsia="宋体" w:cs="宋体"/>
                <w:spacing w:val="7"/>
                <w:sz w:val="20"/>
                <w:szCs w:val="20"/>
              </w:rPr>
              <w:t>不限于对评估产品碳足迹在行业同类中水平、碳排放主要生命周期阶段和主要单元过程的描</w:t>
            </w:r>
            <w:r>
              <w:rPr>
                <w:rFonts w:ascii="宋体" w:hAnsi="宋体" w:eastAsia="宋体" w:cs="宋体"/>
                <w:spacing w:val="18"/>
                <w:sz w:val="20"/>
                <w:szCs w:val="20"/>
              </w:rPr>
              <w:t>述，</w:t>
            </w:r>
            <w:r>
              <w:rPr>
                <w:rFonts w:ascii="宋体" w:hAnsi="宋体" w:eastAsia="宋体" w:cs="宋体"/>
                <w:spacing w:val="15"/>
                <w:sz w:val="20"/>
                <w:szCs w:val="20"/>
              </w:rPr>
              <w:t>敏</w:t>
            </w:r>
            <w:r>
              <w:rPr>
                <w:rFonts w:ascii="宋体" w:hAnsi="宋体" w:eastAsia="宋体" w:cs="宋体"/>
                <w:spacing w:val="9"/>
                <w:sz w:val="20"/>
                <w:szCs w:val="20"/>
              </w:rPr>
              <w:t>感性分析和不确定性评估结果，和生命周期结果解释；本研究的局限性，以及未来的改进措施。</w:t>
            </w:r>
          </w:p>
          <w:p>
            <w:pPr>
              <w:spacing w:before="146" w:line="240" w:lineRule="auto"/>
              <w:ind w:left="115"/>
              <w:outlineLvl w:val="0"/>
              <w:rPr>
                <w:rFonts w:ascii="宋体" w:hAnsi="宋体" w:eastAsia="宋体" w:cs="宋体"/>
                <w:sz w:val="20"/>
                <w:szCs w:val="20"/>
              </w:rPr>
            </w:pPr>
            <w:r>
              <w:rPr>
                <w:rFonts w:ascii="Times New Roman" w:hAnsi="Times New Roman" w:eastAsia="Times New Roman" w:cs="Times New Roman"/>
                <w:b/>
                <w:bCs/>
                <w:spacing w:val="14"/>
                <w:sz w:val="20"/>
                <w:szCs w:val="20"/>
              </w:rPr>
              <w:t>6</w:t>
            </w:r>
            <w:r>
              <w:rPr>
                <w:rFonts w:ascii="Times New Roman" w:hAnsi="Times New Roman" w:eastAsia="Times New Roman" w:cs="Times New Roman"/>
                <w:b/>
                <w:bCs/>
                <w:spacing w:val="7"/>
                <w:sz w:val="20"/>
                <w:szCs w:val="20"/>
              </w:rPr>
              <w:t>.2</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产品碳足迹改进建议</w:t>
            </w:r>
          </w:p>
          <w:p>
            <w:pPr>
              <w:spacing w:before="154" w:line="240" w:lineRule="auto"/>
              <w:ind w:left="145" w:right="108" w:firstLine="420"/>
              <w:rPr>
                <w:rFonts w:ascii="宋体" w:hAnsi="宋体" w:eastAsia="宋体" w:cs="宋体"/>
                <w:sz w:val="20"/>
                <w:szCs w:val="20"/>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p>
            <w:pPr>
              <w:spacing w:line="240" w:lineRule="auto"/>
              <w:ind w:left="536"/>
              <w:rPr>
                <w:rFonts w:ascii="宋体" w:hAnsi="宋体" w:eastAsia="宋体" w:cs="宋体"/>
                <w:spacing w:val="9"/>
                <w:sz w:val="20"/>
                <w:szCs w:val="20"/>
              </w:rPr>
            </w:pPr>
            <w:r>
              <w:rPr>
                <w:rFonts w:ascii="宋体" w:hAnsi="宋体" w:eastAsia="宋体" w:cs="宋体"/>
                <w:spacing w:val="13"/>
                <w:sz w:val="20"/>
                <w:szCs w:val="20"/>
              </w:rPr>
              <w:t>包</w:t>
            </w:r>
            <w:r>
              <w:rPr>
                <w:rFonts w:ascii="宋体" w:hAnsi="宋体" w:eastAsia="宋体" w:cs="宋体"/>
                <w:spacing w:val="9"/>
                <w:sz w:val="20"/>
                <w:szCs w:val="20"/>
              </w:rPr>
              <w:t>括但不限于对重点环节提出温室气体减排改进建议。</w:t>
            </w:r>
          </w:p>
          <w:p>
            <w:pPr>
              <w:spacing w:before="153" w:line="240" w:lineRule="auto"/>
              <w:ind w:left="118"/>
              <w:rPr>
                <w:rFonts w:hint="eastAsia" w:ascii="宋体" w:hAnsi="宋体" w:eastAsia="宋体" w:cs="宋体"/>
                <w:spacing w:val="10"/>
                <w:sz w:val="20"/>
                <w:szCs w:val="20"/>
                <w:lang w:eastAsia="zh-CN"/>
                <w14:textOutline w14:w="3795" w14:cap="sq" w14:cmpd="sng">
                  <w14:solidFill>
                    <w14:srgbClr w14:val="000000"/>
                  </w14:solidFill>
                  <w14:prstDash w14:val="solid"/>
                  <w14:bevel/>
                </w14:textOutline>
              </w:rPr>
            </w:pPr>
            <w:r>
              <w:rPr>
                <w:rFonts w:hint="eastAsia" w:ascii="宋体" w:hAnsi="宋体" w:eastAsia="宋体" w:cs="宋体"/>
                <w:spacing w:val="10"/>
                <w:sz w:val="20"/>
                <w:szCs w:val="20"/>
                <w:lang w:val="en-US" w:eastAsia="zh-CN"/>
                <w14:textOutline w14:w="3795" w14:cap="sq" w14:cmpd="sng">
                  <w14:solidFill>
                    <w14:srgbClr w14:val="000000"/>
                  </w14:solidFill>
                  <w14:prstDash w14:val="solid"/>
                  <w14:bevel/>
                </w14:textOutline>
              </w:rPr>
              <w:t>七</w:t>
            </w:r>
            <w:r>
              <w:rPr>
                <w:rFonts w:hint="eastAsia" w:ascii="宋体" w:hAnsi="宋体" w:cs="宋体"/>
                <w:spacing w:val="10"/>
                <w:sz w:val="20"/>
                <w:szCs w:val="20"/>
                <w:lang w:val="en-US" w:eastAsia="zh-CN"/>
                <w14:textOutline w14:w="3795" w14:cap="sq" w14:cmpd="sng">
                  <w14:solidFill>
                    <w14:srgbClr w14:val="000000"/>
                  </w14:solidFill>
                  <w14:prstDash w14:val="solid"/>
                  <w14:bevel/>
                </w14:textOutline>
              </w:rPr>
              <w:t>、</w:t>
            </w:r>
            <w:r>
              <w:rPr>
                <w:rFonts w:hint="eastAsia" w:ascii="宋体" w:hAnsi="宋体" w:eastAsia="宋体" w:cs="宋体"/>
                <w:spacing w:val="10"/>
                <w:sz w:val="20"/>
                <w:szCs w:val="20"/>
                <w14:textOutline w14:w="3795" w14:cap="sq" w14:cmpd="sng">
                  <w14:solidFill>
                    <w14:srgbClr w14:val="000000"/>
                  </w14:solidFill>
                  <w14:prstDash w14:val="solid"/>
                  <w14:bevel/>
                </w14:textOutline>
              </w:rPr>
              <w:t>额外的环境信息</w:t>
            </w:r>
            <w:r>
              <w:rPr>
                <w:rFonts w:hint="eastAsia" w:ascii="宋体" w:hAnsi="宋体" w:eastAsia="宋体" w:cs="宋体"/>
                <w:spacing w:val="10"/>
                <w:sz w:val="20"/>
                <w:szCs w:val="20"/>
                <w:lang w:eastAsia="zh-CN"/>
                <w14:textOutline w14:w="3795" w14:cap="sq" w14:cmpd="sng">
                  <w14:solidFill>
                    <w14:srgbClr w14:val="000000"/>
                  </w14:solidFill>
                  <w14:prstDash w14:val="solid"/>
                  <w14:bevel/>
                </w14:textOutline>
              </w:rPr>
              <w:t>（</w:t>
            </w:r>
            <w:r>
              <w:rPr>
                <w:rFonts w:hint="eastAsia" w:ascii="宋体" w:hAnsi="宋体" w:cs="宋体"/>
                <w:spacing w:val="10"/>
                <w:sz w:val="20"/>
                <w:szCs w:val="20"/>
                <w:lang w:val="en-US" w:eastAsia="zh-CN"/>
                <w14:textOutline w14:w="3795" w14:cap="sq" w14:cmpd="sng">
                  <w14:solidFill>
                    <w14:srgbClr w14:val="000000"/>
                  </w14:solidFill>
                  <w14:prstDash w14:val="solid"/>
                  <w14:bevel/>
                </w14:textOutline>
              </w:rPr>
              <w:t>如有</w:t>
            </w:r>
            <w:r>
              <w:rPr>
                <w:rFonts w:hint="eastAsia" w:ascii="宋体" w:hAnsi="宋体" w:eastAsia="宋体" w:cs="宋体"/>
                <w:spacing w:val="10"/>
                <w:sz w:val="20"/>
                <w:szCs w:val="20"/>
                <w:lang w:eastAsia="zh-CN"/>
                <w14:textOutline w14:w="3795" w14:cap="sq" w14:cmpd="sng">
                  <w14:solidFill>
                    <w14:srgbClr w14:val="000000"/>
                  </w14:solidFill>
                  <w14:prstDash w14:val="solid"/>
                  <w14:bevel/>
                </w14:textOutline>
              </w:rPr>
              <w:t>）</w:t>
            </w:r>
          </w:p>
          <w:p>
            <w:pPr>
              <w:spacing w:before="154" w:line="240" w:lineRule="auto"/>
              <w:ind w:left="145" w:right="108" w:firstLine="420"/>
              <w:rPr>
                <w:rFonts w:hint="eastAsia" w:ascii="宋体" w:hAnsi="宋体" w:eastAsia="宋体" w:cs="宋体"/>
                <w:spacing w:val="9"/>
                <w:sz w:val="20"/>
                <w:szCs w:val="20"/>
                <w:lang w:val="en-US" w:eastAsia="zh-CN"/>
              </w:rPr>
            </w:pP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4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8"/>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57"/>
                <w:sz w:val="20"/>
                <w:szCs w:val="20"/>
              </w:rPr>
              <w:t xml:space="preserve"> </w:t>
            </w:r>
            <w:r>
              <w:rPr>
                <w:rFonts w:ascii="宋体" w:hAnsi="宋体" w:eastAsia="宋体" w:cs="宋体"/>
                <w:spacing w:val="-19"/>
                <w:w w:val="95"/>
                <w:sz w:val="20"/>
                <w:szCs w:val="20"/>
              </w:rPr>
              <w:t>×</w:t>
            </w:r>
            <w:r>
              <w:rPr>
                <w:rFonts w:ascii="宋体" w:hAnsi="宋体" w:eastAsia="宋体" w:cs="宋体"/>
                <w:sz w:val="20"/>
                <w:szCs w:val="20"/>
              </w:rPr>
              <w:t xml:space="preserve"> </w:t>
            </w:r>
            <w:r>
              <w:rPr>
                <w:rFonts w:ascii="宋体" w:hAnsi="宋体" w:eastAsia="宋体" w:cs="宋体"/>
                <w:spacing w:val="-19"/>
                <w:w w:val="95"/>
                <w:sz w:val="20"/>
                <w:szCs w:val="20"/>
              </w:rPr>
              <w:t>×</w:t>
            </w:r>
            <w:r>
              <w:rPr>
                <w:rFonts w:ascii="宋体" w:hAnsi="宋体" w:eastAsia="宋体" w:cs="宋体"/>
                <w:spacing w:val="-19"/>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1"/>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2"/>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r>
              <w:rPr>
                <w:rFonts w:ascii="宋体" w:hAnsi="宋体" w:eastAsia="宋体" w:cs="宋体"/>
                <w:spacing w:val="-63"/>
                <w:sz w:val="20"/>
                <w:szCs w:val="20"/>
              </w:rPr>
              <w:t xml:space="preserve"> </w:t>
            </w:r>
            <w:r>
              <w:rPr>
                <w:rFonts w:ascii="宋体" w:hAnsi="宋体" w:eastAsia="宋体" w:cs="宋体"/>
                <w:spacing w:val="-19"/>
                <w:w w:val="95"/>
                <w:sz w:val="20"/>
                <w:szCs w:val="20"/>
              </w:rPr>
              <w:t>×</w:t>
            </w:r>
            <w:r>
              <w:rPr>
                <w:rFonts w:ascii="宋体" w:hAnsi="宋体" w:eastAsia="宋体" w:cs="宋体"/>
                <w:spacing w:val="-60"/>
                <w:sz w:val="20"/>
                <w:szCs w:val="20"/>
              </w:rPr>
              <w:t xml:space="preserve"> </w:t>
            </w:r>
            <w:r>
              <w:rPr>
                <w:rFonts w:ascii="宋体" w:hAnsi="宋体" w:eastAsia="宋体" w:cs="宋体"/>
                <w:spacing w:val="-19"/>
                <w:w w:val="95"/>
                <w:sz w:val="20"/>
                <w:szCs w:val="20"/>
              </w:rPr>
              <w:t>×</w:t>
            </w:r>
          </w:p>
        </w:tc>
      </w:tr>
    </w:tbl>
    <w:p>
      <w:pPr>
        <w:spacing w:before="63" w:line="229" w:lineRule="auto"/>
        <w:ind w:left="3640"/>
        <w:rPr>
          <w:rFonts w:ascii="黑体" w:hAnsi="黑体" w:eastAsia="黑体" w:cs="黑体"/>
          <w:sz w:val="20"/>
          <w:szCs w:val="20"/>
        </w:rPr>
      </w:pPr>
    </w:p>
    <w:p>
      <w:pPr>
        <w:rPr>
          <w:rFonts w:ascii="黑体" w:hAnsi="黑体" w:eastAsia="黑体" w:cs="黑体"/>
          <w:spacing w:val="6"/>
          <w:sz w:val="20"/>
          <w:szCs w:val="20"/>
        </w:rPr>
      </w:pPr>
      <w:r>
        <w:rPr>
          <w:rFonts w:ascii="黑体" w:hAnsi="黑体" w:eastAsia="黑体" w:cs="黑体"/>
          <w:spacing w:val="6"/>
          <w:sz w:val="20"/>
          <w:szCs w:val="20"/>
        </w:rPr>
        <w:br w:type="page"/>
      </w:r>
    </w:p>
    <w:p>
      <w:pPr>
        <w:pStyle w:val="57"/>
        <w:ind w:firstLine="420"/>
        <w:sectPr>
          <w:pgSz w:w="11906" w:h="16838"/>
          <w:pgMar w:top="1928" w:right="1134" w:bottom="1134" w:left="1134" w:header="1418" w:footer="1134" w:gutter="284"/>
          <w:pgNumType w:start="1"/>
          <w:cols w:space="425" w:num="1"/>
          <w:formProt w:val="0"/>
          <w:docGrid w:type="lines" w:linePitch="312" w:charSpace="0"/>
        </w:sectPr>
      </w:pPr>
      <w:bookmarkStart w:id="53" w:name="_Toc26986532"/>
      <w:bookmarkEnd w:id="53"/>
    </w:p>
    <w:bookmarkEnd w:id="24"/>
    <w:p>
      <w:pPr>
        <w:pStyle w:val="105"/>
        <w:numPr>
          <w:ilvl w:val="1"/>
          <w:numId w:val="0"/>
        </w:numPr>
        <w:bidi w:val="0"/>
        <w:ind w:leftChars="0"/>
        <w:jc w:val="center"/>
      </w:pPr>
      <w:bookmarkStart w:id="54" w:name="_Toc14138"/>
      <w:bookmarkStart w:id="55" w:name="BookMark8"/>
      <w:r>
        <w:t>参  考  文  献</w:t>
      </w:r>
      <w:bookmarkEnd w:id="54"/>
    </w:p>
    <w:p>
      <w:pPr>
        <w:numPr>
          <w:ilvl w:val="0"/>
          <w:numId w:val="0"/>
        </w:numPr>
        <w:spacing w:before="1" w:line="226" w:lineRule="auto"/>
        <w:ind w:firstLine="400" w:firstLineChars="200"/>
        <w:rPr>
          <w:rFonts w:ascii="宋体" w:hAnsi="宋体" w:eastAsia="宋体" w:cs="宋体"/>
          <w:sz w:val="20"/>
          <w:szCs w:val="20"/>
        </w:rPr>
      </w:pPr>
      <w:r>
        <w:rPr>
          <w:rFonts w:ascii="宋体" w:hAnsi="宋体" w:eastAsia="宋体" w:cs="宋体"/>
          <w:sz w:val="20"/>
          <w:szCs w:val="20"/>
        </w:rPr>
        <w:t>[1] DB31/T 1071-2017 产品</w:t>
      </w:r>
      <w:r>
        <w:rPr>
          <w:rFonts w:hint="eastAsia" w:ascii="宋体" w:hAnsi="宋体" w:eastAsia="宋体" w:cs="宋体"/>
          <w:sz w:val="20"/>
          <w:szCs w:val="20"/>
          <w:lang w:eastAsia="zh-CN"/>
        </w:rPr>
        <w:t>碳足迹</w:t>
      </w:r>
      <w:r>
        <w:rPr>
          <w:rFonts w:hint="eastAsia" w:ascii="宋体" w:hAnsi="宋体" w:eastAsia="宋体" w:cs="宋体"/>
          <w:sz w:val="20"/>
          <w:szCs w:val="20"/>
          <w:lang w:val="en-US" w:eastAsia="zh-CN"/>
        </w:rPr>
        <w:t>核算</w:t>
      </w:r>
      <w:r>
        <w:rPr>
          <w:rFonts w:ascii="宋体" w:hAnsi="宋体" w:eastAsia="宋体" w:cs="宋体"/>
          <w:sz w:val="20"/>
          <w:szCs w:val="20"/>
        </w:rPr>
        <w:t>通则</w:t>
      </w:r>
    </w:p>
    <w:p>
      <w:pPr>
        <w:numPr>
          <w:ilvl w:val="0"/>
          <w:numId w:val="0"/>
        </w:numPr>
        <w:spacing w:before="1" w:line="226" w:lineRule="auto"/>
        <w:ind w:firstLine="400" w:firstLineChars="200"/>
        <w:rPr>
          <w:rFonts w:ascii="宋体" w:hAnsi="宋体" w:eastAsia="宋体" w:cs="宋体"/>
          <w:sz w:val="20"/>
          <w:szCs w:val="20"/>
        </w:rPr>
      </w:pPr>
      <w:r>
        <w:rPr>
          <w:rFonts w:ascii="宋体" w:hAnsi="宋体" w:eastAsia="宋体" w:cs="宋体"/>
          <w:sz w:val="20"/>
          <w:szCs w:val="20"/>
        </w:rPr>
        <w:t>[2] DB44/T 1503-2014 家用电器碳足迹评价导则</w:t>
      </w:r>
    </w:p>
    <w:p>
      <w:pPr>
        <w:numPr>
          <w:ilvl w:val="0"/>
          <w:numId w:val="0"/>
        </w:numPr>
        <w:spacing w:before="1" w:line="226" w:lineRule="auto"/>
        <w:ind w:firstLine="400" w:firstLineChars="200"/>
        <w:rPr>
          <w:rFonts w:ascii="宋体" w:hAnsi="宋体" w:eastAsia="宋体" w:cs="宋体"/>
          <w:sz w:val="20"/>
          <w:szCs w:val="20"/>
        </w:rPr>
      </w:pPr>
      <w:r>
        <w:rPr>
          <w:rFonts w:ascii="宋体" w:hAnsi="宋体" w:eastAsia="宋体" w:cs="宋体"/>
          <w:sz w:val="20"/>
          <w:szCs w:val="20"/>
        </w:rPr>
        <w:t>[3] T/GDES 20001-2016 产品碳足迹 评价技术通则</w:t>
      </w:r>
    </w:p>
    <w:p>
      <w:pPr>
        <w:numPr>
          <w:ilvl w:val="0"/>
          <w:numId w:val="0"/>
        </w:numPr>
        <w:spacing w:before="1" w:line="226"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 FZ/T 07003-2019 绿色设计产品评价技术规范 丝绸制品</w:t>
      </w:r>
    </w:p>
    <w:p>
      <w:pPr>
        <w:numPr>
          <w:ilvl w:val="0"/>
          <w:numId w:val="0"/>
        </w:numPr>
        <w:spacing w:before="1" w:line="226"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 PAS 2395:2014  纺织产品全生命周期温室气体排放评估规则(Specification for the assessment of greenhouse gas (GHG) emissions from the whole life cycle of textile products)</w:t>
      </w:r>
    </w:p>
    <w:p>
      <w:pPr>
        <w:numPr>
          <w:ilvl w:val="0"/>
          <w:numId w:val="0"/>
        </w:numPr>
        <w:spacing w:before="1" w:line="226" w:lineRule="auto"/>
        <w:ind w:firstLine="400" w:firstLineChars="200"/>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 xml:space="preserve">[6] </w:t>
      </w:r>
      <w:r>
        <w:rPr>
          <w:rFonts w:ascii="宋体" w:hAnsi="宋体" w:eastAsia="宋体" w:cs="宋体"/>
          <w:sz w:val="20"/>
          <w:szCs w:val="20"/>
        </w:rPr>
        <w:t>PAS 2050:2011 Specification for the assessment of the life cycle greenhouse gas emissions of goods and services</w:t>
      </w:r>
    </w:p>
    <w:p>
      <w:pPr>
        <w:numPr>
          <w:ilvl w:val="0"/>
          <w:numId w:val="0"/>
        </w:numPr>
        <w:spacing w:before="1" w:line="226" w:lineRule="auto"/>
        <w:ind w:firstLine="400" w:firstLineChars="200"/>
        <w:rPr>
          <w:rFonts w:ascii="宋体" w:hAnsi="宋体" w:eastAsia="宋体" w:cs="宋体"/>
          <w:sz w:val="20"/>
          <w:szCs w:val="20"/>
        </w:rPr>
      </w:pPr>
      <w:r>
        <w:rPr>
          <w:rFonts w:hint="eastAsia" w:ascii="宋体" w:hAnsi="宋体" w:eastAsia="宋体" w:cs="宋体"/>
          <w:sz w:val="20"/>
          <w:szCs w:val="20"/>
          <w:lang w:val="en-US" w:eastAsia="zh-CN"/>
        </w:rPr>
        <w:t>[7</w:t>
      </w:r>
      <w:r>
        <w:rPr>
          <w:rFonts w:ascii="宋体" w:hAnsi="宋体" w:eastAsia="宋体" w:cs="宋体"/>
          <w:sz w:val="20"/>
          <w:szCs w:val="20"/>
        </w:rPr>
        <w:t xml:space="preserve">] </w:t>
      </w:r>
      <w:r>
        <w:rPr>
          <w:rFonts w:hint="eastAsia" w:ascii="宋体" w:hAnsi="宋体" w:cs="宋体"/>
          <w:sz w:val="20"/>
          <w:szCs w:val="20"/>
          <w:lang w:val="en-US" w:eastAsia="zh-CN"/>
        </w:rPr>
        <w:t>ISO 14064—3:2019  温室气体 第3部分：温室气体声明的审定与核查指南规范(Greenhouse gases - Part 3</w:t>
      </w:r>
      <w:r>
        <w:rPr>
          <w:rFonts w:ascii="宋体" w:hAnsi="宋体" w:eastAsia="宋体" w:cs="宋体"/>
          <w:sz w:val="20"/>
          <w:szCs w:val="20"/>
        </w:rPr>
        <w:t>:</w:t>
      </w:r>
      <w:r>
        <w:rPr>
          <w:rFonts w:hint="eastAsia" w:ascii="宋体" w:hAnsi="宋体" w:cs="宋体"/>
          <w:sz w:val="20"/>
          <w:szCs w:val="20"/>
          <w:lang w:val="en-US" w:eastAsia="zh-CN"/>
        </w:rPr>
        <w:t>Specification with guidance for the verification and validation of greenhouse gas statements)</w:t>
      </w:r>
    </w:p>
    <w:p>
      <w:pPr>
        <w:numPr>
          <w:ilvl w:val="0"/>
          <w:numId w:val="0"/>
        </w:numPr>
        <w:spacing w:before="1" w:line="226" w:lineRule="auto"/>
        <w:ind w:firstLine="400" w:firstLineChars="200"/>
        <w:rPr>
          <w:rFonts w:ascii="宋体" w:hAnsi="宋体" w:eastAsia="宋体" w:cs="宋体"/>
          <w:sz w:val="20"/>
          <w:szCs w:val="20"/>
        </w:rPr>
      </w:pPr>
      <w:r>
        <w:rPr>
          <w:rFonts w:ascii="宋体" w:hAnsi="宋体" w:eastAsia="宋体" w:cs="宋体"/>
          <w:sz w:val="20"/>
          <w:szCs w:val="20"/>
        </w:rPr>
        <w:t>[</w:t>
      </w:r>
      <w:r>
        <w:rPr>
          <w:rFonts w:hint="eastAsia" w:ascii="宋体" w:hAnsi="宋体" w:eastAsia="宋体" w:cs="宋体"/>
          <w:sz w:val="20"/>
          <w:szCs w:val="20"/>
          <w:lang w:val="en-US" w:eastAsia="zh-CN"/>
        </w:rPr>
        <w:t>8</w:t>
      </w:r>
      <w:r>
        <w:rPr>
          <w:rFonts w:ascii="宋体" w:hAnsi="宋体" w:eastAsia="宋体" w:cs="宋体"/>
          <w:sz w:val="20"/>
          <w:szCs w:val="20"/>
        </w:rPr>
        <w:t>] Suggestions for updating the Product Environmental Footprint (PEF) method</w:t>
      </w:r>
      <w:r>
        <w:rPr>
          <w:rFonts w:hint="eastAsia" w:ascii="宋体" w:hAnsi="宋体" w:cs="宋体"/>
          <w:spacing w:val="13"/>
          <w:sz w:val="20"/>
          <w:szCs w:val="20"/>
          <w:lang w:val="en-US" w:eastAsia="zh-CN"/>
        </w:rPr>
        <w:t xml:space="preserve">, </w:t>
      </w:r>
      <w:r>
        <w:rPr>
          <w:rFonts w:ascii="宋体" w:hAnsi="宋体" w:eastAsia="宋体" w:cs="宋体"/>
          <w:sz w:val="20"/>
          <w:szCs w:val="20"/>
        </w:rPr>
        <w:t>EUR 29682</w:t>
      </w:r>
    </w:p>
    <w:p>
      <w:pPr>
        <w:numPr>
          <w:ilvl w:val="0"/>
          <w:numId w:val="0"/>
        </w:numPr>
        <w:spacing w:before="1" w:line="226" w:lineRule="auto"/>
        <w:rPr>
          <w:rFonts w:ascii="宋体" w:hAnsi="宋体" w:eastAsia="宋体" w:cs="宋体"/>
          <w:sz w:val="20"/>
          <w:szCs w:val="20"/>
        </w:rPr>
      </w:pPr>
      <w:r>
        <w:rPr>
          <w:rFonts w:ascii="宋体" w:hAnsi="宋体" w:eastAsia="宋体" w:cs="宋体"/>
          <w:sz w:val="20"/>
          <w:szCs w:val="20"/>
        </w:rPr>
        <w:t>EN</w:t>
      </w:r>
      <w:r>
        <w:rPr>
          <w:rFonts w:hint="eastAsia" w:ascii="宋体" w:hAnsi="宋体" w:cs="宋体"/>
          <w:spacing w:val="13"/>
          <w:sz w:val="20"/>
          <w:szCs w:val="20"/>
          <w:lang w:val="en-US" w:eastAsia="zh-CN"/>
        </w:rPr>
        <w:t xml:space="preserve">, </w:t>
      </w:r>
      <w:r>
        <w:rPr>
          <w:rFonts w:ascii="宋体" w:hAnsi="宋体" w:eastAsia="宋体" w:cs="宋体"/>
          <w:sz w:val="20"/>
          <w:szCs w:val="20"/>
        </w:rPr>
        <w:t>2019</w:t>
      </w:r>
    </w:p>
    <w:p>
      <w:pPr>
        <w:numPr>
          <w:ilvl w:val="0"/>
          <w:numId w:val="0"/>
        </w:numPr>
        <w:spacing w:before="1" w:line="226" w:lineRule="auto"/>
        <w:ind w:firstLine="400" w:firstLineChars="200"/>
        <w:rPr>
          <w:rFonts w:hint="default" w:ascii="宋体" w:hAnsi="宋体" w:eastAsia="宋体" w:cs="宋体"/>
          <w:sz w:val="20"/>
          <w:szCs w:val="20"/>
          <w:lang w:val="en-US" w:eastAsia="zh-CN"/>
        </w:rPr>
      </w:pPr>
      <w:r>
        <w:rPr>
          <w:rFonts w:hint="eastAsia" w:ascii="宋体" w:hAnsi="宋体" w:cs="宋体"/>
          <w:sz w:val="20"/>
          <w:szCs w:val="20"/>
          <w:lang w:val="en-US" w:eastAsia="zh-CN"/>
        </w:rPr>
        <w:t xml:space="preserve">[9] </w:t>
      </w:r>
      <w:r>
        <w:rPr>
          <w:rFonts w:hint="eastAsia" w:ascii="宋体" w:hAnsi="宋体" w:eastAsia="宋体" w:cs="宋体"/>
          <w:sz w:val="20"/>
          <w:szCs w:val="20"/>
          <w:lang w:val="en-US" w:eastAsia="zh-CN"/>
        </w:rPr>
        <w:t>2006年IPCC国家温室气体清单指南（2019修订版）</w:t>
      </w:r>
      <w:r>
        <w:rPr>
          <w:rFonts w:hint="default" w:ascii="宋体" w:hAnsi="宋体" w:eastAsia="宋体" w:cs="宋体"/>
          <w:sz w:val="20"/>
          <w:szCs w:val="20"/>
          <w:lang w:val="en-US" w:eastAsia="zh-CN"/>
        </w:rPr>
        <w:t>(</w:t>
      </w:r>
      <w:r>
        <w:rPr>
          <w:rFonts w:hint="eastAsia" w:ascii="宋体" w:hAnsi="宋体" w:eastAsia="宋体" w:cs="宋体"/>
          <w:sz w:val="20"/>
          <w:szCs w:val="20"/>
          <w:lang w:val="en-US" w:eastAsia="zh-CN"/>
        </w:rPr>
        <w:t>2019 Refinement to the 2006 IPCC Guidelines for National Greenhouse Gas Inventories</w:t>
      </w:r>
      <w:r>
        <w:rPr>
          <w:rFonts w:hint="default" w:ascii="宋体" w:hAnsi="宋体" w:eastAsia="宋体" w:cs="宋体"/>
          <w:sz w:val="20"/>
          <w:szCs w:val="20"/>
          <w:lang w:val="en-US" w:eastAsia="zh-CN"/>
        </w:rPr>
        <w:t>)</w:t>
      </w:r>
    </w:p>
    <w:p>
      <w:pPr>
        <w:numPr>
          <w:ilvl w:val="0"/>
          <w:numId w:val="0"/>
        </w:numPr>
        <w:spacing w:before="1" w:line="226" w:lineRule="auto"/>
        <w:ind w:firstLine="400" w:firstLineChars="200"/>
        <w:rPr>
          <w:rFonts w:ascii="宋体" w:hAnsi="宋体" w:eastAsia="宋体" w:cs="宋体"/>
          <w:spacing w:val="13"/>
          <w:sz w:val="20"/>
          <w:szCs w:val="20"/>
        </w:rPr>
      </w:pPr>
      <w:r>
        <w:rPr>
          <w:rFonts w:hint="eastAsia" w:ascii="宋体" w:hAnsi="宋体" w:cs="宋体"/>
          <w:sz w:val="20"/>
          <w:szCs w:val="20"/>
          <w:lang w:val="en-US" w:eastAsia="zh-CN"/>
        </w:rPr>
        <w:t xml:space="preserve">[10] </w:t>
      </w:r>
      <w:r>
        <w:rPr>
          <w:rFonts w:ascii="宋体" w:hAnsi="宋体" w:eastAsia="宋体" w:cs="宋体"/>
          <w:sz w:val="20"/>
          <w:szCs w:val="20"/>
        </w:rPr>
        <w:t>PRODUCT</w:t>
      </w:r>
      <w:r>
        <w:rPr>
          <w:rFonts w:ascii="宋体" w:hAnsi="宋体" w:eastAsia="宋体" w:cs="宋体"/>
          <w:spacing w:val="13"/>
          <w:sz w:val="20"/>
          <w:szCs w:val="20"/>
        </w:rPr>
        <w:t xml:space="preserve"> </w:t>
      </w:r>
      <w:r>
        <w:rPr>
          <w:rFonts w:ascii="宋体" w:hAnsi="宋体" w:eastAsia="宋体" w:cs="宋体"/>
          <w:sz w:val="20"/>
          <w:szCs w:val="20"/>
        </w:rPr>
        <w:t>CATEGORY</w:t>
      </w:r>
      <w:r>
        <w:rPr>
          <w:rFonts w:ascii="宋体" w:hAnsi="宋体" w:eastAsia="宋体" w:cs="宋体"/>
          <w:spacing w:val="13"/>
          <w:sz w:val="20"/>
          <w:szCs w:val="20"/>
        </w:rPr>
        <w:t xml:space="preserve"> </w:t>
      </w:r>
      <w:r>
        <w:rPr>
          <w:rFonts w:ascii="宋体" w:hAnsi="宋体" w:eastAsia="宋体" w:cs="宋体"/>
          <w:sz w:val="20"/>
          <w:szCs w:val="20"/>
        </w:rPr>
        <w:t>RULES</w:t>
      </w:r>
      <w:r>
        <w:rPr>
          <w:rFonts w:ascii="宋体" w:hAnsi="宋体" w:eastAsia="宋体" w:cs="宋体"/>
          <w:spacing w:val="13"/>
          <w:sz w:val="20"/>
          <w:szCs w:val="20"/>
        </w:rPr>
        <w:t xml:space="preserve"> (</w:t>
      </w:r>
      <w:r>
        <w:rPr>
          <w:rFonts w:ascii="宋体" w:hAnsi="宋体" w:eastAsia="宋体" w:cs="宋体"/>
          <w:sz w:val="20"/>
          <w:szCs w:val="20"/>
        </w:rPr>
        <w:t>PCR</w:t>
      </w:r>
      <w:r>
        <w:rPr>
          <w:rFonts w:ascii="宋体" w:hAnsi="宋体" w:eastAsia="宋体" w:cs="宋体"/>
          <w:spacing w:val="13"/>
          <w:sz w:val="20"/>
          <w:szCs w:val="20"/>
        </w:rPr>
        <w:t>)</w:t>
      </w:r>
      <w:r>
        <w:rPr>
          <w:rFonts w:hint="eastAsia" w:ascii="宋体" w:hAnsi="宋体" w:cs="宋体"/>
          <w:spacing w:val="13"/>
          <w:sz w:val="20"/>
          <w:szCs w:val="20"/>
          <w:lang w:val="en-US" w:eastAsia="zh-CN"/>
        </w:rPr>
        <w:t xml:space="preserve">, </w:t>
      </w:r>
      <w:r>
        <w:rPr>
          <w:rFonts w:ascii="宋体" w:hAnsi="宋体" w:eastAsia="宋体" w:cs="宋体"/>
          <w:sz w:val="20"/>
          <w:szCs w:val="20"/>
        </w:rPr>
        <w:t>FABRICS</w:t>
      </w:r>
      <w:r>
        <w:rPr>
          <w:rFonts w:hint="eastAsia" w:ascii="宋体" w:hAnsi="宋体" w:cs="宋体"/>
          <w:spacing w:val="13"/>
          <w:sz w:val="20"/>
          <w:szCs w:val="20"/>
          <w:lang w:val="en-US" w:eastAsia="zh-CN"/>
        </w:rPr>
        <w:t xml:space="preserve">, </w:t>
      </w:r>
      <w:r>
        <w:rPr>
          <w:rFonts w:ascii="宋体" w:hAnsi="宋体" w:eastAsia="宋体" w:cs="宋体"/>
          <w:sz w:val="20"/>
          <w:szCs w:val="20"/>
        </w:rPr>
        <w:t>International</w:t>
      </w:r>
      <w:r>
        <w:rPr>
          <w:rFonts w:ascii="宋体" w:hAnsi="宋体" w:eastAsia="宋体" w:cs="宋体"/>
          <w:spacing w:val="13"/>
          <w:sz w:val="20"/>
          <w:szCs w:val="20"/>
        </w:rPr>
        <w:t xml:space="preserve"> </w:t>
      </w:r>
      <w:r>
        <w:rPr>
          <w:rFonts w:ascii="宋体" w:hAnsi="宋体" w:eastAsia="宋体" w:cs="宋体"/>
          <w:sz w:val="20"/>
          <w:szCs w:val="20"/>
        </w:rPr>
        <w:t>EPD</w:t>
      </w:r>
      <w:r>
        <w:rPr>
          <w:rFonts w:hint="eastAsia" w:ascii="宋体" w:hAnsi="宋体" w:cs="宋体"/>
          <w:spacing w:val="13"/>
          <w:sz w:val="20"/>
          <w:szCs w:val="20"/>
          <w:lang w:val="en-US" w:eastAsia="zh-CN"/>
        </w:rPr>
        <w:t xml:space="preserve">, </w:t>
      </w:r>
      <w:r>
        <w:rPr>
          <w:rFonts w:ascii="宋体" w:hAnsi="宋体" w:eastAsia="宋体" w:cs="宋体"/>
          <w:sz w:val="20"/>
          <w:szCs w:val="20"/>
        </w:rPr>
        <w:t>PCR</w:t>
      </w:r>
      <w:r>
        <w:rPr>
          <w:rFonts w:ascii="宋体" w:hAnsi="宋体" w:eastAsia="宋体" w:cs="宋体"/>
          <w:spacing w:val="13"/>
          <w:sz w:val="20"/>
          <w:szCs w:val="20"/>
        </w:rPr>
        <w:t xml:space="preserve"> 2022:04</w:t>
      </w:r>
    </w:p>
    <w:p>
      <w:pPr>
        <w:numPr>
          <w:ilvl w:val="0"/>
          <w:numId w:val="0"/>
        </w:numPr>
        <w:spacing w:before="1" w:line="226" w:lineRule="auto"/>
        <w:rPr>
          <w:rFonts w:ascii="宋体" w:hAnsi="宋体" w:eastAsia="宋体" w:cs="宋体"/>
          <w:spacing w:val="13"/>
          <w:sz w:val="20"/>
          <w:szCs w:val="20"/>
        </w:rPr>
      </w:pPr>
    </w:p>
    <w:p>
      <w:pPr>
        <w:jc w:val="center"/>
      </w:pPr>
      <w:r>
        <w:rPr>
          <w:rFonts w:hint="eastAsia"/>
        </w:rPr>
        <w:drawing>
          <wp:inline distT="0" distB="0" distL="0" distR="0">
            <wp:extent cx="1485900" cy="317500"/>
            <wp:effectExtent l="0" t="0" r="0" b="635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5">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5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altName w:val="DejaVu Math TeX Gyre"/>
    <w:panose1 w:val="02040503050406030204"/>
    <w:charset w:val="00"/>
    <w:family w:val="roman"/>
    <w:pitch w:val="default"/>
    <w:sig w:usb0="00000000" w:usb1="00000000" w:usb2="02000000" w:usb3="00000000" w:csb0="2000019F" w:csb1="0000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NanumGothic">
    <w:panose1 w:val="020D0604000000000000"/>
    <w:charset w:val="81"/>
    <w:family w:val="auto"/>
    <w:pitch w:val="default"/>
    <w:sig w:usb0="900002A7" w:usb1="29D7FCFB" w:usb2="00000010" w:usb3="00000000" w:csb0="0008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3306/T XXXX—2024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3306/T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130E3"/>
    <w:multiLevelType w:val="multilevel"/>
    <w:tmpl w:val="9F7130E3"/>
    <w:lvl w:ilvl="0" w:tentative="0">
      <w:start w:val="1"/>
      <w:numFmt w:val="lowerLetter"/>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1F97E33"/>
    <w:multiLevelType w:val="multilevel"/>
    <w:tmpl w:val="21F97E33"/>
    <w:lvl w:ilvl="0" w:tentative="0">
      <w:start w:val="1"/>
      <w:numFmt w:val="lowerLetter"/>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EF0C0B1"/>
    <w:multiLevelType w:val="multilevel"/>
    <w:tmpl w:val="2EF0C0B1"/>
    <w:lvl w:ilvl="0" w:tentative="0">
      <w:start w:val="1"/>
      <w:numFmt w:val="lowerLetter"/>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33F08C51"/>
    <w:multiLevelType w:val="multilevel"/>
    <w:tmpl w:val="33F08C51"/>
    <w:lvl w:ilvl="0" w:tentative="0">
      <w:start w:val="1"/>
      <w:numFmt w:val="lowerLetter"/>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78C88B1"/>
    <w:multiLevelType w:val="multilevel"/>
    <w:tmpl w:val="478C88B1"/>
    <w:lvl w:ilvl="0" w:tentative="0">
      <w:start w:val="3"/>
      <w:numFmt w:val="upperLetter"/>
      <w:lvlText w:val="%1"/>
      <w:lvlJc w:val="left"/>
      <w:pPr>
        <w:ind w:left="744" w:hanging="526"/>
      </w:pPr>
      <w:rPr>
        <w:rFonts w:hint="default" w:ascii="Times New Roman" w:hAnsi="Times New Roman" w:cs="Times New Roman"/>
      </w:rPr>
    </w:lvl>
    <w:lvl w:ilvl="1" w:tentative="0">
      <w:start w:val="1"/>
      <w:numFmt w:val="decimal"/>
      <w:lvlText w:val="%1.%2"/>
      <w:lvlJc w:val="left"/>
      <w:pPr>
        <w:ind w:left="744" w:hanging="526"/>
      </w:pPr>
      <w:rPr>
        <w:rFonts w:hint="eastAsia" w:ascii="黑体" w:hAnsi="宋体" w:eastAsia="黑体" w:cs="黑体"/>
        <w:spacing w:val="0"/>
        <w:sz w:val="21"/>
        <w:szCs w:val="21"/>
      </w:rPr>
    </w:lvl>
    <w:lvl w:ilvl="2" w:tentative="0">
      <w:start w:val="0"/>
      <w:numFmt w:val="bullet"/>
      <w:lvlText w:val="•"/>
      <w:lvlJc w:val="left"/>
      <w:pPr>
        <w:ind w:left="2589" w:hanging="526"/>
      </w:pPr>
      <w:rPr>
        <w:rFonts w:hint="default" w:ascii="Times New Roman" w:hAnsi="Times New Roman" w:cs="Times New Roman"/>
      </w:rPr>
    </w:lvl>
    <w:lvl w:ilvl="3" w:tentative="0">
      <w:start w:val="0"/>
      <w:numFmt w:val="bullet"/>
      <w:lvlText w:val="•"/>
      <w:lvlJc w:val="left"/>
      <w:pPr>
        <w:ind w:left="3513" w:hanging="526"/>
      </w:pPr>
      <w:rPr>
        <w:rFonts w:hint="default" w:ascii="Times New Roman" w:hAnsi="Times New Roman" w:cs="Times New Roman"/>
      </w:rPr>
    </w:lvl>
    <w:lvl w:ilvl="4" w:tentative="0">
      <w:start w:val="0"/>
      <w:numFmt w:val="bullet"/>
      <w:lvlText w:val="•"/>
      <w:lvlJc w:val="left"/>
      <w:pPr>
        <w:ind w:left="4438" w:hanging="526"/>
      </w:pPr>
      <w:rPr>
        <w:rFonts w:hint="default" w:ascii="Times New Roman" w:hAnsi="Times New Roman" w:cs="Times New Roman"/>
      </w:rPr>
    </w:lvl>
    <w:lvl w:ilvl="5" w:tentative="0">
      <w:start w:val="0"/>
      <w:numFmt w:val="bullet"/>
      <w:lvlText w:val="•"/>
      <w:lvlJc w:val="left"/>
      <w:pPr>
        <w:ind w:left="5363" w:hanging="526"/>
      </w:pPr>
      <w:rPr>
        <w:rFonts w:hint="default" w:ascii="Times New Roman" w:hAnsi="Times New Roman" w:cs="Times New Roman"/>
      </w:rPr>
    </w:lvl>
    <w:lvl w:ilvl="6" w:tentative="0">
      <w:start w:val="0"/>
      <w:numFmt w:val="bullet"/>
      <w:lvlText w:val="•"/>
      <w:lvlJc w:val="left"/>
      <w:pPr>
        <w:ind w:left="6287" w:hanging="526"/>
      </w:pPr>
      <w:rPr>
        <w:rFonts w:hint="default" w:ascii="Times New Roman" w:hAnsi="Times New Roman" w:cs="Times New Roman"/>
      </w:rPr>
    </w:lvl>
    <w:lvl w:ilvl="7" w:tentative="0">
      <w:start w:val="0"/>
      <w:numFmt w:val="bullet"/>
      <w:lvlText w:val="•"/>
      <w:lvlJc w:val="left"/>
      <w:pPr>
        <w:ind w:left="7212" w:hanging="526"/>
      </w:pPr>
      <w:rPr>
        <w:rFonts w:hint="default" w:ascii="Times New Roman" w:hAnsi="Times New Roman" w:cs="Times New Roman"/>
      </w:rPr>
    </w:lvl>
    <w:lvl w:ilvl="8" w:tentative="0">
      <w:start w:val="0"/>
      <w:numFmt w:val="bullet"/>
      <w:lvlText w:val="•"/>
      <w:lvlJc w:val="left"/>
      <w:pPr>
        <w:ind w:left="8136" w:hanging="526"/>
      </w:pPr>
      <w:rPr>
        <w:rFonts w:hint="default" w:ascii="Times New Roman" w:hAnsi="Times New Roman" w:cs="Times New Roman"/>
      </w:rPr>
    </w:lvl>
  </w:abstractNum>
  <w:abstractNum w:abstractNumId="18">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42D6768"/>
    <w:multiLevelType w:val="multilevel"/>
    <w:tmpl w:val="642D6768"/>
    <w:lvl w:ilvl="0" w:tentative="0">
      <w:start w:val="1"/>
      <w:numFmt w:val="lowerLetter"/>
      <w:lvlText w:val="%1)"/>
      <w:lvlJc w:val="left"/>
      <w:pPr>
        <w:tabs>
          <w:tab w:val="left" w:pos="846"/>
        </w:tabs>
        <w:ind w:left="845" w:hanging="419"/>
      </w:pPr>
      <w:rPr>
        <w:rFonts w:hint="eastAsia" w:ascii="宋体" w:hAns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7">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9">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74B6563"/>
    <w:multiLevelType w:val="multilevel"/>
    <w:tmpl w:val="674B6563"/>
    <w:lvl w:ilvl="0" w:tentative="0">
      <w:start w:val="1"/>
      <w:numFmt w:val="lowerLetter"/>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2">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5">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7">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E351628"/>
    <w:multiLevelType w:val="multilevel"/>
    <w:tmpl w:val="7E351628"/>
    <w:lvl w:ilvl="0" w:tentative="0">
      <w:start w:val="1"/>
      <w:numFmt w:val="lowerLetter"/>
      <w:pStyle w:val="234"/>
      <w:lvlText w:val="%1)"/>
      <w:lvlJc w:val="left"/>
      <w:pPr>
        <w:tabs>
          <w:tab w:val="left" w:pos="846"/>
        </w:tabs>
        <w:ind w:left="845" w:hanging="419"/>
      </w:pPr>
      <w:rPr>
        <w:rFonts w:hint="eastAsia" w:ascii="宋体" w:hAnsi="宋体" w:eastAsia="宋体"/>
        <w:b w:val="0"/>
        <w:i w:val="0"/>
        <w:sz w:val="22"/>
        <w:szCs w:val="21"/>
      </w:rPr>
    </w:lvl>
    <w:lvl w:ilvl="1" w:tentative="0">
      <w:start w:val="1"/>
      <w:numFmt w:val="decimal"/>
      <w:pStyle w:val="232"/>
      <w:lvlText w:val="%2)"/>
      <w:lvlJc w:val="left"/>
      <w:pPr>
        <w:tabs>
          <w:tab w:val="left" w:pos="1260"/>
        </w:tabs>
        <w:ind w:left="1259" w:hanging="419"/>
      </w:pPr>
      <w:rPr>
        <w:rFonts w:hint="eastAsia"/>
      </w:rPr>
    </w:lvl>
    <w:lvl w:ilvl="2" w:tentative="0">
      <w:start w:val="1"/>
      <w:numFmt w:val="decimal"/>
      <w:pStyle w:val="233"/>
      <w:lvlText w:val="(%3)"/>
      <w:lvlJc w:val="left"/>
      <w:pPr>
        <w:tabs>
          <w:tab w:val="left" w:pos="0"/>
        </w:tabs>
        <w:ind w:left="1679" w:hanging="420"/>
      </w:pPr>
      <w:rPr>
        <w:rFonts w:hint="eastAsia" w:ascii="宋体" w:hAns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34"/>
  </w:num>
  <w:num w:numId="3">
    <w:abstractNumId w:val="6"/>
  </w:num>
  <w:num w:numId="4">
    <w:abstractNumId w:val="29"/>
  </w:num>
  <w:num w:numId="5">
    <w:abstractNumId w:val="23"/>
  </w:num>
  <w:num w:numId="6">
    <w:abstractNumId w:val="18"/>
  </w:num>
  <w:num w:numId="7">
    <w:abstractNumId w:val="9"/>
  </w:num>
  <w:num w:numId="8">
    <w:abstractNumId w:val="4"/>
  </w:num>
  <w:num w:numId="9">
    <w:abstractNumId w:val="10"/>
  </w:num>
  <w:num w:numId="10">
    <w:abstractNumId w:val="21"/>
  </w:num>
  <w:num w:numId="11">
    <w:abstractNumId w:val="32"/>
  </w:num>
  <w:num w:numId="12">
    <w:abstractNumId w:val="14"/>
  </w:num>
  <w:num w:numId="13">
    <w:abstractNumId w:val="16"/>
  </w:num>
  <w:num w:numId="14">
    <w:abstractNumId w:val="8"/>
  </w:num>
  <w:num w:numId="15">
    <w:abstractNumId w:val="24"/>
  </w:num>
  <w:num w:numId="16">
    <w:abstractNumId w:val="27"/>
  </w:num>
  <w:num w:numId="17">
    <w:abstractNumId w:val="22"/>
  </w:num>
  <w:num w:numId="18">
    <w:abstractNumId w:val="36"/>
  </w:num>
  <w:num w:numId="19">
    <w:abstractNumId w:val="20"/>
  </w:num>
  <w:num w:numId="20">
    <w:abstractNumId w:val="2"/>
  </w:num>
  <w:num w:numId="21">
    <w:abstractNumId w:val="12"/>
  </w:num>
  <w:num w:numId="22">
    <w:abstractNumId w:val="37"/>
  </w:num>
  <w:num w:numId="23">
    <w:abstractNumId w:val="26"/>
  </w:num>
  <w:num w:numId="24">
    <w:abstractNumId w:val="7"/>
  </w:num>
  <w:num w:numId="25">
    <w:abstractNumId w:val="33"/>
  </w:num>
  <w:num w:numId="26">
    <w:abstractNumId w:val="35"/>
  </w:num>
  <w:num w:numId="27">
    <w:abstractNumId w:val="3"/>
  </w:num>
  <w:num w:numId="28">
    <w:abstractNumId w:val="5"/>
  </w:num>
  <w:num w:numId="29">
    <w:abstractNumId w:val="19"/>
  </w:num>
  <w:num w:numId="30">
    <w:abstractNumId w:val="31"/>
  </w:num>
  <w:num w:numId="31">
    <w:abstractNumId w:val="28"/>
  </w:num>
  <w:num w:numId="32">
    <w:abstractNumId w:val="3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13"/>
  </w:num>
  <w:num w:numId="59">
    <w:abstractNumId w:val="30"/>
  </w:num>
  <w:num w:numId="60">
    <w:abstractNumId w:val="0"/>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attachedTemplate r:id="rId1"/>
  <w:documentProtection w:edit="forms" w:enforcement="1" w:cryptProviderType="rsaAES" w:cryptAlgorithmClass="hash" w:cryptAlgorithmType="typeAny" w:cryptAlgorithmSid="14" w:cryptSpinCount="100000" w:hash="3tHy9o8toLaFx5QjCL1rmlLySqt50FtW+AC8RCD29ZWxkawRGVZVwU9kTvpi3KL8ELpwBrj/XtwLEvo7TCI+ag==" w:salt="rDt76fgk09g1J7SN768WqQ=="/>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iZGM1NTU5Y2Q2YjdiMmUxMzczMDQ0ODdlMTQ0ZWUifQ=="/>
  </w:docVars>
  <w:rsids>
    <w:rsidRoot w:val="00B32C4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86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FC3"/>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1DA"/>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343"/>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959"/>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530"/>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59"/>
    <w:rsid w:val="00337162"/>
    <w:rsid w:val="0034194F"/>
    <w:rsid w:val="00344605"/>
    <w:rsid w:val="003474AA"/>
    <w:rsid w:val="00350D1D"/>
    <w:rsid w:val="00352C83"/>
    <w:rsid w:val="003615D2"/>
    <w:rsid w:val="0036429C"/>
    <w:rsid w:val="00364A53"/>
    <w:rsid w:val="003654CB"/>
    <w:rsid w:val="00365AA9"/>
    <w:rsid w:val="00365F86"/>
    <w:rsid w:val="00365F87"/>
    <w:rsid w:val="0036655E"/>
    <w:rsid w:val="00366E89"/>
    <w:rsid w:val="003705F4"/>
    <w:rsid w:val="00370D58"/>
    <w:rsid w:val="00371316"/>
    <w:rsid w:val="0037386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4A79"/>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0AB"/>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28"/>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208"/>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3BB"/>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0F3"/>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5B1"/>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A35"/>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2679"/>
    <w:rsid w:val="009429D5"/>
    <w:rsid w:val="00942BF1"/>
    <w:rsid w:val="00945180"/>
    <w:rsid w:val="00945428"/>
    <w:rsid w:val="0094607B"/>
    <w:rsid w:val="00953604"/>
    <w:rsid w:val="0095496B"/>
    <w:rsid w:val="009610DC"/>
    <w:rsid w:val="00961490"/>
    <w:rsid w:val="0096381A"/>
    <w:rsid w:val="00965E04"/>
    <w:rsid w:val="009674AD"/>
    <w:rsid w:val="00970CDC"/>
    <w:rsid w:val="00970F88"/>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2B3"/>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2031"/>
    <w:rsid w:val="00B049AF"/>
    <w:rsid w:val="00B07242"/>
    <w:rsid w:val="00B10534"/>
    <w:rsid w:val="00B113DB"/>
    <w:rsid w:val="00B11D8A"/>
    <w:rsid w:val="00B12981"/>
    <w:rsid w:val="00B147DD"/>
    <w:rsid w:val="00B156FD"/>
    <w:rsid w:val="00B21F61"/>
    <w:rsid w:val="00B261F1"/>
    <w:rsid w:val="00B265BC"/>
    <w:rsid w:val="00B31FB1"/>
    <w:rsid w:val="00B32C43"/>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44C"/>
    <w:rsid w:val="00B72880"/>
    <w:rsid w:val="00B74869"/>
    <w:rsid w:val="00B758BF"/>
    <w:rsid w:val="00B77EC8"/>
    <w:rsid w:val="00B827A6"/>
    <w:rsid w:val="00B831CE"/>
    <w:rsid w:val="00B86677"/>
    <w:rsid w:val="00B87131"/>
    <w:rsid w:val="00B939B1"/>
    <w:rsid w:val="00B94C7A"/>
    <w:rsid w:val="00B96D40"/>
    <w:rsid w:val="00B97386"/>
    <w:rsid w:val="00BA263B"/>
    <w:rsid w:val="00BA42B2"/>
    <w:rsid w:val="00BA58D4"/>
    <w:rsid w:val="00BA5B9E"/>
    <w:rsid w:val="00BA7C9A"/>
    <w:rsid w:val="00BB203B"/>
    <w:rsid w:val="00BB5F8F"/>
    <w:rsid w:val="00BB657A"/>
    <w:rsid w:val="00BB7478"/>
    <w:rsid w:val="00BC1A4E"/>
    <w:rsid w:val="00BC4790"/>
    <w:rsid w:val="00BC5DC7"/>
    <w:rsid w:val="00BC6B8B"/>
    <w:rsid w:val="00BC73D8"/>
    <w:rsid w:val="00BD26A4"/>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096B"/>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3DE8"/>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3EE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B4D"/>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0C64"/>
    <w:rsid w:val="00D66846"/>
    <w:rsid w:val="00D675FB"/>
    <w:rsid w:val="00D71C07"/>
    <w:rsid w:val="00D71F25"/>
    <w:rsid w:val="00D72A9C"/>
    <w:rsid w:val="00D77031"/>
    <w:rsid w:val="00D84941"/>
    <w:rsid w:val="00D84FA1"/>
    <w:rsid w:val="00D851F0"/>
    <w:rsid w:val="00D86DB7"/>
    <w:rsid w:val="00D9180B"/>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3486"/>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25D"/>
    <w:rsid w:val="00FA4DAC"/>
    <w:rsid w:val="00FA662D"/>
    <w:rsid w:val="00FA73B1"/>
    <w:rsid w:val="00FB0CB9"/>
    <w:rsid w:val="00FB231D"/>
    <w:rsid w:val="00FB45F1"/>
    <w:rsid w:val="00FB4A72"/>
    <w:rsid w:val="00FB54E8"/>
    <w:rsid w:val="00FB7054"/>
    <w:rsid w:val="00FC17B7"/>
    <w:rsid w:val="00FC2CB7"/>
    <w:rsid w:val="00FC4090"/>
    <w:rsid w:val="00FC4AE4"/>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001B5E"/>
    <w:rsid w:val="01311D17"/>
    <w:rsid w:val="013C06BC"/>
    <w:rsid w:val="01480380"/>
    <w:rsid w:val="01605E90"/>
    <w:rsid w:val="01706EDD"/>
    <w:rsid w:val="017D31AE"/>
    <w:rsid w:val="018A7679"/>
    <w:rsid w:val="01A00C4B"/>
    <w:rsid w:val="022C6410"/>
    <w:rsid w:val="02355837"/>
    <w:rsid w:val="02572B53"/>
    <w:rsid w:val="02661E94"/>
    <w:rsid w:val="027F6AB2"/>
    <w:rsid w:val="029F620C"/>
    <w:rsid w:val="02AD1871"/>
    <w:rsid w:val="02FD093B"/>
    <w:rsid w:val="031C69F7"/>
    <w:rsid w:val="03305FFE"/>
    <w:rsid w:val="03435D32"/>
    <w:rsid w:val="034D095E"/>
    <w:rsid w:val="03653EFA"/>
    <w:rsid w:val="036632E7"/>
    <w:rsid w:val="039D18E6"/>
    <w:rsid w:val="03BE185C"/>
    <w:rsid w:val="03CF5817"/>
    <w:rsid w:val="03F1578E"/>
    <w:rsid w:val="041A0294"/>
    <w:rsid w:val="04545D1C"/>
    <w:rsid w:val="046B5540"/>
    <w:rsid w:val="046E3282"/>
    <w:rsid w:val="0495080F"/>
    <w:rsid w:val="049A7BD3"/>
    <w:rsid w:val="04B2316F"/>
    <w:rsid w:val="04B36EE7"/>
    <w:rsid w:val="04C2712A"/>
    <w:rsid w:val="04C86A57"/>
    <w:rsid w:val="04CD030F"/>
    <w:rsid w:val="04DD3F64"/>
    <w:rsid w:val="04F6DD59"/>
    <w:rsid w:val="05047743"/>
    <w:rsid w:val="053B7608"/>
    <w:rsid w:val="055A55B4"/>
    <w:rsid w:val="0580326D"/>
    <w:rsid w:val="059A3C03"/>
    <w:rsid w:val="05AF3932"/>
    <w:rsid w:val="05B2719F"/>
    <w:rsid w:val="05B9052D"/>
    <w:rsid w:val="05BE78F1"/>
    <w:rsid w:val="05C55124"/>
    <w:rsid w:val="05D11D1B"/>
    <w:rsid w:val="05D64E20"/>
    <w:rsid w:val="05D679A8"/>
    <w:rsid w:val="05DCD8AC"/>
    <w:rsid w:val="05F3107F"/>
    <w:rsid w:val="05FADFC9"/>
    <w:rsid w:val="06314567"/>
    <w:rsid w:val="0634C48D"/>
    <w:rsid w:val="06514C09"/>
    <w:rsid w:val="0667442D"/>
    <w:rsid w:val="066761DB"/>
    <w:rsid w:val="0676641E"/>
    <w:rsid w:val="067D77AC"/>
    <w:rsid w:val="06935D53"/>
    <w:rsid w:val="06954AF6"/>
    <w:rsid w:val="06BCEA82"/>
    <w:rsid w:val="06BF9496"/>
    <w:rsid w:val="06EE1F07"/>
    <w:rsid w:val="06F67704"/>
    <w:rsid w:val="06FEA257"/>
    <w:rsid w:val="06FF1D37"/>
    <w:rsid w:val="07035F04"/>
    <w:rsid w:val="072440CC"/>
    <w:rsid w:val="07267E44"/>
    <w:rsid w:val="073B6BE3"/>
    <w:rsid w:val="075677FF"/>
    <w:rsid w:val="075B5D40"/>
    <w:rsid w:val="076F122C"/>
    <w:rsid w:val="076F65FE"/>
    <w:rsid w:val="077F77D8"/>
    <w:rsid w:val="077F8742"/>
    <w:rsid w:val="07AA7883"/>
    <w:rsid w:val="07B727A2"/>
    <w:rsid w:val="07D433FC"/>
    <w:rsid w:val="07DB2672"/>
    <w:rsid w:val="07DFAD66"/>
    <w:rsid w:val="07EB4C8E"/>
    <w:rsid w:val="07EF0C1C"/>
    <w:rsid w:val="07FAA70C"/>
    <w:rsid w:val="07FF6A5D"/>
    <w:rsid w:val="07FFA7A4"/>
    <w:rsid w:val="08114650"/>
    <w:rsid w:val="081303C8"/>
    <w:rsid w:val="084A7B62"/>
    <w:rsid w:val="0856564E"/>
    <w:rsid w:val="091D65F2"/>
    <w:rsid w:val="09502F56"/>
    <w:rsid w:val="096B7D90"/>
    <w:rsid w:val="09B41737"/>
    <w:rsid w:val="09BFCF27"/>
    <w:rsid w:val="09C5E9EE"/>
    <w:rsid w:val="09D516AE"/>
    <w:rsid w:val="09D53805"/>
    <w:rsid w:val="09DBD1B2"/>
    <w:rsid w:val="09E0077E"/>
    <w:rsid w:val="09FE0C04"/>
    <w:rsid w:val="0A2368BD"/>
    <w:rsid w:val="0A2A5748"/>
    <w:rsid w:val="0A2C751F"/>
    <w:rsid w:val="0A334D52"/>
    <w:rsid w:val="0A690774"/>
    <w:rsid w:val="0A6F565E"/>
    <w:rsid w:val="0A747118"/>
    <w:rsid w:val="0A7BA978"/>
    <w:rsid w:val="0A856C30"/>
    <w:rsid w:val="0A952A19"/>
    <w:rsid w:val="0ADBC917"/>
    <w:rsid w:val="0AEE6ECB"/>
    <w:rsid w:val="0AFEA8FF"/>
    <w:rsid w:val="0B2546F9"/>
    <w:rsid w:val="0B342561"/>
    <w:rsid w:val="0B5C3E34"/>
    <w:rsid w:val="0B6FDD3A"/>
    <w:rsid w:val="0B7C0033"/>
    <w:rsid w:val="0B8D66E4"/>
    <w:rsid w:val="0B957346"/>
    <w:rsid w:val="0BA31A63"/>
    <w:rsid w:val="0BB7550F"/>
    <w:rsid w:val="0BDCEA63"/>
    <w:rsid w:val="0BED1834"/>
    <w:rsid w:val="0BFF9A9E"/>
    <w:rsid w:val="0BFFFA46"/>
    <w:rsid w:val="0C0A3890"/>
    <w:rsid w:val="0C0E0F76"/>
    <w:rsid w:val="0C1F287C"/>
    <w:rsid w:val="0C364685"/>
    <w:rsid w:val="0C3F1668"/>
    <w:rsid w:val="0C6531BD"/>
    <w:rsid w:val="0C9475FE"/>
    <w:rsid w:val="0C965124"/>
    <w:rsid w:val="0CBB9EB7"/>
    <w:rsid w:val="0CBDA49C"/>
    <w:rsid w:val="0CDB347F"/>
    <w:rsid w:val="0CED8354"/>
    <w:rsid w:val="0D103128"/>
    <w:rsid w:val="0D5154EF"/>
    <w:rsid w:val="0D57B2AF"/>
    <w:rsid w:val="0D613E32"/>
    <w:rsid w:val="0D674D12"/>
    <w:rsid w:val="0D7F71A5"/>
    <w:rsid w:val="0D7FEE4D"/>
    <w:rsid w:val="0DB768B0"/>
    <w:rsid w:val="0DBB2D45"/>
    <w:rsid w:val="0DBFB4CD"/>
    <w:rsid w:val="0DCD1019"/>
    <w:rsid w:val="0DE10621"/>
    <w:rsid w:val="0DFD7EA7"/>
    <w:rsid w:val="0DFF2FAD"/>
    <w:rsid w:val="0DFF6396"/>
    <w:rsid w:val="0DFF6F60"/>
    <w:rsid w:val="0DFFF025"/>
    <w:rsid w:val="0E4D3F08"/>
    <w:rsid w:val="0E651252"/>
    <w:rsid w:val="0E6574A4"/>
    <w:rsid w:val="0E6A6868"/>
    <w:rsid w:val="0E6FC0C6"/>
    <w:rsid w:val="0E975183"/>
    <w:rsid w:val="0EA33B28"/>
    <w:rsid w:val="0EA7D68E"/>
    <w:rsid w:val="0EC3241C"/>
    <w:rsid w:val="0ED14B39"/>
    <w:rsid w:val="0ED799E7"/>
    <w:rsid w:val="0EEC1973"/>
    <w:rsid w:val="0EFA4112"/>
    <w:rsid w:val="0EFD63E4"/>
    <w:rsid w:val="0EFF5B1A"/>
    <w:rsid w:val="0EFFD4BA"/>
    <w:rsid w:val="0EFFECF2"/>
    <w:rsid w:val="0F035D4F"/>
    <w:rsid w:val="0F136F00"/>
    <w:rsid w:val="0F334EAC"/>
    <w:rsid w:val="0F3D40A1"/>
    <w:rsid w:val="0F4672D5"/>
    <w:rsid w:val="0F4DCEB2"/>
    <w:rsid w:val="0F5512C6"/>
    <w:rsid w:val="0F56DE6E"/>
    <w:rsid w:val="0F5C73C3"/>
    <w:rsid w:val="0F694D72"/>
    <w:rsid w:val="0F6BB9F7"/>
    <w:rsid w:val="0F724D95"/>
    <w:rsid w:val="0F73F243"/>
    <w:rsid w:val="0F78F107"/>
    <w:rsid w:val="0F8A6A96"/>
    <w:rsid w:val="0F8EBD74"/>
    <w:rsid w:val="0F99097B"/>
    <w:rsid w:val="0F9EC659"/>
    <w:rsid w:val="0F9F3680"/>
    <w:rsid w:val="0FBBEA8A"/>
    <w:rsid w:val="0FBBF6C9"/>
    <w:rsid w:val="0FBFF2D7"/>
    <w:rsid w:val="0FC1070A"/>
    <w:rsid w:val="0FC4644C"/>
    <w:rsid w:val="0FD146C5"/>
    <w:rsid w:val="0FD5F9F8"/>
    <w:rsid w:val="0FEBA179"/>
    <w:rsid w:val="0FF30B0B"/>
    <w:rsid w:val="0FF7F218"/>
    <w:rsid w:val="0FFD8E67"/>
    <w:rsid w:val="0FFF30BA"/>
    <w:rsid w:val="0FFF77AD"/>
    <w:rsid w:val="10207B26"/>
    <w:rsid w:val="102B64CB"/>
    <w:rsid w:val="107A6B0B"/>
    <w:rsid w:val="10A0630B"/>
    <w:rsid w:val="10A06EB4"/>
    <w:rsid w:val="10A818CA"/>
    <w:rsid w:val="10B63FE7"/>
    <w:rsid w:val="10EA0134"/>
    <w:rsid w:val="10EA3C90"/>
    <w:rsid w:val="10FE1C2E"/>
    <w:rsid w:val="112700CB"/>
    <w:rsid w:val="11561326"/>
    <w:rsid w:val="11635C16"/>
    <w:rsid w:val="116502E6"/>
    <w:rsid w:val="117874EE"/>
    <w:rsid w:val="11915461"/>
    <w:rsid w:val="119D0D03"/>
    <w:rsid w:val="11C97D4A"/>
    <w:rsid w:val="11E109AA"/>
    <w:rsid w:val="11EB7CC0"/>
    <w:rsid w:val="11F76665"/>
    <w:rsid w:val="11F80D20"/>
    <w:rsid w:val="1202325C"/>
    <w:rsid w:val="12372F05"/>
    <w:rsid w:val="12483364"/>
    <w:rsid w:val="126E269F"/>
    <w:rsid w:val="12745F08"/>
    <w:rsid w:val="128A0A07"/>
    <w:rsid w:val="129C720C"/>
    <w:rsid w:val="12A165D1"/>
    <w:rsid w:val="12AA36D7"/>
    <w:rsid w:val="12AD766B"/>
    <w:rsid w:val="12BF4030"/>
    <w:rsid w:val="131B059F"/>
    <w:rsid w:val="131D659F"/>
    <w:rsid w:val="134C0C32"/>
    <w:rsid w:val="135ED0F7"/>
    <w:rsid w:val="13644A7E"/>
    <w:rsid w:val="137649DA"/>
    <w:rsid w:val="137FB4B2"/>
    <w:rsid w:val="13961EAE"/>
    <w:rsid w:val="13A46379"/>
    <w:rsid w:val="13B50586"/>
    <w:rsid w:val="13D1738A"/>
    <w:rsid w:val="13D7F132"/>
    <w:rsid w:val="13DFD367"/>
    <w:rsid w:val="13EF33E1"/>
    <w:rsid w:val="13FECDC0"/>
    <w:rsid w:val="13FF1341"/>
    <w:rsid w:val="145A737F"/>
    <w:rsid w:val="14643D5A"/>
    <w:rsid w:val="14771CDF"/>
    <w:rsid w:val="14777F31"/>
    <w:rsid w:val="149FDE3F"/>
    <w:rsid w:val="14A10B0A"/>
    <w:rsid w:val="14BC5944"/>
    <w:rsid w:val="14C52A4A"/>
    <w:rsid w:val="14F275B8"/>
    <w:rsid w:val="14F517EE"/>
    <w:rsid w:val="14FA38E0"/>
    <w:rsid w:val="150F0169"/>
    <w:rsid w:val="15393438"/>
    <w:rsid w:val="153FE545"/>
    <w:rsid w:val="156B1DF9"/>
    <w:rsid w:val="15787ABD"/>
    <w:rsid w:val="157D4DE5"/>
    <w:rsid w:val="15A5462A"/>
    <w:rsid w:val="15B4DD3A"/>
    <w:rsid w:val="15BF8834"/>
    <w:rsid w:val="15E433A4"/>
    <w:rsid w:val="15E92769"/>
    <w:rsid w:val="15FCE4A9"/>
    <w:rsid w:val="15FF1498"/>
    <w:rsid w:val="15FFAC0F"/>
    <w:rsid w:val="1617B47F"/>
    <w:rsid w:val="161D0664"/>
    <w:rsid w:val="163D2D22"/>
    <w:rsid w:val="16556050"/>
    <w:rsid w:val="166E0EC0"/>
    <w:rsid w:val="167CF53F"/>
    <w:rsid w:val="16B965DF"/>
    <w:rsid w:val="16C46D32"/>
    <w:rsid w:val="16C94348"/>
    <w:rsid w:val="16D56784"/>
    <w:rsid w:val="16F6673A"/>
    <w:rsid w:val="170F26A3"/>
    <w:rsid w:val="17231CAA"/>
    <w:rsid w:val="173C3978"/>
    <w:rsid w:val="175F8B8A"/>
    <w:rsid w:val="176F76FA"/>
    <w:rsid w:val="17872239"/>
    <w:rsid w:val="178C5AA1"/>
    <w:rsid w:val="179ABFFB"/>
    <w:rsid w:val="17AA99C4"/>
    <w:rsid w:val="17B7B395"/>
    <w:rsid w:val="17BF6F60"/>
    <w:rsid w:val="17D5D053"/>
    <w:rsid w:val="17D72406"/>
    <w:rsid w:val="17DF5C52"/>
    <w:rsid w:val="17E551B2"/>
    <w:rsid w:val="17EF5904"/>
    <w:rsid w:val="17F1BA70"/>
    <w:rsid w:val="17F6A61E"/>
    <w:rsid w:val="17F71490"/>
    <w:rsid w:val="17F7FB57"/>
    <w:rsid w:val="17FB520E"/>
    <w:rsid w:val="181B6E25"/>
    <w:rsid w:val="181F6915"/>
    <w:rsid w:val="183D6D9C"/>
    <w:rsid w:val="18426B32"/>
    <w:rsid w:val="18455C50"/>
    <w:rsid w:val="186407CC"/>
    <w:rsid w:val="186802BC"/>
    <w:rsid w:val="18784278"/>
    <w:rsid w:val="188350F6"/>
    <w:rsid w:val="18A92683"/>
    <w:rsid w:val="18B057C0"/>
    <w:rsid w:val="18BE95C2"/>
    <w:rsid w:val="18CF02A9"/>
    <w:rsid w:val="18D5376A"/>
    <w:rsid w:val="191F7E02"/>
    <w:rsid w:val="19212219"/>
    <w:rsid w:val="192817FA"/>
    <w:rsid w:val="1947DC0A"/>
    <w:rsid w:val="195F5DAE"/>
    <w:rsid w:val="1963787C"/>
    <w:rsid w:val="19A35324"/>
    <w:rsid w:val="19C05ED6"/>
    <w:rsid w:val="19CD414F"/>
    <w:rsid w:val="19CD8641"/>
    <w:rsid w:val="19CE05F3"/>
    <w:rsid w:val="19D1F872"/>
    <w:rsid w:val="19DA05B7"/>
    <w:rsid w:val="19DB7EAB"/>
    <w:rsid w:val="19DBF67F"/>
    <w:rsid w:val="19DF1F9F"/>
    <w:rsid w:val="19EC6CCB"/>
    <w:rsid w:val="19FD4C4C"/>
    <w:rsid w:val="19FD627D"/>
    <w:rsid w:val="19FFCF56"/>
    <w:rsid w:val="1A136006"/>
    <w:rsid w:val="1A3D7527"/>
    <w:rsid w:val="1A457B0F"/>
    <w:rsid w:val="1A587EBD"/>
    <w:rsid w:val="1A5F56EF"/>
    <w:rsid w:val="1A7A7E33"/>
    <w:rsid w:val="1A7FC8CD"/>
    <w:rsid w:val="1A9A04D5"/>
    <w:rsid w:val="1A9F789A"/>
    <w:rsid w:val="1AA954D9"/>
    <w:rsid w:val="1ABDFD52"/>
    <w:rsid w:val="1ADA4D76"/>
    <w:rsid w:val="1AE6196C"/>
    <w:rsid w:val="1AEA97F8"/>
    <w:rsid w:val="1AFD4E10"/>
    <w:rsid w:val="1B0B13D3"/>
    <w:rsid w:val="1B18764C"/>
    <w:rsid w:val="1B252495"/>
    <w:rsid w:val="1B2F50C2"/>
    <w:rsid w:val="1B34092A"/>
    <w:rsid w:val="1B351FAC"/>
    <w:rsid w:val="1B55264E"/>
    <w:rsid w:val="1B5F527B"/>
    <w:rsid w:val="1B8B0DF4"/>
    <w:rsid w:val="1B8D1DE8"/>
    <w:rsid w:val="1B8F4338"/>
    <w:rsid w:val="1BA333BA"/>
    <w:rsid w:val="1BAEAA3F"/>
    <w:rsid w:val="1BAFED63"/>
    <w:rsid w:val="1BBE6D5D"/>
    <w:rsid w:val="1BBF5B8B"/>
    <w:rsid w:val="1BBF6A5D"/>
    <w:rsid w:val="1BBFCB8B"/>
    <w:rsid w:val="1BC7FCDD"/>
    <w:rsid w:val="1BDB2B53"/>
    <w:rsid w:val="1BE20386"/>
    <w:rsid w:val="1BE24D80"/>
    <w:rsid w:val="1BE5BF73"/>
    <w:rsid w:val="1BE7AD95"/>
    <w:rsid w:val="1BED3BE4"/>
    <w:rsid w:val="1BEDFA23"/>
    <w:rsid w:val="1BF52020"/>
    <w:rsid w:val="1BF68B86"/>
    <w:rsid w:val="1BF73A95"/>
    <w:rsid w:val="1BF7BD93"/>
    <w:rsid w:val="1BFD14CB"/>
    <w:rsid w:val="1BFD15FB"/>
    <w:rsid w:val="1BFDAF17"/>
    <w:rsid w:val="1BFFAB44"/>
    <w:rsid w:val="1C4C0AAA"/>
    <w:rsid w:val="1C71170A"/>
    <w:rsid w:val="1C7848C1"/>
    <w:rsid w:val="1C7ED2F2"/>
    <w:rsid w:val="1CA97A8E"/>
    <w:rsid w:val="1CD1775A"/>
    <w:rsid w:val="1CDF44B2"/>
    <w:rsid w:val="1CF30371"/>
    <w:rsid w:val="1D152095"/>
    <w:rsid w:val="1D4806BC"/>
    <w:rsid w:val="1D547061"/>
    <w:rsid w:val="1D750D86"/>
    <w:rsid w:val="1D751DD7"/>
    <w:rsid w:val="1D77F853"/>
    <w:rsid w:val="1D7B8471"/>
    <w:rsid w:val="1D7C29D0"/>
    <w:rsid w:val="1D7F393A"/>
    <w:rsid w:val="1D7FFA4A"/>
    <w:rsid w:val="1D905BC0"/>
    <w:rsid w:val="1D9A07EC"/>
    <w:rsid w:val="1DA67191"/>
    <w:rsid w:val="1DCD5D15"/>
    <w:rsid w:val="1DDF6436"/>
    <w:rsid w:val="1DDF756C"/>
    <w:rsid w:val="1DE62072"/>
    <w:rsid w:val="1DED38BD"/>
    <w:rsid w:val="1DF6FC64"/>
    <w:rsid w:val="1DF810D1"/>
    <w:rsid w:val="1DFD75B6"/>
    <w:rsid w:val="1DFEF0C9"/>
    <w:rsid w:val="1DFF5388"/>
    <w:rsid w:val="1E2527AC"/>
    <w:rsid w:val="1E2F7512"/>
    <w:rsid w:val="1E3E561C"/>
    <w:rsid w:val="1E4E5A5F"/>
    <w:rsid w:val="1E57048B"/>
    <w:rsid w:val="1E5E3A66"/>
    <w:rsid w:val="1E6E6BDB"/>
    <w:rsid w:val="1E82375A"/>
    <w:rsid w:val="1E8E0144"/>
    <w:rsid w:val="1E9D0594"/>
    <w:rsid w:val="1E9D4D78"/>
    <w:rsid w:val="1EA01E32"/>
    <w:rsid w:val="1EAF0B07"/>
    <w:rsid w:val="1ED02718"/>
    <w:rsid w:val="1EEF09FE"/>
    <w:rsid w:val="1EF04B68"/>
    <w:rsid w:val="1EF30A92"/>
    <w:rsid w:val="1EFB75C2"/>
    <w:rsid w:val="1EFD82E7"/>
    <w:rsid w:val="1EFF2901"/>
    <w:rsid w:val="1EFF5A9D"/>
    <w:rsid w:val="1EFF7832"/>
    <w:rsid w:val="1EFF9689"/>
    <w:rsid w:val="1EFFD7F9"/>
    <w:rsid w:val="1F2D81D6"/>
    <w:rsid w:val="1F374545"/>
    <w:rsid w:val="1F376EF3"/>
    <w:rsid w:val="1F3A4035"/>
    <w:rsid w:val="1F3F164B"/>
    <w:rsid w:val="1F417171"/>
    <w:rsid w:val="1F486752"/>
    <w:rsid w:val="1F552F5F"/>
    <w:rsid w:val="1F598058"/>
    <w:rsid w:val="1F671EFF"/>
    <w:rsid w:val="1F713DBC"/>
    <w:rsid w:val="1F75F43E"/>
    <w:rsid w:val="1F77120D"/>
    <w:rsid w:val="1F7ADAB3"/>
    <w:rsid w:val="1F7D6AFD"/>
    <w:rsid w:val="1F7E7A4C"/>
    <w:rsid w:val="1F7F9A31"/>
    <w:rsid w:val="1F8A997A"/>
    <w:rsid w:val="1F93E12C"/>
    <w:rsid w:val="1F9EC185"/>
    <w:rsid w:val="1FA39F30"/>
    <w:rsid w:val="1FA7CF81"/>
    <w:rsid w:val="1FAA92D2"/>
    <w:rsid w:val="1FABC3AB"/>
    <w:rsid w:val="1FADC613"/>
    <w:rsid w:val="1FAF6C06"/>
    <w:rsid w:val="1FB060A5"/>
    <w:rsid w:val="1FB0BBEA"/>
    <w:rsid w:val="1FB6A4D3"/>
    <w:rsid w:val="1FB6C143"/>
    <w:rsid w:val="1FB76325"/>
    <w:rsid w:val="1FBAB67A"/>
    <w:rsid w:val="1FBB04B5"/>
    <w:rsid w:val="1FBB166C"/>
    <w:rsid w:val="1FBB69C1"/>
    <w:rsid w:val="1FBF343B"/>
    <w:rsid w:val="1FC658C9"/>
    <w:rsid w:val="1FC7C1DF"/>
    <w:rsid w:val="1FCF9E4A"/>
    <w:rsid w:val="1FD51E25"/>
    <w:rsid w:val="1FDB6103"/>
    <w:rsid w:val="1FDDBF96"/>
    <w:rsid w:val="1FDF1F4D"/>
    <w:rsid w:val="1FE78276"/>
    <w:rsid w:val="1FE7A922"/>
    <w:rsid w:val="1FEF71C8"/>
    <w:rsid w:val="1FEFB21F"/>
    <w:rsid w:val="1FEFCA95"/>
    <w:rsid w:val="1FF087BF"/>
    <w:rsid w:val="1FF7D98E"/>
    <w:rsid w:val="1FFA11E2"/>
    <w:rsid w:val="1FFB549D"/>
    <w:rsid w:val="1FFC1978"/>
    <w:rsid w:val="1FFD8582"/>
    <w:rsid w:val="1FFE6876"/>
    <w:rsid w:val="1FFE8C8B"/>
    <w:rsid w:val="1FFED086"/>
    <w:rsid w:val="1FFF0033"/>
    <w:rsid w:val="1FFF15FB"/>
    <w:rsid w:val="1FFF5231"/>
    <w:rsid w:val="1FFF5858"/>
    <w:rsid w:val="1FFFFC8F"/>
    <w:rsid w:val="1FFFFF26"/>
    <w:rsid w:val="20036B1D"/>
    <w:rsid w:val="200A3A07"/>
    <w:rsid w:val="201841D9"/>
    <w:rsid w:val="20B00A53"/>
    <w:rsid w:val="20B10327"/>
    <w:rsid w:val="20B147CB"/>
    <w:rsid w:val="20B3409F"/>
    <w:rsid w:val="20E05780"/>
    <w:rsid w:val="20E64474"/>
    <w:rsid w:val="20E71F9A"/>
    <w:rsid w:val="21470C8B"/>
    <w:rsid w:val="21696E53"/>
    <w:rsid w:val="216E7FC6"/>
    <w:rsid w:val="21DFF8F7"/>
    <w:rsid w:val="21EB7868"/>
    <w:rsid w:val="21FB488D"/>
    <w:rsid w:val="2230171F"/>
    <w:rsid w:val="22590C76"/>
    <w:rsid w:val="22665141"/>
    <w:rsid w:val="226FE7AD"/>
    <w:rsid w:val="22883309"/>
    <w:rsid w:val="229D35BB"/>
    <w:rsid w:val="22CE8C7C"/>
    <w:rsid w:val="22DD3655"/>
    <w:rsid w:val="22F56BF1"/>
    <w:rsid w:val="22FF4866"/>
    <w:rsid w:val="23052BAC"/>
    <w:rsid w:val="231132FF"/>
    <w:rsid w:val="232272BA"/>
    <w:rsid w:val="23353491"/>
    <w:rsid w:val="23425EA3"/>
    <w:rsid w:val="23623B5A"/>
    <w:rsid w:val="23696C97"/>
    <w:rsid w:val="2375388E"/>
    <w:rsid w:val="2379BF48"/>
    <w:rsid w:val="238B4930"/>
    <w:rsid w:val="239C7906"/>
    <w:rsid w:val="23C6058D"/>
    <w:rsid w:val="23DC4ADD"/>
    <w:rsid w:val="23DFAD5A"/>
    <w:rsid w:val="23EE3198"/>
    <w:rsid w:val="23F6A945"/>
    <w:rsid w:val="23F7F648"/>
    <w:rsid w:val="23F92711"/>
    <w:rsid w:val="23FA1FE5"/>
    <w:rsid w:val="23FC5F23"/>
    <w:rsid w:val="23FE6524"/>
    <w:rsid w:val="23FEA418"/>
    <w:rsid w:val="23FF7884"/>
    <w:rsid w:val="242332EA"/>
    <w:rsid w:val="242F7EE0"/>
    <w:rsid w:val="245636BF"/>
    <w:rsid w:val="246456B0"/>
    <w:rsid w:val="248A3369"/>
    <w:rsid w:val="24B2466D"/>
    <w:rsid w:val="24BFC045"/>
    <w:rsid w:val="24BFD21F"/>
    <w:rsid w:val="24FD4F19"/>
    <w:rsid w:val="254F145C"/>
    <w:rsid w:val="25714529"/>
    <w:rsid w:val="2573031C"/>
    <w:rsid w:val="257D6BF3"/>
    <w:rsid w:val="257F807F"/>
    <w:rsid w:val="25A14E0E"/>
    <w:rsid w:val="25B14925"/>
    <w:rsid w:val="25BE91D4"/>
    <w:rsid w:val="25CD3DF7"/>
    <w:rsid w:val="25CFEE7C"/>
    <w:rsid w:val="25E84CA2"/>
    <w:rsid w:val="25E8F510"/>
    <w:rsid w:val="25EF3DCB"/>
    <w:rsid w:val="25F55199"/>
    <w:rsid w:val="25F7151D"/>
    <w:rsid w:val="266D4CF0"/>
    <w:rsid w:val="268B638D"/>
    <w:rsid w:val="26A17CF2"/>
    <w:rsid w:val="26A30712"/>
    <w:rsid w:val="26B741BD"/>
    <w:rsid w:val="26D23D36"/>
    <w:rsid w:val="26D27249"/>
    <w:rsid w:val="26E66850"/>
    <w:rsid w:val="26EF791C"/>
    <w:rsid w:val="26F520A4"/>
    <w:rsid w:val="271B2D5C"/>
    <w:rsid w:val="272950BB"/>
    <w:rsid w:val="273580F4"/>
    <w:rsid w:val="273D1417"/>
    <w:rsid w:val="274A3283"/>
    <w:rsid w:val="27516002"/>
    <w:rsid w:val="275B1B5B"/>
    <w:rsid w:val="276FB41E"/>
    <w:rsid w:val="2775B751"/>
    <w:rsid w:val="277DDC39"/>
    <w:rsid w:val="277E5DB9"/>
    <w:rsid w:val="279B5371"/>
    <w:rsid w:val="279EE835"/>
    <w:rsid w:val="27B626C7"/>
    <w:rsid w:val="27B7279E"/>
    <w:rsid w:val="27BF1F97"/>
    <w:rsid w:val="27BF20A8"/>
    <w:rsid w:val="27C9064C"/>
    <w:rsid w:val="27CF2BF6"/>
    <w:rsid w:val="27CFC52D"/>
    <w:rsid w:val="27DF35C9"/>
    <w:rsid w:val="27DF400D"/>
    <w:rsid w:val="27E23368"/>
    <w:rsid w:val="27E3A9AF"/>
    <w:rsid w:val="27E9F790"/>
    <w:rsid w:val="27EC9758"/>
    <w:rsid w:val="27ED1FBA"/>
    <w:rsid w:val="27FC6D9C"/>
    <w:rsid w:val="27FF2FB5"/>
    <w:rsid w:val="27FF87F2"/>
    <w:rsid w:val="27FFC3D2"/>
    <w:rsid w:val="28870F4E"/>
    <w:rsid w:val="28BB61E6"/>
    <w:rsid w:val="28F434A6"/>
    <w:rsid w:val="28F9286B"/>
    <w:rsid w:val="28FD2271"/>
    <w:rsid w:val="28FDE17E"/>
    <w:rsid w:val="28FFD9D1"/>
    <w:rsid w:val="290556B4"/>
    <w:rsid w:val="2977947B"/>
    <w:rsid w:val="297D349C"/>
    <w:rsid w:val="297E0D25"/>
    <w:rsid w:val="29DA08EE"/>
    <w:rsid w:val="29F61188"/>
    <w:rsid w:val="29F632EC"/>
    <w:rsid w:val="29FFB242"/>
    <w:rsid w:val="2A021BF3"/>
    <w:rsid w:val="2A0C4820"/>
    <w:rsid w:val="2A1F4553"/>
    <w:rsid w:val="2A3D0E7D"/>
    <w:rsid w:val="2A5BAE64"/>
    <w:rsid w:val="2A67376E"/>
    <w:rsid w:val="2A73C9D2"/>
    <w:rsid w:val="2A7D00A8"/>
    <w:rsid w:val="2A8B7E3A"/>
    <w:rsid w:val="2AA6C44F"/>
    <w:rsid w:val="2AC1385C"/>
    <w:rsid w:val="2AE61515"/>
    <w:rsid w:val="2AEFD8DF"/>
    <w:rsid w:val="2AFB0236"/>
    <w:rsid w:val="2AFEAC70"/>
    <w:rsid w:val="2B0100FD"/>
    <w:rsid w:val="2B33216E"/>
    <w:rsid w:val="2B4BBCE0"/>
    <w:rsid w:val="2B670055"/>
    <w:rsid w:val="2B67B5A0"/>
    <w:rsid w:val="2B6F9E08"/>
    <w:rsid w:val="2B7733E2"/>
    <w:rsid w:val="2B7DFEE0"/>
    <w:rsid w:val="2B7F2E18"/>
    <w:rsid w:val="2B7F9B2F"/>
    <w:rsid w:val="2B817E3F"/>
    <w:rsid w:val="2B8704EF"/>
    <w:rsid w:val="2B8F8436"/>
    <w:rsid w:val="2B964CE9"/>
    <w:rsid w:val="2B9EEBC2"/>
    <w:rsid w:val="2BAD5F1C"/>
    <w:rsid w:val="2BB6853C"/>
    <w:rsid w:val="2BBC3A20"/>
    <w:rsid w:val="2BBFE69C"/>
    <w:rsid w:val="2BCB3688"/>
    <w:rsid w:val="2BCF4E99"/>
    <w:rsid w:val="2BD72D07"/>
    <w:rsid w:val="2BDB3BDD"/>
    <w:rsid w:val="2BDF7365"/>
    <w:rsid w:val="2BEB7F72"/>
    <w:rsid w:val="2BEE32C5"/>
    <w:rsid w:val="2BF67536"/>
    <w:rsid w:val="2BF71291"/>
    <w:rsid w:val="2BF79B71"/>
    <w:rsid w:val="2BF7ACD6"/>
    <w:rsid w:val="2BFBCA57"/>
    <w:rsid w:val="2BFD08C4"/>
    <w:rsid w:val="2BFE72A3"/>
    <w:rsid w:val="2BFE8505"/>
    <w:rsid w:val="2BFE8970"/>
    <w:rsid w:val="2BFFB10E"/>
    <w:rsid w:val="2C080928"/>
    <w:rsid w:val="2C1A1476"/>
    <w:rsid w:val="2C1E4C63"/>
    <w:rsid w:val="2C275941"/>
    <w:rsid w:val="2C27D7CE"/>
    <w:rsid w:val="2C363DD6"/>
    <w:rsid w:val="2C37CCB3"/>
    <w:rsid w:val="2C5BD183"/>
    <w:rsid w:val="2C7A1F15"/>
    <w:rsid w:val="2C8C39F6"/>
    <w:rsid w:val="2CBA1DDF"/>
    <w:rsid w:val="2CC59F76"/>
    <w:rsid w:val="2CCF0AAE"/>
    <w:rsid w:val="2CDB2C3A"/>
    <w:rsid w:val="2CDF9605"/>
    <w:rsid w:val="2CF00429"/>
    <w:rsid w:val="2CF20571"/>
    <w:rsid w:val="2CF7F210"/>
    <w:rsid w:val="2CFFE5D9"/>
    <w:rsid w:val="2D1D6B09"/>
    <w:rsid w:val="2D5551FE"/>
    <w:rsid w:val="2D57381D"/>
    <w:rsid w:val="2D594220"/>
    <w:rsid w:val="2D5F9E2F"/>
    <w:rsid w:val="2D6D3827"/>
    <w:rsid w:val="2D6F4BA4"/>
    <w:rsid w:val="2D790D4C"/>
    <w:rsid w:val="2D7BADAC"/>
    <w:rsid w:val="2D8172D3"/>
    <w:rsid w:val="2DBBE7C0"/>
    <w:rsid w:val="2DC93154"/>
    <w:rsid w:val="2DD5769C"/>
    <w:rsid w:val="2DD7F509"/>
    <w:rsid w:val="2DDF0777"/>
    <w:rsid w:val="2DE5DE09"/>
    <w:rsid w:val="2DEB526F"/>
    <w:rsid w:val="2DEC0BF0"/>
    <w:rsid w:val="2DEC744F"/>
    <w:rsid w:val="2DEDCA53"/>
    <w:rsid w:val="2DEF7287"/>
    <w:rsid w:val="2DEFADEB"/>
    <w:rsid w:val="2DF126AA"/>
    <w:rsid w:val="2DF2A093"/>
    <w:rsid w:val="2DF45CF7"/>
    <w:rsid w:val="2DF55F81"/>
    <w:rsid w:val="2DF74281"/>
    <w:rsid w:val="2DF9A6C2"/>
    <w:rsid w:val="2DFB6631"/>
    <w:rsid w:val="2DFCEAEB"/>
    <w:rsid w:val="2DFFE0D2"/>
    <w:rsid w:val="2E0B7C99"/>
    <w:rsid w:val="2E167776"/>
    <w:rsid w:val="2E1D5E07"/>
    <w:rsid w:val="2E32BF86"/>
    <w:rsid w:val="2E3E802D"/>
    <w:rsid w:val="2E3FFCD9"/>
    <w:rsid w:val="2E586286"/>
    <w:rsid w:val="2E715E60"/>
    <w:rsid w:val="2E7620CB"/>
    <w:rsid w:val="2E7EC7FE"/>
    <w:rsid w:val="2E7FAEAA"/>
    <w:rsid w:val="2E7FF59D"/>
    <w:rsid w:val="2E97FDDA"/>
    <w:rsid w:val="2E9F5C62"/>
    <w:rsid w:val="2E9FA475"/>
    <w:rsid w:val="2EA78D3B"/>
    <w:rsid w:val="2EBC9AFC"/>
    <w:rsid w:val="2EBFB881"/>
    <w:rsid w:val="2ED578D6"/>
    <w:rsid w:val="2EDF8F13"/>
    <w:rsid w:val="2EEDE0C7"/>
    <w:rsid w:val="2EFAF625"/>
    <w:rsid w:val="2EFB0ACD"/>
    <w:rsid w:val="2EFD5E87"/>
    <w:rsid w:val="2EFF417B"/>
    <w:rsid w:val="2EFF6906"/>
    <w:rsid w:val="2EFFA7C3"/>
    <w:rsid w:val="2EFFB78F"/>
    <w:rsid w:val="2F1D0109"/>
    <w:rsid w:val="2F37346A"/>
    <w:rsid w:val="2F3F8801"/>
    <w:rsid w:val="2F5C3B54"/>
    <w:rsid w:val="2F5D2072"/>
    <w:rsid w:val="2F6E1F8C"/>
    <w:rsid w:val="2F6FDB10"/>
    <w:rsid w:val="2F7075FF"/>
    <w:rsid w:val="2F7737BC"/>
    <w:rsid w:val="2F7A2AE5"/>
    <w:rsid w:val="2F7B2967"/>
    <w:rsid w:val="2F7E3277"/>
    <w:rsid w:val="2F7F0371"/>
    <w:rsid w:val="2F7F090C"/>
    <w:rsid w:val="2F7F2760"/>
    <w:rsid w:val="2F7F4C0A"/>
    <w:rsid w:val="2F7F6889"/>
    <w:rsid w:val="2F8A6913"/>
    <w:rsid w:val="2F9EF3CD"/>
    <w:rsid w:val="2F9F76DF"/>
    <w:rsid w:val="2FA3AD33"/>
    <w:rsid w:val="2FA612B8"/>
    <w:rsid w:val="2FB4C02E"/>
    <w:rsid w:val="2FB6F5C8"/>
    <w:rsid w:val="2FB79F28"/>
    <w:rsid w:val="2FB7BB10"/>
    <w:rsid w:val="2FB90EAB"/>
    <w:rsid w:val="2FB9E17E"/>
    <w:rsid w:val="2FBD8801"/>
    <w:rsid w:val="2FBD988C"/>
    <w:rsid w:val="2FBE24AA"/>
    <w:rsid w:val="2FBF7702"/>
    <w:rsid w:val="2FBFD5EA"/>
    <w:rsid w:val="2FCB7BD2"/>
    <w:rsid w:val="2FCFE0EE"/>
    <w:rsid w:val="2FD4F067"/>
    <w:rsid w:val="2FDC4A9F"/>
    <w:rsid w:val="2FDE897C"/>
    <w:rsid w:val="2FDF5070"/>
    <w:rsid w:val="2FE222AB"/>
    <w:rsid w:val="2FE525DE"/>
    <w:rsid w:val="2FE76FA6"/>
    <w:rsid w:val="2FEA047E"/>
    <w:rsid w:val="2FEC5AAD"/>
    <w:rsid w:val="2FEE1F17"/>
    <w:rsid w:val="2FEEA22C"/>
    <w:rsid w:val="2FEF26FB"/>
    <w:rsid w:val="2FEF8F17"/>
    <w:rsid w:val="2FF3C195"/>
    <w:rsid w:val="2FF560D0"/>
    <w:rsid w:val="2FF5A24C"/>
    <w:rsid w:val="2FF64579"/>
    <w:rsid w:val="2FF6EEFD"/>
    <w:rsid w:val="2FF715FF"/>
    <w:rsid w:val="2FFB5C33"/>
    <w:rsid w:val="2FFD7079"/>
    <w:rsid w:val="2FFDB1FC"/>
    <w:rsid w:val="2FFE7584"/>
    <w:rsid w:val="2FFF1D43"/>
    <w:rsid w:val="2FFF67D2"/>
    <w:rsid w:val="2FFF8F84"/>
    <w:rsid w:val="2FFF9A8B"/>
    <w:rsid w:val="2FFFC7B4"/>
    <w:rsid w:val="2FFFD8F2"/>
    <w:rsid w:val="2FFFE669"/>
    <w:rsid w:val="2FFFF1D6"/>
    <w:rsid w:val="303A25CE"/>
    <w:rsid w:val="303D1BD7"/>
    <w:rsid w:val="30444D13"/>
    <w:rsid w:val="306B6744"/>
    <w:rsid w:val="308C66BA"/>
    <w:rsid w:val="30BF553D"/>
    <w:rsid w:val="30FAB223"/>
    <w:rsid w:val="311309F3"/>
    <w:rsid w:val="312B30CE"/>
    <w:rsid w:val="31654414"/>
    <w:rsid w:val="3167EE69"/>
    <w:rsid w:val="3196159F"/>
    <w:rsid w:val="31A0241D"/>
    <w:rsid w:val="31B599A1"/>
    <w:rsid w:val="31BB6DA3"/>
    <w:rsid w:val="31ED1C64"/>
    <w:rsid w:val="31FB1E60"/>
    <w:rsid w:val="31FEC472"/>
    <w:rsid w:val="31FF402C"/>
    <w:rsid w:val="31FFEE78"/>
    <w:rsid w:val="32281F44"/>
    <w:rsid w:val="32655415"/>
    <w:rsid w:val="32917FB8"/>
    <w:rsid w:val="32CE4D68"/>
    <w:rsid w:val="32E5CFCB"/>
    <w:rsid w:val="32EFB3FF"/>
    <w:rsid w:val="32F80037"/>
    <w:rsid w:val="32F83B93"/>
    <w:rsid w:val="32FCC3E1"/>
    <w:rsid w:val="32FFEA29"/>
    <w:rsid w:val="33042538"/>
    <w:rsid w:val="330B1B18"/>
    <w:rsid w:val="33423060"/>
    <w:rsid w:val="33527747"/>
    <w:rsid w:val="335D5EF1"/>
    <w:rsid w:val="335E5B3D"/>
    <w:rsid w:val="336254B1"/>
    <w:rsid w:val="336631F3"/>
    <w:rsid w:val="33739320"/>
    <w:rsid w:val="3375B813"/>
    <w:rsid w:val="33784CD4"/>
    <w:rsid w:val="337BDDBB"/>
    <w:rsid w:val="337EB445"/>
    <w:rsid w:val="337F05C6"/>
    <w:rsid w:val="33972D74"/>
    <w:rsid w:val="339BF612"/>
    <w:rsid w:val="33A1422B"/>
    <w:rsid w:val="33AB4C8B"/>
    <w:rsid w:val="33AF4ABE"/>
    <w:rsid w:val="33B5AEB2"/>
    <w:rsid w:val="33BD974C"/>
    <w:rsid w:val="33BF002B"/>
    <w:rsid w:val="33BFDBD3"/>
    <w:rsid w:val="33C57F19"/>
    <w:rsid w:val="33C65A3F"/>
    <w:rsid w:val="33C933F9"/>
    <w:rsid w:val="33CB1F61"/>
    <w:rsid w:val="33DBA8D4"/>
    <w:rsid w:val="33DBEAF0"/>
    <w:rsid w:val="33E79CF3"/>
    <w:rsid w:val="33F27F09"/>
    <w:rsid w:val="33F4F727"/>
    <w:rsid w:val="33F64A1E"/>
    <w:rsid w:val="33F76612"/>
    <w:rsid w:val="33FBBD80"/>
    <w:rsid w:val="33FF0A83"/>
    <w:rsid w:val="33FF8127"/>
    <w:rsid w:val="34362BC5"/>
    <w:rsid w:val="345614B9"/>
    <w:rsid w:val="345D2848"/>
    <w:rsid w:val="345F5B49"/>
    <w:rsid w:val="346B0E6D"/>
    <w:rsid w:val="347E456C"/>
    <w:rsid w:val="348DCCD6"/>
    <w:rsid w:val="348E8C1E"/>
    <w:rsid w:val="34A915E9"/>
    <w:rsid w:val="34B32468"/>
    <w:rsid w:val="34BBE0AF"/>
    <w:rsid w:val="34CD86E5"/>
    <w:rsid w:val="34D61E50"/>
    <w:rsid w:val="34D8AE29"/>
    <w:rsid w:val="34DE4040"/>
    <w:rsid w:val="34DE967E"/>
    <w:rsid w:val="34DFD0B5"/>
    <w:rsid w:val="34EC597A"/>
    <w:rsid w:val="34EFB53E"/>
    <w:rsid w:val="34FF18C9"/>
    <w:rsid w:val="34FF38FF"/>
    <w:rsid w:val="35001B13"/>
    <w:rsid w:val="351153E0"/>
    <w:rsid w:val="35472BB0"/>
    <w:rsid w:val="355A6D87"/>
    <w:rsid w:val="35611EC4"/>
    <w:rsid w:val="35673B87"/>
    <w:rsid w:val="356FCF1B"/>
    <w:rsid w:val="357D9517"/>
    <w:rsid w:val="359B5E8F"/>
    <w:rsid w:val="359FA123"/>
    <w:rsid w:val="35AA7E97"/>
    <w:rsid w:val="35AF83FC"/>
    <w:rsid w:val="35B654DF"/>
    <w:rsid w:val="35BDC390"/>
    <w:rsid w:val="35C3492C"/>
    <w:rsid w:val="35D7996E"/>
    <w:rsid w:val="35DFC636"/>
    <w:rsid w:val="35E69EDE"/>
    <w:rsid w:val="35E76BDF"/>
    <w:rsid w:val="35ED87D7"/>
    <w:rsid w:val="35EF4155"/>
    <w:rsid w:val="35EF9160"/>
    <w:rsid w:val="35EFDC9A"/>
    <w:rsid w:val="35F71978"/>
    <w:rsid w:val="35F9D25E"/>
    <w:rsid w:val="35FBE007"/>
    <w:rsid w:val="35FE2D84"/>
    <w:rsid w:val="35FFC583"/>
    <w:rsid w:val="35FFE457"/>
    <w:rsid w:val="35FFE593"/>
    <w:rsid w:val="362B9D49"/>
    <w:rsid w:val="362C9BCF"/>
    <w:rsid w:val="362F0430"/>
    <w:rsid w:val="362F9366"/>
    <w:rsid w:val="363D4E01"/>
    <w:rsid w:val="364BC870"/>
    <w:rsid w:val="364FC244"/>
    <w:rsid w:val="3659703F"/>
    <w:rsid w:val="365F928F"/>
    <w:rsid w:val="366003CD"/>
    <w:rsid w:val="36615E05"/>
    <w:rsid w:val="366A124C"/>
    <w:rsid w:val="366F0610"/>
    <w:rsid w:val="366FD820"/>
    <w:rsid w:val="368A544A"/>
    <w:rsid w:val="368F8C80"/>
    <w:rsid w:val="369B31B3"/>
    <w:rsid w:val="369E2CA4"/>
    <w:rsid w:val="36B67FED"/>
    <w:rsid w:val="36B974EF"/>
    <w:rsid w:val="36BF58F0"/>
    <w:rsid w:val="36DE4ED7"/>
    <w:rsid w:val="36E862C0"/>
    <w:rsid w:val="36EE3C2B"/>
    <w:rsid w:val="36EFF006"/>
    <w:rsid w:val="36EFF97F"/>
    <w:rsid w:val="36FF3887"/>
    <w:rsid w:val="36FF3F98"/>
    <w:rsid w:val="36FFD204"/>
    <w:rsid w:val="371B4F32"/>
    <w:rsid w:val="371F6514"/>
    <w:rsid w:val="37337D39"/>
    <w:rsid w:val="374B2E2B"/>
    <w:rsid w:val="3753A9D2"/>
    <w:rsid w:val="375E7036"/>
    <w:rsid w:val="375F68D7"/>
    <w:rsid w:val="375F9FB1"/>
    <w:rsid w:val="37654CAE"/>
    <w:rsid w:val="376B527C"/>
    <w:rsid w:val="376F5FD7"/>
    <w:rsid w:val="376FCE2E"/>
    <w:rsid w:val="37760AAE"/>
    <w:rsid w:val="37760F6A"/>
    <w:rsid w:val="37764804"/>
    <w:rsid w:val="3776776F"/>
    <w:rsid w:val="377B8964"/>
    <w:rsid w:val="377BAAE3"/>
    <w:rsid w:val="377DAA5A"/>
    <w:rsid w:val="377DD9CD"/>
    <w:rsid w:val="377EE7CC"/>
    <w:rsid w:val="377F0D27"/>
    <w:rsid w:val="377F2CEB"/>
    <w:rsid w:val="377F987C"/>
    <w:rsid w:val="377F9C3F"/>
    <w:rsid w:val="377FD12A"/>
    <w:rsid w:val="379707DC"/>
    <w:rsid w:val="37977E1F"/>
    <w:rsid w:val="379A75E0"/>
    <w:rsid w:val="37A76C83"/>
    <w:rsid w:val="37A95DA4"/>
    <w:rsid w:val="37ABCEA2"/>
    <w:rsid w:val="37AD96E7"/>
    <w:rsid w:val="37AE992C"/>
    <w:rsid w:val="37AFFEF7"/>
    <w:rsid w:val="37B33EE5"/>
    <w:rsid w:val="37B3BEBC"/>
    <w:rsid w:val="37B625AF"/>
    <w:rsid w:val="37B96B57"/>
    <w:rsid w:val="37BD6A2B"/>
    <w:rsid w:val="37BDB9E7"/>
    <w:rsid w:val="37BFE32F"/>
    <w:rsid w:val="37C4498C"/>
    <w:rsid w:val="37C624B2"/>
    <w:rsid w:val="37CB03CB"/>
    <w:rsid w:val="37CE0972"/>
    <w:rsid w:val="37D0574B"/>
    <w:rsid w:val="37D0F27E"/>
    <w:rsid w:val="37D1ABB9"/>
    <w:rsid w:val="37D2D60E"/>
    <w:rsid w:val="37D564AF"/>
    <w:rsid w:val="37DC7F27"/>
    <w:rsid w:val="37DE3B0A"/>
    <w:rsid w:val="37DE6742"/>
    <w:rsid w:val="37DF6A1F"/>
    <w:rsid w:val="37ED8C45"/>
    <w:rsid w:val="37EDBCCD"/>
    <w:rsid w:val="37EEC20A"/>
    <w:rsid w:val="37EF4CF0"/>
    <w:rsid w:val="37F77D15"/>
    <w:rsid w:val="37F7ACFD"/>
    <w:rsid w:val="37F7CF0C"/>
    <w:rsid w:val="37F88B29"/>
    <w:rsid w:val="37FB0982"/>
    <w:rsid w:val="37FB891A"/>
    <w:rsid w:val="37FBCC4E"/>
    <w:rsid w:val="37FD1CED"/>
    <w:rsid w:val="37FD3ED9"/>
    <w:rsid w:val="37FD5186"/>
    <w:rsid w:val="37FDB2ED"/>
    <w:rsid w:val="37FE2382"/>
    <w:rsid w:val="37FE44D2"/>
    <w:rsid w:val="37FE5669"/>
    <w:rsid w:val="37FEE600"/>
    <w:rsid w:val="37FF220F"/>
    <w:rsid w:val="37FF3932"/>
    <w:rsid w:val="37FF613D"/>
    <w:rsid w:val="37FF7F5E"/>
    <w:rsid w:val="37FF8742"/>
    <w:rsid w:val="37FFA4B8"/>
    <w:rsid w:val="37FFCAFB"/>
    <w:rsid w:val="3857135C"/>
    <w:rsid w:val="386BA44B"/>
    <w:rsid w:val="386F6566"/>
    <w:rsid w:val="388F3AA5"/>
    <w:rsid w:val="389FEA73"/>
    <w:rsid w:val="38B44A00"/>
    <w:rsid w:val="38BD38B5"/>
    <w:rsid w:val="38BFE225"/>
    <w:rsid w:val="38CE00A0"/>
    <w:rsid w:val="38CF35E8"/>
    <w:rsid w:val="38D34E86"/>
    <w:rsid w:val="38DB2575"/>
    <w:rsid w:val="38E54BBA"/>
    <w:rsid w:val="38E6D8BF"/>
    <w:rsid w:val="38EF3C8A"/>
    <w:rsid w:val="38F66DC7"/>
    <w:rsid w:val="38FEF520"/>
    <w:rsid w:val="392A6A70"/>
    <w:rsid w:val="392F2BCB"/>
    <w:rsid w:val="39390E57"/>
    <w:rsid w:val="393B866C"/>
    <w:rsid w:val="393F4911"/>
    <w:rsid w:val="394538AA"/>
    <w:rsid w:val="395A08EE"/>
    <w:rsid w:val="39706B79"/>
    <w:rsid w:val="397C5384"/>
    <w:rsid w:val="397F0D92"/>
    <w:rsid w:val="397FA6BE"/>
    <w:rsid w:val="39AD6D2F"/>
    <w:rsid w:val="39B35B8F"/>
    <w:rsid w:val="39B55FA8"/>
    <w:rsid w:val="39B61F78"/>
    <w:rsid w:val="39B6A466"/>
    <w:rsid w:val="39B7DD23"/>
    <w:rsid w:val="39B8407C"/>
    <w:rsid w:val="39BDABF8"/>
    <w:rsid w:val="39BEB963"/>
    <w:rsid w:val="39C66799"/>
    <w:rsid w:val="39C742BF"/>
    <w:rsid w:val="39CE1AF2"/>
    <w:rsid w:val="39DFF3AD"/>
    <w:rsid w:val="39E347AE"/>
    <w:rsid w:val="39EEE975"/>
    <w:rsid w:val="39EF5260"/>
    <w:rsid w:val="39F174E8"/>
    <w:rsid w:val="39FB4497"/>
    <w:rsid w:val="39FD3055"/>
    <w:rsid w:val="39FF0754"/>
    <w:rsid w:val="39FF7FDB"/>
    <w:rsid w:val="39FFDCAA"/>
    <w:rsid w:val="3A1A4D37"/>
    <w:rsid w:val="3A2F7666"/>
    <w:rsid w:val="3A3CB237"/>
    <w:rsid w:val="3A56B5F2"/>
    <w:rsid w:val="3A796D32"/>
    <w:rsid w:val="3A7A9242"/>
    <w:rsid w:val="3A7F271E"/>
    <w:rsid w:val="3A7F51D7"/>
    <w:rsid w:val="3A83468A"/>
    <w:rsid w:val="3A871D46"/>
    <w:rsid w:val="3A9587EE"/>
    <w:rsid w:val="3AACE646"/>
    <w:rsid w:val="3ABDAA53"/>
    <w:rsid w:val="3ABF21AE"/>
    <w:rsid w:val="3ABF5A25"/>
    <w:rsid w:val="3ABFBEC3"/>
    <w:rsid w:val="3AC7165C"/>
    <w:rsid w:val="3ACDC420"/>
    <w:rsid w:val="3ACF98CE"/>
    <w:rsid w:val="3ADA4923"/>
    <w:rsid w:val="3ADA96C4"/>
    <w:rsid w:val="3ADB5BAE"/>
    <w:rsid w:val="3ADD2F58"/>
    <w:rsid w:val="3ADD6E19"/>
    <w:rsid w:val="3ADE7059"/>
    <w:rsid w:val="3AE39BF2"/>
    <w:rsid w:val="3AE50F62"/>
    <w:rsid w:val="3AE75DA9"/>
    <w:rsid w:val="3AF00196"/>
    <w:rsid w:val="3AF2C6E6"/>
    <w:rsid w:val="3AF506AC"/>
    <w:rsid w:val="3AF638F8"/>
    <w:rsid w:val="3AF70A29"/>
    <w:rsid w:val="3AF7F2B0"/>
    <w:rsid w:val="3AF8A573"/>
    <w:rsid w:val="3AFCA56F"/>
    <w:rsid w:val="3AFEB804"/>
    <w:rsid w:val="3AFEBF83"/>
    <w:rsid w:val="3AFF3A37"/>
    <w:rsid w:val="3AFF7308"/>
    <w:rsid w:val="3AFF8CCA"/>
    <w:rsid w:val="3AFFF8B0"/>
    <w:rsid w:val="3B0F4170"/>
    <w:rsid w:val="3B1D688D"/>
    <w:rsid w:val="3B2C6AD0"/>
    <w:rsid w:val="3B331C0C"/>
    <w:rsid w:val="3B359A41"/>
    <w:rsid w:val="3B37C840"/>
    <w:rsid w:val="3B3DE4D8"/>
    <w:rsid w:val="3B451940"/>
    <w:rsid w:val="3B4B7995"/>
    <w:rsid w:val="3B4C4063"/>
    <w:rsid w:val="3B4F0A10"/>
    <w:rsid w:val="3B578658"/>
    <w:rsid w:val="3B595675"/>
    <w:rsid w:val="3B5F2739"/>
    <w:rsid w:val="3B5FDFDD"/>
    <w:rsid w:val="3B6FD35F"/>
    <w:rsid w:val="3B73F5A1"/>
    <w:rsid w:val="3B761BA6"/>
    <w:rsid w:val="3B771039"/>
    <w:rsid w:val="3B772B17"/>
    <w:rsid w:val="3B783AC3"/>
    <w:rsid w:val="3B7ABF3C"/>
    <w:rsid w:val="3B7D10E1"/>
    <w:rsid w:val="3B7EFE29"/>
    <w:rsid w:val="3B7F087C"/>
    <w:rsid w:val="3B7F808F"/>
    <w:rsid w:val="3B7F9CB1"/>
    <w:rsid w:val="3B8F58A6"/>
    <w:rsid w:val="3B9B38DD"/>
    <w:rsid w:val="3B9D899E"/>
    <w:rsid w:val="3B9E9460"/>
    <w:rsid w:val="3BA9E85D"/>
    <w:rsid w:val="3BAB4A61"/>
    <w:rsid w:val="3BAFC75A"/>
    <w:rsid w:val="3BB59894"/>
    <w:rsid w:val="3BB73248"/>
    <w:rsid w:val="3BB84807"/>
    <w:rsid w:val="3BBCEE55"/>
    <w:rsid w:val="3BBD597A"/>
    <w:rsid w:val="3BBD8282"/>
    <w:rsid w:val="3BBEF165"/>
    <w:rsid w:val="3BBFADC4"/>
    <w:rsid w:val="3BBFF220"/>
    <w:rsid w:val="3BC66F24"/>
    <w:rsid w:val="3BCD7264"/>
    <w:rsid w:val="3BCF3E26"/>
    <w:rsid w:val="3BD11683"/>
    <w:rsid w:val="3BD78E02"/>
    <w:rsid w:val="3BD97ED3"/>
    <w:rsid w:val="3BDA10A6"/>
    <w:rsid w:val="3BDB3430"/>
    <w:rsid w:val="3BDB8A5E"/>
    <w:rsid w:val="3BDBEF04"/>
    <w:rsid w:val="3BDF917B"/>
    <w:rsid w:val="3BE7B082"/>
    <w:rsid w:val="3BE85074"/>
    <w:rsid w:val="3BED2E1F"/>
    <w:rsid w:val="3BEDA7D7"/>
    <w:rsid w:val="3BEF6BF7"/>
    <w:rsid w:val="3BEF7C4F"/>
    <w:rsid w:val="3BF249E7"/>
    <w:rsid w:val="3BF2F198"/>
    <w:rsid w:val="3BF55114"/>
    <w:rsid w:val="3BF57C1C"/>
    <w:rsid w:val="3BF5DB81"/>
    <w:rsid w:val="3BF73FE6"/>
    <w:rsid w:val="3BF743B5"/>
    <w:rsid w:val="3BF79372"/>
    <w:rsid w:val="3BF795C7"/>
    <w:rsid w:val="3BF7A3D5"/>
    <w:rsid w:val="3BF90CEF"/>
    <w:rsid w:val="3BF9AE3D"/>
    <w:rsid w:val="3BF9EFF3"/>
    <w:rsid w:val="3BFA63F3"/>
    <w:rsid w:val="3BFAF2EB"/>
    <w:rsid w:val="3BFB343F"/>
    <w:rsid w:val="3BFB619B"/>
    <w:rsid w:val="3BFB6510"/>
    <w:rsid w:val="3BFBE88F"/>
    <w:rsid w:val="3BFD1C88"/>
    <w:rsid w:val="3BFD5134"/>
    <w:rsid w:val="3BFD923E"/>
    <w:rsid w:val="3BFE1C65"/>
    <w:rsid w:val="3BFEAFA0"/>
    <w:rsid w:val="3BFEFB53"/>
    <w:rsid w:val="3BFF1EDC"/>
    <w:rsid w:val="3BFF2C40"/>
    <w:rsid w:val="3BFF607B"/>
    <w:rsid w:val="3BFF6514"/>
    <w:rsid w:val="3BFF6EAD"/>
    <w:rsid w:val="3BFF735E"/>
    <w:rsid w:val="3BFF7B65"/>
    <w:rsid w:val="3BFFEEC2"/>
    <w:rsid w:val="3C1F65F9"/>
    <w:rsid w:val="3C555182"/>
    <w:rsid w:val="3C6ACA8A"/>
    <w:rsid w:val="3C7F1E1D"/>
    <w:rsid w:val="3C850B8E"/>
    <w:rsid w:val="3C94492D"/>
    <w:rsid w:val="3C9E57AB"/>
    <w:rsid w:val="3C9F6795"/>
    <w:rsid w:val="3CAAB9C1"/>
    <w:rsid w:val="3CB35A7E"/>
    <w:rsid w:val="3CB7E2F4"/>
    <w:rsid w:val="3CBF393E"/>
    <w:rsid w:val="3CC66AB0"/>
    <w:rsid w:val="3CDEF12E"/>
    <w:rsid w:val="3CE79A7F"/>
    <w:rsid w:val="3CF37AB9"/>
    <w:rsid w:val="3CF692BA"/>
    <w:rsid w:val="3CF7F058"/>
    <w:rsid w:val="3CFF31B0"/>
    <w:rsid w:val="3CFF8DC7"/>
    <w:rsid w:val="3CFFCD43"/>
    <w:rsid w:val="3D0A2E41"/>
    <w:rsid w:val="3D1AD32C"/>
    <w:rsid w:val="3D2F0AF9"/>
    <w:rsid w:val="3D375300"/>
    <w:rsid w:val="3D3DA2FB"/>
    <w:rsid w:val="3D3DC231"/>
    <w:rsid w:val="3D3F22E6"/>
    <w:rsid w:val="3D3F57B5"/>
    <w:rsid w:val="3D3F7389"/>
    <w:rsid w:val="3D477B17"/>
    <w:rsid w:val="3D485717"/>
    <w:rsid w:val="3D4951FE"/>
    <w:rsid w:val="3D5F2CB5"/>
    <w:rsid w:val="3D5FF91E"/>
    <w:rsid w:val="3D6B99E7"/>
    <w:rsid w:val="3D75B52F"/>
    <w:rsid w:val="3D760BAF"/>
    <w:rsid w:val="3D769A97"/>
    <w:rsid w:val="3D7C1733"/>
    <w:rsid w:val="3D7F4EEF"/>
    <w:rsid w:val="3D8F22A4"/>
    <w:rsid w:val="3D9DAD76"/>
    <w:rsid w:val="3D9FB800"/>
    <w:rsid w:val="3DA4A5FF"/>
    <w:rsid w:val="3DA88064"/>
    <w:rsid w:val="3DABD510"/>
    <w:rsid w:val="3DAE4CA6"/>
    <w:rsid w:val="3DB159B2"/>
    <w:rsid w:val="3DB3F4B7"/>
    <w:rsid w:val="3DBCEF91"/>
    <w:rsid w:val="3DBD4C38"/>
    <w:rsid w:val="3DBF762F"/>
    <w:rsid w:val="3DBFE52A"/>
    <w:rsid w:val="3DBFF4D6"/>
    <w:rsid w:val="3DC6176D"/>
    <w:rsid w:val="3DCB60FB"/>
    <w:rsid w:val="3DCD74E0"/>
    <w:rsid w:val="3DCF6856"/>
    <w:rsid w:val="3DD1395F"/>
    <w:rsid w:val="3DD38DBF"/>
    <w:rsid w:val="3DD3DB81"/>
    <w:rsid w:val="3DD71DA8"/>
    <w:rsid w:val="3DD96F64"/>
    <w:rsid w:val="3DDDFF9B"/>
    <w:rsid w:val="3DDF581E"/>
    <w:rsid w:val="3DE9260D"/>
    <w:rsid w:val="3DEE252E"/>
    <w:rsid w:val="3DEF081B"/>
    <w:rsid w:val="3DEFC6BF"/>
    <w:rsid w:val="3DF69BCB"/>
    <w:rsid w:val="3DF73A57"/>
    <w:rsid w:val="3DFA7C4F"/>
    <w:rsid w:val="3DFB0492"/>
    <w:rsid w:val="3DFB2706"/>
    <w:rsid w:val="3DFB3CF9"/>
    <w:rsid w:val="3DFC60E4"/>
    <w:rsid w:val="3DFDA4A8"/>
    <w:rsid w:val="3DFF33F5"/>
    <w:rsid w:val="3DFF6E6B"/>
    <w:rsid w:val="3DFF6FF1"/>
    <w:rsid w:val="3DFF8829"/>
    <w:rsid w:val="3DFFCD82"/>
    <w:rsid w:val="3DFFD7A3"/>
    <w:rsid w:val="3DFFFA9C"/>
    <w:rsid w:val="3DFFFD52"/>
    <w:rsid w:val="3E0C14CB"/>
    <w:rsid w:val="3E0F3FF1"/>
    <w:rsid w:val="3E173A67"/>
    <w:rsid w:val="3E1CC9EA"/>
    <w:rsid w:val="3E1D4DF6"/>
    <w:rsid w:val="3E1D6BA4"/>
    <w:rsid w:val="3E1FB8D3"/>
    <w:rsid w:val="3E536B0D"/>
    <w:rsid w:val="3E5F2F1D"/>
    <w:rsid w:val="3E6F2CE7"/>
    <w:rsid w:val="3E6FAF5D"/>
    <w:rsid w:val="3E73CCEA"/>
    <w:rsid w:val="3E77FF39"/>
    <w:rsid w:val="3E7B02CE"/>
    <w:rsid w:val="3E7BEA05"/>
    <w:rsid w:val="3E80785E"/>
    <w:rsid w:val="3E8FBD83"/>
    <w:rsid w:val="3E97109F"/>
    <w:rsid w:val="3EA6721A"/>
    <w:rsid w:val="3EA6E748"/>
    <w:rsid w:val="3EA72FE3"/>
    <w:rsid w:val="3EAD6A6D"/>
    <w:rsid w:val="3EAFF0AE"/>
    <w:rsid w:val="3EB7279E"/>
    <w:rsid w:val="3EBCFF64"/>
    <w:rsid w:val="3EBD296F"/>
    <w:rsid w:val="3EBD3FCB"/>
    <w:rsid w:val="3EBF442E"/>
    <w:rsid w:val="3EBF810C"/>
    <w:rsid w:val="3EBF886F"/>
    <w:rsid w:val="3EC139D3"/>
    <w:rsid w:val="3EC534C3"/>
    <w:rsid w:val="3ED493E3"/>
    <w:rsid w:val="3ED7EF91"/>
    <w:rsid w:val="3EDD2885"/>
    <w:rsid w:val="3EDD3E93"/>
    <w:rsid w:val="3EDF0C05"/>
    <w:rsid w:val="3EDF3118"/>
    <w:rsid w:val="3EDF515A"/>
    <w:rsid w:val="3EDF51FF"/>
    <w:rsid w:val="3EDFA4D7"/>
    <w:rsid w:val="3EDFCE54"/>
    <w:rsid w:val="3EDFDE38"/>
    <w:rsid w:val="3EE52A9A"/>
    <w:rsid w:val="3EE73DCC"/>
    <w:rsid w:val="3EEBF0E4"/>
    <w:rsid w:val="3EEBF180"/>
    <w:rsid w:val="3EEDBD8B"/>
    <w:rsid w:val="3EEEF790"/>
    <w:rsid w:val="3EEF1FF9"/>
    <w:rsid w:val="3EEFB5A7"/>
    <w:rsid w:val="3EF30259"/>
    <w:rsid w:val="3EF5BF40"/>
    <w:rsid w:val="3EF60091"/>
    <w:rsid w:val="3EF7D9F8"/>
    <w:rsid w:val="3EF96505"/>
    <w:rsid w:val="3EF96B62"/>
    <w:rsid w:val="3EF97C30"/>
    <w:rsid w:val="3EFA08B3"/>
    <w:rsid w:val="3EFA2A83"/>
    <w:rsid w:val="3EFA81A7"/>
    <w:rsid w:val="3EFB0758"/>
    <w:rsid w:val="3EFB1BF0"/>
    <w:rsid w:val="3EFC7539"/>
    <w:rsid w:val="3EFE0B00"/>
    <w:rsid w:val="3EFE1410"/>
    <w:rsid w:val="3EFEA9DA"/>
    <w:rsid w:val="3EFF0AAD"/>
    <w:rsid w:val="3EFF215C"/>
    <w:rsid w:val="3EFF4F5C"/>
    <w:rsid w:val="3EFF590F"/>
    <w:rsid w:val="3EFF7F52"/>
    <w:rsid w:val="3EFFCA0D"/>
    <w:rsid w:val="3F074CBB"/>
    <w:rsid w:val="3F0FB712"/>
    <w:rsid w:val="3F1ADD5D"/>
    <w:rsid w:val="3F231670"/>
    <w:rsid w:val="3F2F1DC7"/>
    <w:rsid w:val="3F2F49BD"/>
    <w:rsid w:val="3F391F17"/>
    <w:rsid w:val="3F3D8E2D"/>
    <w:rsid w:val="3F3DA1FA"/>
    <w:rsid w:val="3F3F203B"/>
    <w:rsid w:val="3F4AA38C"/>
    <w:rsid w:val="3F4D9C11"/>
    <w:rsid w:val="3F514D57"/>
    <w:rsid w:val="3F551104"/>
    <w:rsid w:val="3F584337"/>
    <w:rsid w:val="3F59BAF5"/>
    <w:rsid w:val="3F5F84D2"/>
    <w:rsid w:val="3F63A61B"/>
    <w:rsid w:val="3F659F15"/>
    <w:rsid w:val="3F672712"/>
    <w:rsid w:val="3F69B1B9"/>
    <w:rsid w:val="3F69FDEE"/>
    <w:rsid w:val="3F6B1ADF"/>
    <w:rsid w:val="3F6B8238"/>
    <w:rsid w:val="3F6E44D9"/>
    <w:rsid w:val="3F6F7CF7"/>
    <w:rsid w:val="3F6F9C0D"/>
    <w:rsid w:val="3F6FC62B"/>
    <w:rsid w:val="3F73CCF2"/>
    <w:rsid w:val="3F7553F1"/>
    <w:rsid w:val="3F76EDD8"/>
    <w:rsid w:val="3F76FF3A"/>
    <w:rsid w:val="3F77ECA4"/>
    <w:rsid w:val="3F7B4F15"/>
    <w:rsid w:val="3F7BAEDC"/>
    <w:rsid w:val="3F7D3782"/>
    <w:rsid w:val="3F7D87DA"/>
    <w:rsid w:val="3F7DC623"/>
    <w:rsid w:val="3F7E5662"/>
    <w:rsid w:val="3F7ECAEB"/>
    <w:rsid w:val="3F7EDBD7"/>
    <w:rsid w:val="3F7F46B1"/>
    <w:rsid w:val="3F7FA1C3"/>
    <w:rsid w:val="3F7FB043"/>
    <w:rsid w:val="3F7FC7A5"/>
    <w:rsid w:val="3F7FC8C9"/>
    <w:rsid w:val="3F8628B7"/>
    <w:rsid w:val="3F870779"/>
    <w:rsid w:val="3F872A03"/>
    <w:rsid w:val="3F8DA36C"/>
    <w:rsid w:val="3F8F9E89"/>
    <w:rsid w:val="3F971286"/>
    <w:rsid w:val="3F97515F"/>
    <w:rsid w:val="3F9A3EE1"/>
    <w:rsid w:val="3F9A5587"/>
    <w:rsid w:val="3F9A7E2A"/>
    <w:rsid w:val="3F9E8E21"/>
    <w:rsid w:val="3F9FDCAE"/>
    <w:rsid w:val="3F9FF727"/>
    <w:rsid w:val="3FA304C1"/>
    <w:rsid w:val="3FA52B71"/>
    <w:rsid w:val="3FA99259"/>
    <w:rsid w:val="3FAFC322"/>
    <w:rsid w:val="3FAFE675"/>
    <w:rsid w:val="3FB4BED3"/>
    <w:rsid w:val="3FB792F9"/>
    <w:rsid w:val="3FB9CF20"/>
    <w:rsid w:val="3FB9D948"/>
    <w:rsid w:val="3FBA9E9C"/>
    <w:rsid w:val="3FBB6455"/>
    <w:rsid w:val="3FBB727B"/>
    <w:rsid w:val="3FBBDD13"/>
    <w:rsid w:val="3FBDA2C1"/>
    <w:rsid w:val="3FBDD5EE"/>
    <w:rsid w:val="3FBE3FB7"/>
    <w:rsid w:val="3FBE7D93"/>
    <w:rsid w:val="3FBE815D"/>
    <w:rsid w:val="3FBE9920"/>
    <w:rsid w:val="3FBE9C05"/>
    <w:rsid w:val="3FBF487D"/>
    <w:rsid w:val="3FBF899B"/>
    <w:rsid w:val="3FBFC42C"/>
    <w:rsid w:val="3FBFC961"/>
    <w:rsid w:val="3FBFCEF1"/>
    <w:rsid w:val="3FBFE111"/>
    <w:rsid w:val="3FC34170"/>
    <w:rsid w:val="3FC43B68"/>
    <w:rsid w:val="3FC75E5C"/>
    <w:rsid w:val="3FC76096"/>
    <w:rsid w:val="3FCBA8B5"/>
    <w:rsid w:val="3FCEA946"/>
    <w:rsid w:val="3FCF12D8"/>
    <w:rsid w:val="3FCF17D7"/>
    <w:rsid w:val="3FCF370D"/>
    <w:rsid w:val="3FD3DB57"/>
    <w:rsid w:val="3FD76306"/>
    <w:rsid w:val="3FD7B569"/>
    <w:rsid w:val="3FD87CEF"/>
    <w:rsid w:val="3FD992B7"/>
    <w:rsid w:val="3FD9AD09"/>
    <w:rsid w:val="3FDB7A44"/>
    <w:rsid w:val="3FDB975C"/>
    <w:rsid w:val="3FDBF113"/>
    <w:rsid w:val="3FDCFEBC"/>
    <w:rsid w:val="3FDE0A8F"/>
    <w:rsid w:val="3FDEB977"/>
    <w:rsid w:val="3FDF0C8A"/>
    <w:rsid w:val="3FDF4EC4"/>
    <w:rsid w:val="3FDF8B21"/>
    <w:rsid w:val="3FDFDF50"/>
    <w:rsid w:val="3FDFEA30"/>
    <w:rsid w:val="3FE355C6"/>
    <w:rsid w:val="3FE5551A"/>
    <w:rsid w:val="3FE71217"/>
    <w:rsid w:val="3FE77B7C"/>
    <w:rsid w:val="3FE79E56"/>
    <w:rsid w:val="3FE8041D"/>
    <w:rsid w:val="3FEA296B"/>
    <w:rsid w:val="3FEB1853"/>
    <w:rsid w:val="3FEB3CA4"/>
    <w:rsid w:val="3FEBFB82"/>
    <w:rsid w:val="3FEC9102"/>
    <w:rsid w:val="3FECA8C9"/>
    <w:rsid w:val="3FED0F43"/>
    <w:rsid w:val="3FED7A83"/>
    <w:rsid w:val="3FEDD5B4"/>
    <w:rsid w:val="3FEDF8F7"/>
    <w:rsid w:val="3FEE01AD"/>
    <w:rsid w:val="3FEF0EE2"/>
    <w:rsid w:val="3FEF21E4"/>
    <w:rsid w:val="3FEF3B93"/>
    <w:rsid w:val="3FEF42FA"/>
    <w:rsid w:val="3FEF57DB"/>
    <w:rsid w:val="3FEF6FB6"/>
    <w:rsid w:val="3FEFCDBC"/>
    <w:rsid w:val="3FEFE5BA"/>
    <w:rsid w:val="3FF25AC8"/>
    <w:rsid w:val="3FF26F6C"/>
    <w:rsid w:val="3FF27B8C"/>
    <w:rsid w:val="3FF3B25E"/>
    <w:rsid w:val="3FF498CB"/>
    <w:rsid w:val="3FF5A772"/>
    <w:rsid w:val="3FF5AADF"/>
    <w:rsid w:val="3FF5BB4B"/>
    <w:rsid w:val="3FF6339B"/>
    <w:rsid w:val="3FF6B6BD"/>
    <w:rsid w:val="3FF6C80A"/>
    <w:rsid w:val="3FF711E2"/>
    <w:rsid w:val="3FF73277"/>
    <w:rsid w:val="3FF75908"/>
    <w:rsid w:val="3FF77868"/>
    <w:rsid w:val="3FF793CF"/>
    <w:rsid w:val="3FF7E323"/>
    <w:rsid w:val="3FFA5E51"/>
    <w:rsid w:val="3FFA8064"/>
    <w:rsid w:val="3FFB20D3"/>
    <w:rsid w:val="3FFB2C30"/>
    <w:rsid w:val="3FFB6015"/>
    <w:rsid w:val="3FFB8CC2"/>
    <w:rsid w:val="3FFB9167"/>
    <w:rsid w:val="3FFB94B5"/>
    <w:rsid w:val="3FFBCEA7"/>
    <w:rsid w:val="3FFBD765"/>
    <w:rsid w:val="3FFBD9A2"/>
    <w:rsid w:val="3FFBDC9A"/>
    <w:rsid w:val="3FFBFCC2"/>
    <w:rsid w:val="3FFC20D7"/>
    <w:rsid w:val="3FFC6FAE"/>
    <w:rsid w:val="3FFC9DE5"/>
    <w:rsid w:val="3FFD3D33"/>
    <w:rsid w:val="3FFD4A32"/>
    <w:rsid w:val="3FFD5E35"/>
    <w:rsid w:val="3FFD9E52"/>
    <w:rsid w:val="3FFE15A5"/>
    <w:rsid w:val="3FFE1BF0"/>
    <w:rsid w:val="3FFE1DA0"/>
    <w:rsid w:val="3FFE3560"/>
    <w:rsid w:val="3FFE4EC7"/>
    <w:rsid w:val="3FFE87CB"/>
    <w:rsid w:val="3FFE8EEF"/>
    <w:rsid w:val="3FFEB894"/>
    <w:rsid w:val="3FFED392"/>
    <w:rsid w:val="3FFEE5F0"/>
    <w:rsid w:val="3FFF0627"/>
    <w:rsid w:val="3FFF2707"/>
    <w:rsid w:val="3FFF2D35"/>
    <w:rsid w:val="3FFF32B1"/>
    <w:rsid w:val="3FFF37D7"/>
    <w:rsid w:val="3FFF74D0"/>
    <w:rsid w:val="3FFF83E5"/>
    <w:rsid w:val="3FFF8417"/>
    <w:rsid w:val="3FFF8825"/>
    <w:rsid w:val="3FFF9F21"/>
    <w:rsid w:val="3FFFA57E"/>
    <w:rsid w:val="3FFFB74D"/>
    <w:rsid w:val="3FFFB7C2"/>
    <w:rsid w:val="3FFFCEE9"/>
    <w:rsid w:val="3FFFE729"/>
    <w:rsid w:val="3FFFE8AF"/>
    <w:rsid w:val="3FFFF238"/>
    <w:rsid w:val="3FFFFB5B"/>
    <w:rsid w:val="40640ABA"/>
    <w:rsid w:val="407E7DCE"/>
    <w:rsid w:val="408178BE"/>
    <w:rsid w:val="40842F0A"/>
    <w:rsid w:val="40AD420F"/>
    <w:rsid w:val="40EF4827"/>
    <w:rsid w:val="410E1EDD"/>
    <w:rsid w:val="41140732"/>
    <w:rsid w:val="411B561D"/>
    <w:rsid w:val="412A5860"/>
    <w:rsid w:val="412B15D8"/>
    <w:rsid w:val="41483F38"/>
    <w:rsid w:val="417978B0"/>
    <w:rsid w:val="41B4325A"/>
    <w:rsid w:val="41B660C0"/>
    <w:rsid w:val="41BEDD6D"/>
    <w:rsid w:val="41D430A6"/>
    <w:rsid w:val="41D6859A"/>
    <w:rsid w:val="41EFC03A"/>
    <w:rsid w:val="41FD763E"/>
    <w:rsid w:val="41FDA791"/>
    <w:rsid w:val="42366486"/>
    <w:rsid w:val="423D06B4"/>
    <w:rsid w:val="42521512"/>
    <w:rsid w:val="425608D6"/>
    <w:rsid w:val="425828A0"/>
    <w:rsid w:val="42925DB2"/>
    <w:rsid w:val="429733C9"/>
    <w:rsid w:val="42BE6BA7"/>
    <w:rsid w:val="42E61C5A"/>
    <w:rsid w:val="42F7FA8D"/>
    <w:rsid w:val="43304190"/>
    <w:rsid w:val="4333F8A9"/>
    <w:rsid w:val="433FDE30"/>
    <w:rsid w:val="43487189"/>
    <w:rsid w:val="436456F5"/>
    <w:rsid w:val="436F94E1"/>
    <w:rsid w:val="43996CCD"/>
    <w:rsid w:val="43A7763B"/>
    <w:rsid w:val="43C845CF"/>
    <w:rsid w:val="43DE0B6C"/>
    <w:rsid w:val="43EFBBB0"/>
    <w:rsid w:val="43F62371"/>
    <w:rsid w:val="43FD298A"/>
    <w:rsid w:val="43FF18F8"/>
    <w:rsid w:val="43FF3250"/>
    <w:rsid w:val="4407632C"/>
    <w:rsid w:val="443D3AFC"/>
    <w:rsid w:val="443FE4FF"/>
    <w:rsid w:val="44501A81"/>
    <w:rsid w:val="447F4114"/>
    <w:rsid w:val="44D75CFE"/>
    <w:rsid w:val="44DE708D"/>
    <w:rsid w:val="45010FCD"/>
    <w:rsid w:val="4508410A"/>
    <w:rsid w:val="45091C30"/>
    <w:rsid w:val="450B3510"/>
    <w:rsid w:val="450B59A8"/>
    <w:rsid w:val="451F1453"/>
    <w:rsid w:val="452B6334"/>
    <w:rsid w:val="45603F46"/>
    <w:rsid w:val="4568104C"/>
    <w:rsid w:val="457BE8A2"/>
    <w:rsid w:val="45835E8C"/>
    <w:rsid w:val="458A2D71"/>
    <w:rsid w:val="458C4D3B"/>
    <w:rsid w:val="45AFD435"/>
    <w:rsid w:val="45C02C36"/>
    <w:rsid w:val="45F330DE"/>
    <w:rsid w:val="45F68A0F"/>
    <w:rsid w:val="45F78510"/>
    <w:rsid w:val="45FBFAC7"/>
    <w:rsid w:val="460C5E7C"/>
    <w:rsid w:val="464FCF36"/>
    <w:rsid w:val="464FE245"/>
    <w:rsid w:val="467001B9"/>
    <w:rsid w:val="467852BF"/>
    <w:rsid w:val="46845A12"/>
    <w:rsid w:val="46955E71"/>
    <w:rsid w:val="46BFA8C4"/>
    <w:rsid w:val="46DF3728"/>
    <w:rsid w:val="46FB16C5"/>
    <w:rsid w:val="471F1BDF"/>
    <w:rsid w:val="47372A84"/>
    <w:rsid w:val="473E4C2C"/>
    <w:rsid w:val="473F2C43"/>
    <w:rsid w:val="47571378"/>
    <w:rsid w:val="47575C88"/>
    <w:rsid w:val="475D38AA"/>
    <w:rsid w:val="47779D49"/>
    <w:rsid w:val="477F4A23"/>
    <w:rsid w:val="47806F92"/>
    <w:rsid w:val="478C7274"/>
    <w:rsid w:val="47906638"/>
    <w:rsid w:val="4797226C"/>
    <w:rsid w:val="479F5033"/>
    <w:rsid w:val="479FAE39"/>
    <w:rsid w:val="47A0687C"/>
    <w:rsid w:val="47BF2245"/>
    <w:rsid w:val="47BF7FEB"/>
    <w:rsid w:val="47C3256A"/>
    <w:rsid w:val="47CEDEB5"/>
    <w:rsid w:val="47DD2A26"/>
    <w:rsid w:val="47DEDCD4"/>
    <w:rsid w:val="47DF03DE"/>
    <w:rsid w:val="47EFF29D"/>
    <w:rsid w:val="47F12C31"/>
    <w:rsid w:val="47F6077F"/>
    <w:rsid w:val="47F7C15F"/>
    <w:rsid w:val="47FBE5E8"/>
    <w:rsid w:val="47FDABF4"/>
    <w:rsid w:val="47FDEB32"/>
    <w:rsid w:val="47FF32EC"/>
    <w:rsid w:val="47FF8C1B"/>
    <w:rsid w:val="480F1C53"/>
    <w:rsid w:val="481D611E"/>
    <w:rsid w:val="48390A7E"/>
    <w:rsid w:val="485C5346"/>
    <w:rsid w:val="487321E2"/>
    <w:rsid w:val="488E7E10"/>
    <w:rsid w:val="48952158"/>
    <w:rsid w:val="48961A2D"/>
    <w:rsid w:val="48965ED0"/>
    <w:rsid w:val="489F379C"/>
    <w:rsid w:val="48E33E40"/>
    <w:rsid w:val="48FDD4D2"/>
    <w:rsid w:val="490B41C9"/>
    <w:rsid w:val="49117305"/>
    <w:rsid w:val="491F539C"/>
    <w:rsid w:val="4947C4EF"/>
    <w:rsid w:val="4948541D"/>
    <w:rsid w:val="494F67AB"/>
    <w:rsid w:val="4953791E"/>
    <w:rsid w:val="49BB17F9"/>
    <w:rsid w:val="49C66341"/>
    <w:rsid w:val="49D15DC0"/>
    <w:rsid w:val="49D97E23"/>
    <w:rsid w:val="49E7EA01"/>
    <w:rsid w:val="49EC1585"/>
    <w:rsid w:val="49ED6741"/>
    <w:rsid w:val="49FA5FEB"/>
    <w:rsid w:val="4A1AC7F7"/>
    <w:rsid w:val="4A7D4C52"/>
    <w:rsid w:val="4A7F72E8"/>
    <w:rsid w:val="4AA44E08"/>
    <w:rsid w:val="4AA46683"/>
    <w:rsid w:val="4AB97C54"/>
    <w:rsid w:val="4ABDAC17"/>
    <w:rsid w:val="4ABF328F"/>
    <w:rsid w:val="4AC00FE3"/>
    <w:rsid w:val="4AD9EE75"/>
    <w:rsid w:val="4ADEC64D"/>
    <w:rsid w:val="4AEC1DD8"/>
    <w:rsid w:val="4AED9AA3"/>
    <w:rsid w:val="4AFBFA2B"/>
    <w:rsid w:val="4AFFD431"/>
    <w:rsid w:val="4B09298A"/>
    <w:rsid w:val="4B2772B4"/>
    <w:rsid w:val="4B3612A5"/>
    <w:rsid w:val="4B461E54"/>
    <w:rsid w:val="4B581C71"/>
    <w:rsid w:val="4B616322"/>
    <w:rsid w:val="4B699B62"/>
    <w:rsid w:val="4B78366B"/>
    <w:rsid w:val="4B7A562F"/>
    <w:rsid w:val="4B7C53E9"/>
    <w:rsid w:val="4B7E15DB"/>
    <w:rsid w:val="4B7F26F3"/>
    <w:rsid w:val="4B7F4794"/>
    <w:rsid w:val="4B7F4D90"/>
    <w:rsid w:val="4B7FFFD6"/>
    <w:rsid w:val="4B8B15F1"/>
    <w:rsid w:val="4BA6467C"/>
    <w:rsid w:val="4BAC0085"/>
    <w:rsid w:val="4BB072A9"/>
    <w:rsid w:val="4BB172DA"/>
    <w:rsid w:val="4BBCD95C"/>
    <w:rsid w:val="4BCB40E3"/>
    <w:rsid w:val="4BCCA7F3"/>
    <w:rsid w:val="4BDDB048"/>
    <w:rsid w:val="4BEBAF81"/>
    <w:rsid w:val="4BEF688E"/>
    <w:rsid w:val="4BF38BD1"/>
    <w:rsid w:val="4BF7EB84"/>
    <w:rsid w:val="4BF9D6F0"/>
    <w:rsid w:val="4BFB72A2"/>
    <w:rsid w:val="4BFEB948"/>
    <w:rsid w:val="4BFECC2F"/>
    <w:rsid w:val="4C1B2975"/>
    <w:rsid w:val="4C27165C"/>
    <w:rsid w:val="4C343A36"/>
    <w:rsid w:val="4C4E3D0A"/>
    <w:rsid w:val="4C912C37"/>
    <w:rsid w:val="4CBD7ED0"/>
    <w:rsid w:val="4CED9BBF"/>
    <w:rsid w:val="4CEED0E3"/>
    <w:rsid w:val="4D2A2E24"/>
    <w:rsid w:val="4D2D5B7B"/>
    <w:rsid w:val="4D317C28"/>
    <w:rsid w:val="4D5819A6"/>
    <w:rsid w:val="4D6C7200"/>
    <w:rsid w:val="4D7C8636"/>
    <w:rsid w:val="4D7FA790"/>
    <w:rsid w:val="4D92310A"/>
    <w:rsid w:val="4D9DD517"/>
    <w:rsid w:val="4DAF9A1A"/>
    <w:rsid w:val="4DAFA8DD"/>
    <w:rsid w:val="4DB75773"/>
    <w:rsid w:val="4DBB6B2F"/>
    <w:rsid w:val="4DBCE4DB"/>
    <w:rsid w:val="4DBD8E72"/>
    <w:rsid w:val="4DBE6E06"/>
    <w:rsid w:val="4DBF2D7B"/>
    <w:rsid w:val="4DCE4E00"/>
    <w:rsid w:val="4DD21759"/>
    <w:rsid w:val="4DD75597"/>
    <w:rsid w:val="4DD7BFF0"/>
    <w:rsid w:val="4DDB3F32"/>
    <w:rsid w:val="4DEC4BE7"/>
    <w:rsid w:val="4DEC8DA5"/>
    <w:rsid w:val="4DEF3209"/>
    <w:rsid w:val="4DEFF6E0"/>
    <w:rsid w:val="4DEFF8E4"/>
    <w:rsid w:val="4DF361F4"/>
    <w:rsid w:val="4DF6D0E3"/>
    <w:rsid w:val="4DFBFB40"/>
    <w:rsid w:val="4DFE372B"/>
    <w:rsid w:val="4DFF2820"/>
    <w:rsid w:val="4DFF8A3A"/>
    <w:rsid w:val="4DFF99D3"/>
    <w:rsid w:val="4DFFF848"/>
    <w:rsid w:val="4E04568A"/>
    <w:rsid w:val="4E0B07C7"/>
    <w:rsid w:val="4E2700AA"/>
    <w:rsid w:val="4E5BC82E"/>
    <w:rsid w:val="4E6E2DA6"/>
    <w:rsid w:val="4E6FC25B"/>
    <w:rsid w:val="4E7B4A3E"/>
    <w:rsid w:val="4E7F9C10"/>
    <w:rsid w:val="4E830CA5"/>
    <w:rsid w:val="4E97BDE2"/>
    <w:rsid w:val="4EACC8C6"/>
    <w:rsid w:val="4EBBB5A7"/>
    <w:rsid w:val="4ED38843"/>
    <w:rsid w:val="4ED94208"/>
    <w:rsid w:val="4EDE26FB"/>
    <w:rsid w:val="4EDF947E"/>
    <w:rsid w:val="4EDFE685"/>
    <w:rsid w:val="4EEBD930"/>
    <w:rsid w:val="4EF16552"/>
    <w:rsid w:val="4EF71677"/>
    <w:rsid w:val="4EF9B5F5"/>
    <w:rsid w:val="4EFB3DE4"/>
    <w:rsid w:val="4EFC869B"/>
    <w:rsid w:val="4EFE6CB1"/>
    <w:rsid w:val="4EFEC82A"/>
    <w:rsid w:val="4EFECA89"/>
    <w:rsid w:val="4EFF169E"/>
    <w:rsid w:val="4EFFDE0D"/>
    <w:rsid w:val="4F0AE88C"/>
    <w:rsid w:val="4F0CBEDF"/>
    <w:rsid w:val="4F13E6D6"/>
    <w:rsid w:val="4F1418FD"/>
    <w:rsid w:val="4F1E452A"/>
    <w:rsid w:val="4F1EA2B4"/>
    <w:rsid w:val="4F26F838"/>
    <w:rsid w:val="4F2F6737"/>
    <w:rsid w:val="4F366A49"/>
    <w:rsid w:val="4F3D1959"/>
    <w:rsid w:val="4F3F7E41"/>
    <w:rsid w:val="4F5B5725"/>
    <w:rsid w:val="4F5D79BB"/>
    <w:rsid w:val="4F5DA525"/>
    <w:rsid w:val="4F697E9B"/>
    <w:rsid w:val="4F69B9FC"/>
    <w:rsid w:val="4F6C4771"/>
    <w:rsid w:val="4F6E8C0A"/>
    <w:rsid w:val="4F6EF97C"/>
    <w:rsid w:val="4F6FCBE5"/>
    <w:rsid w:val="4F717131"/>
    <w:rsid w:val="4F739B91"/>
    <w:rsid w:val="4F79D658"/>
    <w:rsid w:val="4F7B945B"/>
    <w:rsid w:val="4F7DCBAB"/>
    <w:rsid w:val="4F8DA560"/>
    <w:rsid w:val="4F97333D"/>
    <w:rsid w:val="4F974A08"/>
    <w:rsid w:val="4F9F00B0"/>
    <w:rsid w:val="4FA24E99"/>
    <w:rsid w:val="4FA7B8D7"/>
    <w:rsid w:val="4FAC9996"/>
    <w:rsid w:val="4FB1B33C"/>
    <w:rsid w:val="4FB235F0"/>
    <w:rsid w:val="4FB73023"/>
    <w:rsid w:val="4FBA0672"/>
    <w:rsid w:val="4FBA85EC"/>
    <w:rsid w:val="4FBB4DAF"/>
    <w:rsid w:val="4FBD3AF3"/>
    <w:rsid w:val="4FBD5737"/>
    <w:rsid w:val="4FBD7D86"/>
    <w:rsid w:val="4FC39DF5"/>
    <w:rsid w:val="4FCFE118"/>
    <w:rsid w:val="4FD73897"/>
    <w:rsid w:val="4FD7AC93"/>
    <w:rsid w:val="4FDBFE6E"/>
    <w:rsid w:val="4FDDB948"/>
    <w:rsid w:val="4FDF3DFB"/>
    <w:rsid w:val="4FDF409A"/>
    <w:rsid w:val="4FDFD6F0"/>
    <w:rsid w:val="4FE506AD"/>
    <w:rsid w:val="4FEA15FF"/>
    <w:rsid w:val="4FEB0797"/>
    <w:rsid w:val="4FEB8F5C"/>
    <w:rsid w:val="4FEBE492"/>
    <w:rsid w:val="4FED07E1"/>
    <w:rsid w:val="4FED3B07"/>
    <w:rsid w:val="4FEFB18E"/>
    <w:rsid w:val="4FEFE6F9"/>
    <w:rsid w:val="4FF55DDF"/>
    <w:rsid w:val="4FFB1F64"/>
    <w:rsid w:val="4FFB3583"/>
    <w:rsid w:val="4FFBDFFF"/>
    <w:rsid w:val="4FFBF0E5"/>
    <w:rsid w:val="4FFCBABB"/>
    <w:rsid w:val="4FFE3C37"/>
    <w:rsid w:val="4FFE6A71"/>
    <w:rsid w:val="4FFE9E32"/>
    <w:rsid w:val="4FFECEE9"/>
    <w:rsid w:val="4FFF09FF"/>
    <w:rsid w:val="4FFF21FF"/>
    <w:rsid w:val="4FFF4318"/>
    <w:rsid w:val="4FFFB011"/>
    <w:rsid w:val="50081462"/>
    <w:rsid w:val="502667AA"/>
    <w:rsid w:val="50502E09"/>
    <w:rsid w:val="5060129E"/>
    <w:rsid w:val="509251CF"/>
    <w:rsid w:val="50B138A7"/>
    <w:rsid w:val="50C03AEB"/>
    <w:rsid w:val="50E74B63"/>
    <w:rsid w:val="50E7551B"/>
    <w:rsid w:val="50FD1E5F"/>
    <w:rsid w:val="5107796B"/>
    <w:rsid w:val="511F16B7"/>
    <w:rsid w:val="511F2F07"/>
    <w:rsid w:val="512075A6"/>
    <w:rsid w:val="51383FC9"/>
    <w:rsid w:val="514E7348"/>
    <w:rsid w:val="5151508A"/>
    <w:rsid w:val="5156444F"/>
    <w:rsid w:val="516923D4"/>
    <w:rsid w:val="516B375B"/>
    <w:rsid w:val="5177491E"/>
    <w:rsid w:val="517843C5"/>
    <w:rsid w:val="51856AE2"/>
    <w:rsid w:val="518E9D2A"/>
    <w:rsid w:val="51987D24"/>
    <w:rsid w:val="51C44251"/>
    <w:rsid w:val="51CE0489"/>
    <w:rsid w:val="51DF61F2"/>
    <w:rsid w:val="51F021AD"/>
    <w:rsid w:val="51F4F240"/>
    <w:rsid w:val="51F55A16"/>
    <w:rsid w:val="51FA32A1"/>
    <w:rsid w:val="52075749"/>
    <w:rsid w:val="520C46EE"/>
    <w:rsid w:val="527709F7"/>
    <w:rsid w:val="52776919"/>
    <w:rsid w:val="527E5A0B"/>
    <w:rsid w:val="52973752"/>
    <w:rsid w:val="52A511EA"/>
    <w:rsid w:val="52D07091"/>
    <w:rsid w:val="52E02222"/>
    <w:rsid w:val="52EC506B"/>
    <w:rsid w:val="52EEBA80"/>
    <w:rsid w:val="52F2D316"/>
    <w:rsid w:val="52F8FAD7"/>
    <w:rsid w:val="52F91536"/>
    <w:rsid w:val="52F926D4"/>
    <w:rsid w:val="52FCF2B5"/>
    <w:rsid w:val="52FD0A63"/>
    <w:rsid w:val="52FF7915"/>
    <w:rsid w:val="52FFCFF2"/>
    <w:rsid w:val="531C42B9"/>
    <w:rsid w:val="532A16EF"/>
    <w:rsid w:val="53395DD6"/>
    <w:rsid w:val="533F662A"/>
    <w:rsid w:val="534F7804"/>
    <w:rsid w:val="535F96C0"/>
    <w:rsid w:val="53777934"/>
    <w:rsid w:val="537781B7"/>
    <w:rsid w:val="537853B0"/>
    <w:rsid w:val="537F32C9"/>
    <w:rsid w:val="537F7B93"/>
    <w:rsid w:val="537FCBD2"/>
    <w:rsid w:val="538C23AA"/>
    <w:rsid w:val="53AB6A46"/>
    <w:rsid w:val="53AD33EA"/>
    <w:rsid w:val="53BF3E36"/>
    <w:rsid w:val="53BFDB23"/>
    <w:rsid w:val="53C5766A"/>
    <w:rsid w:val="53DDB26E"/>
    <w:rsid w:val="53E71791"/>
    <w:rsid w:val="53EC2AC6"/>
    <w:rsid w:val="53ED0235"/>
    <w:rsid w:val="53F23B12"/>
    <w:rsid w:val="53F6CA77"/>
    <w:rsid w:val="53F73612"/>
    <w:rsid w:val="53F9F049"/>
    <w:rsid w:val="53FA263F"/>
    <w:rsid w:val="53FA296A"/>
    <w:rsid w:val="53FCD0D1"/>
    <w:rsid w:val="53FD7079"/>
    <w:rsid w:val="53FDB49A"/>
    <w:rsid w:val="53FF3BF5"/>
    <w:rsid w:val="53FF4192"/>
    <w:rsid w:val="5426635A"/>
    <w:rsid w:val="54324CFF"/>
    <w:rsid w:val="543EC61A"/>
    <w:rsid w:val="543F3F9B"/>
    <w:rsid w:val="54680721"/>
    <w:rsid w:val="546E21A3"/>
    <w:rsid w:val="54AE00FE"/>
    <w:rsid w:val="54CC6733"/>
    <w:rsid w:val="54DD4085"/>
    <w:rsid w:val="54DE1C77"/>
    <w:rsid w:val="54E5BC6F"/>
    <w:rsid w:val="54EC75A4"/>
    <w:rsid w:val="54ED0C26"/>
    <w:rsid w:val="54F47C8D"/>
    <w:rsid w:val="54FF8E48"/>
    <w:rsid w:val="54FFD9D4"/>
    <w:rsid w:val="55036B6A"/>
    <w:rsid w:val="55164621"/>
    <w:rsid w:val="55236D3E"/>
    <w:rsid w:val="55320D2F"/>
    <w:rsid w:val="556DFB8D"/>
    <w:rsid w:val="557408E5"/>
    <w:rsid w:val="5575632B"/>
    <w:rsid w:val="557C942C"/>
    <w:rsid w:val="559DD490"/>
    <w:rsid w:val="55BD4794"/>
    <w:rsid w:val="55BD4A9D"/>
    <w:rsid w:val="55BF7F9C"/>
    <w:rsid w:val="55DF9DED"/>
    <w:rsid w:val="55DFE676"/>
    <w:rsid w:val="55E3A5EF"/>
    <w:rsid w:val="55EFCD91"/>
    <w:rsid w:val="55F74D4E"/>
    <w:rsid w:val="55F7C453"/>
    <w:rsid w:val="55FB8762"/>
    <w:rsid w:val="55FEF55E"/>
    <w:rsid w:val="55FF6C6C"/>
    <w:rsid w:val="55FF96F2"/>
    <w:rsid w:val="55FFA548"/>
    <w:rsid w:val="5614E3B0"/>
    <w:rsid w:val="563F1955"/>
    <w:rsid w:val="56535401"/>
    <w:rsid w:val="5656A5E3"/>
    <w:rsid w:val="56571B99"/>
    <w:rsid w:val="5666B0B1"/>
    <w:rsid w:val="566F02D1"/>
    <w:rsid w:val="56707D61"/>
    <w:rsid w:val="56785D5C"/>
    <w:rsid w:val="567F0F1D"/>
    <w:rsid w:val="569B04C8"/>
    <w:rsid w:val="569BCBD2"/>
    <w:rsid w:val="569D9063"/>
    <w:rsid w:val="56B729AD"/>
    <w:rsid w:val="56BE8863"/>
    <w:rsid w:val="56BF0556"/>
    <w:rsid w:val="56BF0CFF"/>
    <w:rsid w:val="56C79066"/>
    <w:rsid w:val="56D2A461"/>
    <w:rsid w:val="56D9AA0D"/>
    <w:rsid w:val="56E30533"/>
    <w:rsid w:val="56EA18C8"/>
    <w:rsid w:val="56EF2986"/>
    <w:rsid w:val="56F2A3CD"/>
    <w:rsid w:val="56F7C714"/>
    <w:rsid w:val="56F7CE07"/>
    <w:rsid w:val="56F7F0E9"/>
    <w:rsid w:val="56FB0B04"/>
    <w:rsid w:val="56FD052F"/>
    <w:rsid w:val="56FDA491"/>
    <w:rsid w:val="56FF3F0F"/>
    <w:rsid w:val="56FFDF80"/>
    <w:rsid w:val="56FFEBDE"/>
    <w:rsid w:val="57081D47"/>
    <w:rsid w:val="571701DC"/>
    <w:rsid w:val="571D818D"/>
    <w:rsid w:val="572648C3"/>
    <w:rsid w:val="572E44C2"/>
    <w:rsid w:val="573CC374"/>
    <w:rsid w:val="573D6717"/>
    <w:rsid w:val="573DCF9D"/>
    <w:rsid w:val="573FDDCB"/>
    <w:rsid w:val="57462870"/>
    <w:rsid w:val="574F4064"/>
    <w:rsid w:val="575FA6C3"/>
    <w:rsid w:val="575FF9F9"/>
    <w:rsid w:val="57675620"/>
    <w:rsid w:val="576F4177"/>
    <w:rsid w:val="577B0860"/>
    <w:rsid w:val="577D0987"/>
    <w:rsid w:val="577F8155"/>
    <w:rsid w:val="577F85BD"/>
    <w:rsid w:val="57966CA7"/>
    <w:rsid w:val="579A5F23"/>
    <w:rsid w:val="57A8352A"/>
    <w:rsid w:val="57AA7986"/>
    <w:rsid w:val="57AFAF46"/>
    <w:rsid w:val="57B23245"/>
    <w:rsid w:val="57B3A1BC"/>
    <w:rsid w:val="57B703E6"/>
    <w:rsid w:val="57B7B249"/>
    <w:rsid w:val="57BA0AED"/>
    <w:rsid w:val="57BA896D"/>
    <w:rsid w:val="57BB798A"/>
    <w:rsid w:val="57BFAB19"/>
    <w:rsid w:val="57CF51A9"/>
    <w:rsid w:val="57CF69F8"/>
    <w:rsid w:val="57DD3FE3"/>
    <w:rsid w:val="57E6AA7E"/>
    <w:rsid w:val="57E7A688"/>
    <w:rsid w:val="57EF9842"/>
    <w:rsid w:val="57EFD71E"/>
    <w:rsid w:val="57F31CB7"/>
    <w:rsid w:val="57F566B2"/>
    <w:rsid w:val="57F58665"/>
    <w:rsid w:val="57F78B12"/>
    <w:rsid w:val="57F86260"/>
    <w:rsid w:val="57F89846"/>
    <w:rsid w:val="57FA56FE"/>
    <w:rsid w:val="57FBC878"/>
    <w:rsid w:val="57FBECC3"/>
    <w:rsid w:val="57FD9740"/>
    <w:rsid w:val="57FEC6B6"/>
    <w:rsid w:val="57FEFF36"/>
    <w:rsid w:val="57FF07A2"/>
    <w:rsid w:val="57FF215F"/>
    <w:rsid w:val="57FF256A"/>
    <w:rsid w:val="57FF3698"/>
    <w:rsid w:val="57FF3D3F"/>
    <w:rsid w:val="57FF73EF"/>
    <w:rsid w:val="57FF755C"/>
    <w:rsid w:val="57FF75F8"/>
    <w:rsid w:val="57FF9A3A"/>
    <w:rsid w:val="57FF9EDB"/>
    <w:rsid w:val="57FFB488"/>
    <w:rsid w:val="57FFC11F"/>
    <w:rsid w:val="57FFD717"/>
    <w:rsid w:val="57FFECC4"/>
    <w:rsid w:val="58003759"/>
    <w:rsid w:val="581364EF"/>
    <w:rsid w:val="5851771E"/>
    <w:rsid w:val="585C67EF"/>
    <w:rsid w:val="5873C544"/>
    <w:rsid w:val="587BDB6E"/>
    <w:rsid w:val="587C0C3F"/>
    <w:rsid w:val="587FD393"/>
    <w:rsid w:val="58B02697"/>
    <w:rsid w:val="58B9EF7D"/>
    <w:rsid w:val="58DDEA12"/>
    <w:rsid w:val="58DE7204"/>
    <w:rsid w:val="58E57120"/>
    <w:rsid w:val="58FFEB32"/>
    <w:rsid w:val="59611BE3"/>
    <w:rsid w:val="5965509A"/>
    <w:rsid w:val="596E7FFB"/>
    <w:rsid w:val="5978E4FB"/>
    <w:rsid w:val="597B0EF6"/>
    <w:rsid w:val="597E3098"/>
    <w:rsid w:val="597EB536"/>
    <w:rsid w:val="598A738C"/>
    <w:rsid w:val="59981AA8"/>
    <w:rsid w:val="599956CF"/>
    <w:rsid w:val="59AD8F5D"/>
    <w:rsid w:val="59B13964"/>
    <w:rsid w:val="59B3EAB2"/>
    <w:rsid w:val="59B75988"/>
    <w:rsid w:val="59B9CBBA"/>
    <w:rsid w:val="59BD7A39"/>
    <w:rsid w:val="59BEA0F0"/>
    <w:rsid w:val="59BFC656"/>
    <w:rsid w:val="59C07FBD"/>
    <w:rsid w:val="59D180E4"/>
    <w:rsid w:val="59D2488F"/>
    <w:rsid w:val="59D5ED12"/>
    <w:rsid w:val="59DF5678"/>
    <w:rsid w:val="59DF626E"/>
    <w:rsid w:val="59DF79FE"/>
    <w:rsid w:val="59DFECCC"/>
    <w:rsid w:val="59DFF03D"/>
    <w:rsid w:val="59E3084A"/>
    <w:rsid w:val="59F842F5"/>
    <w:rsid w:val="59FDC457"/>
    <w:rsid w:val="59FDD4EE"/>
    <w:rsid w:val="59FF1955"/>
    <w:rsid w:val="59FF2C83"/>
    <w:rsid w:val="5A144EA7"/>
    <w:rsid w:val="5A166E71"/>
    <w:rsid w:val="5A315A59"/>
    <w:rsid w:val="5A3DC600"/>
    <w:rsid w:val="5A57C18E"/>
    <w:rsid w:val="5A6E2809"/>
    <w:rsid w:val="5A771978"/>
    <w:rsid w:val="5A7D0D8B"/>
    <w:rsid w:val="5A8E7C67"/>
    <w:rsid w:val="5A9658BC"/>
    <w:rsid w:val="5AA93841"/>
    <w:rsid w:val="5ABD72ED"/>
    <w:rsid w:val="5AC7B8B8"/>
    <w:rsid w:val="5AE900E2"/>
    <w:rsid w:val="5AEC7AFC"/>
    <w:rsid w:val="5AEC8642"/>
    <w:rsid w:val="5AED11F5"/>
    <w:rsid w:val="5AF370C0"/>
    <w:rsid w:val="5AF44E79"/>
    <w:rsid w:val="5AF4BDA4"/>
    <w:rsid w:val="5AFBAB3D"/>
    <w:rsid w:val="5AFC1BC3"/>
    <w:rsid w:val="5AFCAAEB"/>
    <w:rsid w:val="5AFD2FAA"/>
    <w:rsid w:val="5AFDAC5E"/>
    <w:rsid w:val="5AFF65CB"/>
    <w:rsid w:val="5AFF777F"/>
    <w:rsid w:val="5AFFFC4C"/>
    <w:rsid w:val="5B1865EF"/>
    <w:rsid w:val="5B1FBB69"/>
    <w:rsid w:val="5B3752F1"/>
    <w:rsid w:val="5B3E904A"/>
    <w:rsid w:val="5B3FE883"/>
    <w:rsid w:val="5B459C40"/>
    <w:rsid w:val="5B46547E"/>
    <w:rsid w:val="5B56A224"/>
    <w:rsid w:val="5B5FC6D7"/>
    <w:rsid w:val="5B631C42"/>
    <w:rsid w:val="5B65F5E0"/>
    <w:rsid w:val="5B6EA21C"/>
    <w:rsid w:val="5B724C6C"/>
    <w:rsid w:val="5B770F91"/>
    <w:rsid w:val="5B7B0627"/>
    <w:rsid w:val="5B7B7F5E"/>
    <w:rsid w:val="5B7F407F"/>
    <w:rsid w:val="5B8D4F11"/>
    <w:rsid w:val="5B8E2BAF"/>
    <w:rsid w:val="5B8F001B"/>
    <w:rsid w:val="5B8F9611"/>
    <w:rsid w:val="5B9DAC1A"/>
    <w:rsid w:val="5B9E702F"/>
    <w:rsid w:val="5B9F9497"/>
    <w:rsid w:val="5BA6EA54"/>
    <w:rsid w:val="5BAB6F59"/>
    <w:rsid w:val="5BAD55B3"/>
    <w:rsid w:val="5BB395D3"/>
    <w:rsid w:val="5BB5D1FC"/>
    <w:rsid w:val="5BB730F4"/>
    <w:rsid w:val="5BB7DD8D"/>
    <w:rsid w:val="5BB9C01E"/>
    <w:rsid w:val="5BBB4F35"/>
    <w:rsid w:val="5BBF10F9"/>
    <w:rsid w:val="5BBF3E63"/>
    <w:rsid w:val="5BBFB4DE"/>
    <w:rsid w:val="5BBFE1C1"/>
    <w:rsid w:val="5BC79F9E"/>
    <w:rsid w:val="5BC8545B"/>
    <w:rsid w:val="5BCB77E7"/>
    <w:rsid w:val="5BD5F44A"/>
    <w:rsid w:val="5BD82630"/>
    <w:rsid w:val="5BDF361B"/>
    <w:rsid w:val="5BDF68AD"/>
    <w:rsid w:val="5BE2525D"/>
    <w:rsid w:val="5BE7175E"/>
    <w:rsid w:val="5BE71B25"/>
    <w:rsid w:val="5BEB28EE"/>
    <w:rsid w:val="5BEE050C"/>
    <w:rsid w:val="5BEEA18C"/>
    <w:rsid w:val="5BEEE140"/>
    <w:rsid w:val="5BEF5B80"/>
    <w:rsid w:val="5BEF9963"/>
    <w:rsid w:val="5BF5658E"/>
    <w:rsid w:val="5BF5693C"/>
    <w:rsid w:val="5BF79304"/>
    <w:rsid w:val="5BF7B7A7"/>
    <w:rsid w:val="5BF97CCC"/>
    <w:rsid w:val="5BFB7565"/>
    <w:rsid w:val="5BFBC863"/>
    <w:rsid w:val="5BFD5121"/>
    <w:rsid w:val="5BFE6B79"/>
    <w:rsid w:val="5BFE79E6"/>
    <w:rsid w:val="5BFEF831"/>
    <w:rsid w:val="5BFF2AB3"/>
    <w:rsid w:val="5BFF54FB"/>
    <w:rsid w:val="5BFF73F9"/>
    <w:rsid w:val="5BFF80CA"/>
    <w:rsid w:val="5BFFB736"/>
    <w:rsid w:val="5BFFBD9C"/>
    <w:rsid w:val="5BFFCA58"/>
    <w:rsid w:val="5BFFF0D9"/>
    <w:rsid w:val="5C0FA560"/>
    <w:rsid w:val="5C1E53F1"/>
    <w:rsid w:val="5C39B2DB"/>
    <w:rsid w:val="5C3B559F"/>
    <w:rsid w:val="5C3BDE76"/>
    <w:rsid w:val="5C4E46A0"/>
    <w:rsid w:val="5C531CB7"/>
    <w:rsid w:val="5C56975C"/>
    <w:rsid w:val="5C56F12B"/>
    <w:rsid w:val="5C68421A"/>
    <w:rsid w:val="5C693288"/>
    <w:rsid w:val="5C6F821D"/>
    <w:rsid w:val="5C796465"/>
    <w:rsid w:val="5C7CA636"/>
    <w:rsid w:val="5C9A88C0"/>
    <w:rsid w:val="5CA22C3E"/>
    <w:rsid w:val="5CA70254"/>
    <w:rsid w:val="5CAE15E3"/>
    <w:rsid w:val="5CAE2CB4"/>
    <w:rsid w:val="5CB85FBE"/>
    <w:rsid w:val="5CBFEF3F"/>
    <w:rsid w:val="5CC75A2C"/>
    <w:rsid w:val="5CD3E58C"/>
    <w:rsid w:val="5CDB3AD0"/>
    <w:rsid w:val="5CDC1CAC"/>
    <w:rsid w:val="5CDFD0C5"/>
    <w:rsid w:val="5CEE085D"/>
    <w:rsid w:val="5CEE378D"/>
    <w:rsid w:val="5CF76D55"/>
    <w:rsid w:val="5CF9DCAE"/>
    <w:rsid w:val="5CFB3A30"/>
    <w:rsid w:val="5CFE5D60"/>
    <w:rsid w:val="5CFF48D3"/>
    <w:rsid w:val="5CFF7280"/>
    <w:rsid w:val="5CFFA32B"/>
    <w:rsid w:val="5CFFB70F"/>
    <w:rsid w:val="5CFFBA02"/>
    <w:rsid w:val="5CFFBCC8"/>
    <w:rsid w:val="5D121B72"/>
    <w:rsid w:val="5D372BF5"/>
    <w:rsid w:val="5D4FF0C2"/>
    <w:rsid w:val="5D559784"/>
    <w:rsid w:val="5D57F0B1"/>
    <w:rsid w:val="5D5C1CB2"/>
    <w:rsid w:val="5D5F66F7"/>
    <w:rsid w:val="5D5FB683"/>
    <w:rsid w:val="5D69550A"/>
    <w:rsid w:val="5D6DA16A"/>
    <w:rsid w:val="5D720862"/>
    <w:rsid w:val="5D752101"/>
    <w:rsid w:val="5D777F86"/>
    <w:rsid w:val="5D7AFCA3"/>
    <w:rsid w:val="5D7DF36C"/>
    <w:rsid w:val="5D7F5293"/>
    <w:rsid w:val="5D7F583E"/>
    <w:rsid w:val="5D7FE06E"/>
    <w:rsid w:val="5D7FF104"/>
    <w:rsid w:val="5D8B13DE"/>
    <w:rsid w:val="5D8DACEA"/>
    <w:rsid w:val="5D8F38B6"/>
    <w:rsid w:val="5D9814D7"/>
    <w:rsid w:val="5D9E282E"/>
    <w:rsid w:val="5DA55197"/>
    <w:rsid w:val="5DAA226C"/>
    <w:rsid w:val="5DADC042"/>
    <w:rsid w:val="5DAFFC74"/>
    <w:rsid w:val="5DB6E33B"/>
    <w:rsid w:val="5DBA0AC2"/>
    <w:rsid w:val="5DBBB4AB"/>
    <w:rsid w:val="5DBD0EF1"/>
    <w:rsid w:val="5DBD3369"/>
    <w:rsid w:val="5DBE7BA7"/>
    <w:rsid w:val="5DBF2E72"/>
    <w:rsid w:val="5DBF81EE"/>
    <w:rsid w:val="5DBFA9BF"/>
    <w:rsid w:val="5DC617BB"/>
    <w:rsid w:val="5DC71757"/>
    <w:rsid w:val="5DCB3ACF"/>
    <w:rsid w:val="5DCDCC10"/>
    <w:rsid w:val="5DD1C633"/>
    <w:rsid w:val="5DD50A7C"/>
    <w:rsid w:val="5DD51EC8"/>
    <w:rsid w:val="5DD5A105"/>
    <w:rsid w:val="5DD719D1"/>
    <w:rsid w:val="5DD7A5E1"/>
    <w:rsid w:val="5DDB9431"/>
    <w:rsid w:val="5DDBC316"/>
    <w:rsid w:val="5DDC73EF"/>
    <w:rsid w:val="5DDDBA35"/>
    <w:rsid w:val="5DDF3A82"/>
    <w:rsid w:val="5DDF7250"/>
    <w:rsid w:val="5DDF7CC3"/>
    <w:rsid w:val="5DE5760D"/>
    <w:rsid w:val="5DE6EEAE"/>
    <w:rsid w:val="5DF4A568"/>
    <w:rsid w:val="5DF76576"/>
    <w:rsid w:val="5DF7842A"/>
    <w:rsid w:val="5DF7B1C1"/>
    <w:rsid w:val="5DF7E502"/>
    <w:rsid w:val="5DFD9516"/>
    <w:rsid w:val="5DFDCBAF"/>
    <w:rsid w:val="5DFDE3A4"/>
    <w:rsid w:val="5DFE4324"/>
    <w:rsid w:val="5DFF5C7A"/>
    <w:rsid w:val="5DFF668A"/>
    <w:rsid w:val="5DFFAFEE"/>
    <w:rsid w:val="5DFFD053"/>
    <w:rsid w:val="5DFFD171"/>
    <w:rsid w:val="5DFFDF4C"/>
    <w:rsid w:val="5E062D59"/>
    <w:rsid w:val="5E280F21"/>
    <w:rsid w:val="5E3E5643"/>
    <w:rsid w:val="5E5E6E47"/>
    <w:rsid w:val="5E5F4347"/>
    <w:rsid w:val="5E6881E1"/>
    <w:rsid w:val="5E6B34C0"/>
    <w:rsid w:val="5E74324C"/>
    <w:rsid w:val="5E77866B"/>
    <w:rsid w:val="5E77BC7B"/>
    <w:rsid w:val="5E7B75C6"/>
    <w:rsid w:val="5E7ECDF8"/>
    <w:rsid w:val="5E7EDADD"/>
    <w:rsid w:val="5E7EF2AC"/>
    <w:rsid w:val="5E7EFAEA"/>
    <w:rsid w:val="5E7F0D07"/>
    <w:rsid w:val="5E7FA636"/>
    <w:rsid w:val="5E7FB995"/>
    <w:rsid w:val="5E7FF36F"/>
    <w:rsid w:val="5E7FFE8A"/>
    <w:rsid w:val="5E974A35"/>
    <w:rsid w:val="5E9FC870"/>
    <w:rsid w:val="5EA65614"/>
    <w:rsid w:val="5EAE1136"/>
    <w:rsid w:val="5EAF284D"/>
    <w:rsid w:val="5EAF91C8"/>
    <w:rsid w:val="5EB36A3D"/>
    <w:rsid w:val="5EB56530"/>
    <w:rsid w:val="5EB5CF30"/>
    <w:rsid w:val="5EBAD404"/>
    <w:rsid w:val="5EBEEB88"/>
    <w:rsid w:val="5EBF8922"/>
    <w:rsid w:val="5EBFE62F"/>
    <w:rsid w:val="5ECE6A97"/>
    <w:rsid w:val="5ECEDBEF"/>
    <w:rsid w:val="5ECF473E"/>
    <w:rsid w:val="5ECFD504"/>
    <w:rsid w:val="5ED46C0F"/>
    <w:rsid w:val="5ED7A31F"/>
    <w:rsid w:val="5ED86E0D"/>
    <w:rsid w:val="5EDB1EAE"/>
    <w:rsid w:val="5EDB78EE"/>
    <w:rsid w:val="5EDBABFF"/>
    <w:rsid w:val="5EDE1AEA"/>
    <w:rsid w:val="5EDED6A6"/>
    <w:rsid w:val="5EDF416D"/>
    <w:rsid w:val="5EDF815A"/>
    <w:rsid w:val="5EDFCC2F"/>
    <w:rsid w:val="5EE017FC"/>
    <w:rsid w:val="5EE65064"/>
    <w:rsid w:val="5EE6C0A4"/>
    <w:rsid w:val="5EE70924"/>
    <w:rsid w:val="5EEC4335"/>
    <w:rsid w:val="5EED32D9"/>
    <w:rsid w:val="5EEF9C0C"/>
    <w:rsid w:val="5EEFA2F4"/>
    <w:rsid w:val="5EF3AF9F"/>
    <w:rsid w:val="5EF47C0D"/>
    <w:rsid w:val="5EF6A49D"/>
    <w:rsid w:val="5EF70719"/>
    <w:rsid w:val="5EF72ED6"/>
    <w:rsid w:val="5EF75C66"/>
    <w:rsid w:val="5EF9159E"/>
    <w:rsid w:val="5EFAE37C"/>
    <w:rsid w:val="5EFB0C38"/>
    <w:rsid w:val="5EFB4E30"/>
    <w:rsid w:val="5EFB9B47"/>
    <w:rsid w:val="5EFBAFEA"/>
    <w:rsid w:val="5EFBD25E"/>
    <w:rsid w:val="5EFBD329"/>
    <w:rsid w:val="5EFC4888"/>
    <w:rsid w:val="5EFDB2D2"/>
    <w:rsid w:val="5EFF0153"/>
    <w:rsid w:val="5EFF3AE8"/>
    <w:rsid w:val="5EFFED24"/>
    <w:rsid w:val="5F0E5785"/>
    <w:rsid w:val="5F1F679B"/>
    <w:rsid w:val="5F2B5BDA"/>
    <w:rsid w:val="5F2F040D"/>
    <w:rsid w:val="5F3320CB"/>
    <w:rsid w:val="5F34EF57"/>
    <w:rsid w:val="5F37DEBD"/>
    <w:rsid w:val="5F3A99F3"/>
    <w:rsid w:val="5F3BCB4D"/>
    <w:rsid w:val="5F3F2A3E"/>
    <w:rsid w:val="5F3F4645"/>
    <w:rsid w:val="5F3F9186"/>
    <w:rsid w:val="5F463D55"/>
    <w:rsid w:val="5F479CAC"/>
    <w:rsid w:val="5F48D571"/>
    <w:rsid w:val="5F4973A1"/>
    <w:rsid w:val="5F4B51F7"/>
    <w:rsid w:val="5F524FFC"/>
    <w:rsid w:val="5F54241E"/>
    <w:rsid w:val="5F555A3C"/>
    <w:rsid w:val="5F58CB55"/>
    <w:rsid w:val="5F5A335C"/>
    <w:rsid w:val="5F5B3727"/>
    <w:rsid w:val="5F5B51D3"/>
    <w:rsid w:val="5F5D68D4"/>
    <w:rsid w:val="5F5DF1DD"/>
    <w:rsid w:val="5F5F3DF0"/>
    <w:rsid w:val="5F5F440F"/>
    <w:rsid w:val="5F5FB6DB"/>
    <w:rsid w:val="5F5FC6EE"/>
    <w:rsid w:val="5F6030FF"/>
    <w:rsid w:val="5F65D08B"/>
    <w:rsid w:val="5F67C3DA"/>
    <w:rsid w:val="5F67D664"/>
    <w:rsid w:val="5F680ECB"/>
    <w:rsid w:val="5F6E3855"/>
    <w:rsid w:val="5F6F0F50"/>
    <w:rsid w:val="5F6F2A74"/>
    <w:rsid w:val="5F6F4987"/>
    <w:rsid w:val="5F6F714C"/>
    <w:rsid w:val="5F754641"/>
    <w:rsid w:val="5F7596A8"/>
    <w:rsid w:val="5F762C9D"/>
    <w:rsid w:val="5F76AB57"/>
    <w:rsid w:val="5F77006A"/>
    <w:rsid w:val="5F7703B1"/>
    <w:rsid w:val="5F773BA6"/>
    <w:rsid w:val="5F775666"/>
    <w:rsid w:val="5F778994"/>
    <w:rsid w:val="5F7797E1"/>
    <w:rsid w:val="5F77FD43"/>
    <w:rsid w:val="5F7A88C9"/>
    <w:rsid w:val="5F7AD28C"/>
    <w:rsid w:val="5F7B06AD"/>
    <w:rsid w:val="5F7B9F1C"/>
    <w:rsid w:val="5F7C8A42"/>
    <w:rsid w:val="5F7CB3A8"/>
    <w:rsid w:val="5F7D4EBC"/>
    <w:rsid w:val="5F7D6433"/>
    <w:rsid w:val="5F7D72C9"/>
    <w:rsid w:val="5F7EDAB2"/>
    <w:rsid w:val="5F7F07B1"/>
    <w:rsid w:val="5F7F7033"/>
    <w:rsid w:val="5F7F79A9"/>
    <w:rsid w:val="5F7F9885"/>
    <w:rsid w:val="5F7F9BB4"/>
    <w:rsid w:val="5F7FD5BF"/>
    <w:rsid w:val="5F888E31"/>
    <w:rsid w:val="5F8AAA7D"/>
    <w:rsid w:val="5F8F37D8"/>
    <w:rsid w:val="5F8FB973"/>
    <w:rsid w:val="5F9A4A5C"/>
    <w:rsid w:val="5F9BF7CA"/>
    <w:rsid w:val="5F9C1BC7"/>
    <w:rsid w:val="5F9E17DE"/>
    <w:rsid w:val="5F9E8DB8"/>
    <w:rsid w:val="5F9F2A1B"/>
    <w:rsid w:val="5F9F453B"/>
    <w:rsid w:val="5F9F7539"/>
    <w:rsid w:val="5F9FADBF"/>
    <w:rsid w:val="5F9FC2F1"/>
    <w:rsid w:val="5F9FD5E3"/>
    <w:rsid w:val="5FA23CC6"/>
    <w:rsid w:val="5FA78340"/>
    <w:rsid w:val="5FAEBBFD"/>
    <w:rsid w:val="5FAF11CF"/>
    <w:rsid w:val="5FAF1447"/>
    <w:rsid w:val="5FAF5310"/>
    <w:rsid w:val="5FAF83CA"/>
    <w:rsid w:val="5FAFCD87"/>
    <w:rsid w:val="5FAFF834"/>
    <w:rsid w:val="5FB53FF2"/>
    <w:rsid w:val="5FB5B2A4"/>
    <w:rsid w:val="5FB665EB"/>
    <w:rsid w:val="5FB6D82C"/>
    <w:rsid w:val="5FB7255D"/>
    <w:rsid w:val="5FB74302"/>
    <w:rsid w:val="5FB78EE7"/>
    <w:rsid w:val="5FB7D4B3"/>
    <w:rsid w:val="5FBA5B46"/>
    <w:rsid w:val="5FBAA952"/>
    <w:rsid w:val="5FBB5EC5"/>
    <w:rsid w:val="5FBBCC37"/>
    <w:rsid w:val="5FBC81D3"/>
    <w:rsid w:val="5FBCACB0"/>
    <w:rsid w:val="5FBD7560"/>
    <w:rsid w:val="5FBDABE5"/>
    <w:rsid w:val="5FBDD8F2"/>
    <w:rsid w:val="5FBDFAFA"/>
    <w:rsid w:val="5FBE48BF"/>
    <w:rsid w:val="5FBF4905"/>
    <w:rsid w:val="5FBF5BF8"/>
    <w:rsid w:val="5FBFCFDF"/>
    <w:rsid w:val="5FBFDD81"/>
    <w:rsid w:val="5FC3BF9A"/>
    <w:rsid w:val="5FC6B318"/>
    <w:rsid w:val="5FCB118D"/>
    <w:rsid w:val="5FCB3BB2"/>
    <w:rsid w:val="5FCB5A8A"/>
    <w:rsid w:val="5FCF9CCB"/>
    <w:rsid w:val="5FCFD4D5"/>
    <w:rsid w:val="5FCFF91D"/>
    <w:rsid w:val="5FD3319D"/>
    <w:rsid w:val="5FD3AAF7"/>
    <w:rsid w:val="5FD508E6"/>
    <w:rsid w:val="5FD575C1"/>
    <w:rsid w:val="5FD6A82D"/>
    <w:rsid w:val="5FD73B32"/>
    <w:rsid w:val="5FD75FDB"/>
    <w:rsid w:val="5FD7A6A0"/>
    <w:rsid w:val="5FDA764B"/>
    <w:rsid w:val="5FDB09CB"/>
    <w:rsid w:val="5FDBDFF5"/>
    <w:rsid w:val="5FDCA1FD"/>
    <w:rsid w:val="5FDD0BF2"/>
    <w:rsid w:val="5FDD931D"/>
    <w:rsid w:val="5FDD95EA"/>
    <w:rsid w:val="5FDDE653"/>
    <w:rsid w:val="5FDEB77F"/>
    <w:rsid w:val="5FDF2BA5"/>
    <w:rsid w:val="5FDF7207"/>
    <w:rsid w:val="5FDF7F21"/>
    <w:rsid w:val="5FE01AB3"/>
    <w:rsid w:val="5FE58848"/>
    <w:rsid w:val="5FE5B7F1"/>
    <w:rsid w:val="5FE674C0"/>
    <w:rsid w:val="5FE71AE2"/>
    <w:rsid w:val="5FE720A8"/>
    <w:rsid w:val="5FEA85D8"/>
    <w:rsid w:val="5FEB3C18"/>
    <w:rsid w:val="5FEB7928"/>
    <w:rsid w:val="5FEBBA98"/>
    <w:rsid w:val="5FEC959C"/>
    <w:rsid w:val="5FED79DA"/>
    <w:rsid w:val="5FED89F8"/>
    <w:rsid w:val="5FEE5C1B"/>
    <w:rsid w:val="5FEE6C6F"/>
    <w:rsid w:val="5FEED6B6"/>
    <w:rsid w:val="5FEEFBE8"/>
    <w:rsid w:val="5FEF7187"/>
    <w:rsid w:val="5FEF89CE"/>
    <w:rsid w:val="5FEFC0CD"/>
    <w:rsid w:val="5FEFD8BF"/>
    <w:rsid w:val="5FEFE2C6"/>
    <w:rsid w:val="5FEFF86A"/>
    <w:rsid w:val="5FEFFF4A"/>
    <w:rsid w:val="5FF3C351"/>
    <w:rsid w:val="5FF4A63D"/>
    <w:rsid w:val="5FF512B8"/>
    <w:rsid w:val="5FF6BE91"/>
    <w:rsid w:val="5FF7017F"/>
    <w:rsid w:val="5FF704EF"/>
    <w:rsid w:val="5FF75695"/>
    <w:rsid w:val="5FF77CDC"/>
    <w:rsid w:val="5FF7869E"/>
    <w:rsid w:val="5FF7C30C"/>
    <w:rsid w:val="5FF7F50C"/>
    <w:rsid w:val="5FF92CD7"/>
    <w:rsid w:val="5FF9472B"/>
    <w:rsid w:val="5FF9CE7C"/>
    <w:rsid w:val="5FFA5875"/>
    <w:rsid w:val="5FFAEBCB"/>
    <w:rsid w:val="5FFB1961"/>
    <w:rsid w:val="5FFB237D"/>
    <w:rsid w:val="5FFB4FD8"/>
    <w:rsid w:val="5FFB6422"/>
    <w:rsid w:val="5FFBBE90"/>
    <w:rsid w:val="5FFBDD41"/>
    <w:rsid w:val="5FFD0598"/>
    <w:rsid w:val="5FFD1418"/>
    <w:rsid w:val="5FFD1650"/>
    <w:rsid w:val="5FFD66D9"/>
    <w:rsid w:val="5FFDA5D5"/>
    <w:rsid w:val="5FFDC4E6"/>
    <w:rsid w:val="5FFDDD14"/>
    <w:rsid w:val="5FFDDF5C"/>
    <w:rsid w:val="5FFE07B5"/>
    <w:rsid w:val="5FFE138F"/>
    <w:rsid w:val="5FFE462F"/>
    <w:rsid w:val="5FFE9223"/>
    <w:rsid w:val="5FFF0CDC"/>
    <w:rsid w:val="5FFF0FB1"/>
    <w:rsid w:val="5FFF3E92"/>
    <w:rsid w:val="5FFF428C"/>
    <w:rsid w:val="5FFF430A"/>
    <w:rsid w:val="5FFF4953"/>
    <w:rsid w:val="5FFF4E2B"/>
    <w:rsid w:val="5FFF5532"/>
    <w:rsid w:val="5FFF571C"/>
    <w:rsid w:val="5FFF6774"/>
    <w:rsid w:val="5FFF9B95"/>
    <w:rsid w:val="5FFF9CB0"/>
    <w:rsid w:val="5FFFABD4"/>
    <w:rsid w:val="5FFFB7D6"/>
    <w:rsid w:val="5FFFBDD9"/>
    <w:rsid w:val="5FFFD569"/>
    <w:rsid w:val="5FFFD821"/>
    <w:rsid w:val="5FFFE5BB"/>
    <w:rsid w:val="603D0F4E"/>
    <w:rsid w:val="60714E01"/>
    <w:rsid w:val="607F0F21"/>
    <w:rsid w:val="60B3D29C"/>
    <w:rsid w:val="60BA0556"/>
    <w:rsid w:val="60DF6988"/>
    <w:rsid w:val="60EB4BB4"/>
    <w:rsid w:val="60F17CF0"/>
    <w:rsid w:val="615FC8ED"/>
    <w:rsid w:val="616D381B"/>
    <w:rsid w:val="616FE2FD"/>
    <w:rsid w:val="617B2BD7"/>
    <w:rsid w:val="617DB21E"/>
    <w:rsid w:val="61923281"/>
    <w:rsid w:val="6195DF82"/>
    <w:rsid w:val="61A5AFD9"/>
    <w:rsid w:val="61A92379"/>
    <w:rsid w:val="61BF4E08"/>
    <w:rsid w:val="61CB51F7"/>
    <w:rsid w:val="61D5316E"/>
    <w:rsid w:val="61F38A8D"/>
    <w:rsid w:val="61FC06FB"/>
    <w:rsid w:val="61FC34B0"/>
    <w:rsid w:val="620F042E"/>
    <w:rsid w:val="62233ED9"/>
    <w:rsid w:val="623C143F"/>
    <w:rsid w:val="62406DE0"/>
    <w:rsid w:val="62494BA0"/>
    <w:rsid w:val="625FB817"/>
    <w:rsid w:val="62776F51"/>
    <w:rsid w:val="62782477"/>
    <w:rsid w:val="627FCF04"/>
    <w:rsid w:val="629152E7"/>
    <w:rsid w:val="629F7569"/>
    <w:rsid w:val="629F9200"/>
    <w:rsid w:val="62C0797A"/>
    <w:rsid w:val="62DE3E61"/>
    <w:rsid w:val="62FD90B9"/>
    <w:rsid w:val="62FE99F4"/>
    <w:rsid w:val="62FEAE26"/>
    <w:rsid w:val="631B2E02"/>
    <w:rsid w:val="632048BD"/>
    <w:rsid w:val="63377CEE"/>
    <w:rsid w:val="634E142A"/>
    <w:rsid w:val="63512CC8"/>
    <w:rsid w:val="6357B7D5"/>
    <w:rsid w:val="635B2A7C"/>
    <w:rsid w:val="635E65E8"/>
    <w:rsid w:val="635F296A"/>
    <w:rsid w:val="63732899"/>
    <w:rsid w:val="637527E9"/>
    <w:rsid w:val="6376B9E8"/>
    <w:rsid w:val="63BE5914"/>
    <w:rsid w:val="63C139AA"/>
    <w:rsid w:val="63CF256B"/>
    <w:rsid w:val="63D4A69E"/>
    <w:rsid w:val="63D6D2A7"/>
    <w:rsid w:val="63EDE9F2"/>
    <w:rsid w:val="63EF334A"/>
    <w:rsid w:val="63FB8B02"/>
    <w:rsid w:val="63FE8FDA"/>
    <w:rsid w:val="63FEF572"/>
    <w:rsid w:val="63FF1DF6"/>
    <w:rsid w:val="63FF6DD7"/>
    <w:rsid w:val="63FFBBA7"/>
    <w:rsid w:val="64381853"/>
    <w:rsid w:val="64560D84"/>
    <w:rsid w:val="64630F05"/>
    <w:rsid w:val="64682077"/>
    <w:rsid w:val="64773DD1"/>
    <w:rsid w:val="648EB88D"/>
    <w:rsid w:val="649317EA"/>
    <w:rsid w:val="64BD277F"/>
    <w:rsid w:val="64C73242"/>
    <w:rsid w:val="64CFA092"/>
    <w:rsid w:val="64ECF21F"/>
    <w:rsid w:val="64ED149F"/>
    <w:rsid w:val="64EEC96A"/>
    <w:rsid w:val="650EDB5A"/>
    <w:rsid w:val="652341F0"/>
    <w:rsid w:val="652F7039"/>
    <w:rsid w:val="653B778C"/>
    <w:rsid w:val="65730DD3"/>
    <w:rsid w:val="65778FAC"/>
    <w:rsid w:val="657F3B1C"/>
    <w:rsid w:val="657FB37D"/>
    <w:rsid w:val="65864EAB"/>
    <w:rsid w:val="659FE059"/>
    <w:rsid w:val="65AF4A90"/>
    <w:rsid w:val="65BD67BF"/>
    <w:rsid w:val="65BDA959"/>
    <w:rsid w:val="65C634F9"/>
    <w:rsid w:val="65CE23AE"/>
    <w:rsid w:val="65CF3136"/>
    <w:rsid w:val="65D025CA"/>
    <w:rsid w:val="65D05DA6"/>
    <w:rsid w:val="65D57BE0"/>
    <w:rsid w:val="65DA1D5C"/>
    <w:rsid w:val="65F4426A"/>
    <w:rsid w:val="65F4FBBD"/>
    <w:rsid w:val="65FBC202"/>
    <w:rsid w:val="65FCC448"/>
    <w:rsid w:val="65FDAFDA"/>
    <w:rsid w:val="65FE3D62"/>
    <w:rsid w:val="65FF7B62"/>
    <w:rsid w:val="65FFEB03"/>
    <w:rsid w:val="660B7B3A"/>
    <w:rsid w:val="662D17CA"/>
    <w:rsid w:val="662F53B6"/>
    <w:rsid w:val="664F381A"/>
    <w:rsid w:val="66522FDF"/>
    <w:rsid w:val="66664CDC"/>
    <w:rsid w:val="666F2E7C"/>
    <w:rsid w:val="66B21CD0"/>
    <w:rsid w:val="66C4E78F"/>
    <w:rsid w:val="66C933C2"/>
    <w:rsid w:val="66CD6B09"/>
    <w:rsid w:val="66D58275"/>
    <w:rsid w:val="66D7DFD1"/>
    <w:rsid w:val="66E148C0"/>
    <w:rsid w:val="66EB68C5"/>
    <w:rsid w:val="66EBB483"/>
    <w:rsid w:val="66EF43A1"/>
    <w:rsid w:val="66F7549E"/>
    <w:rsid w:val="66FB5143"/>
    <w:rsid w:val="66FB5425"/>
    <w:rsid w:val="66FE1A99"/>
    <w:rsid w:val="66FEE880"/>
    <w:rsid w:val="66FF0F75"/>
    <w:rsid w:val="66FF3235"/>
    <w:rsid w:val="66FF5E4E"/>
    <w:rsid w:val="66FFA946"/>
    <w:rsid w:val="671649E9"/>
    <w:rsid w:val="672C6944"/>
    <w:rsid w:val="672F6667"/>
    <w:rsid w:val="6733A1BF"/>
    <w:rsid w:val="67386679"/>
    <w:rsid w:val="67643685"/>
    <w:rsid w:val="6767299E"/>
    <w:rsid w:val="676C19C5"/>
    <w:rsid w:val="676F196F"/>
    <w:rsid w:val="677CDC4C"/>
    <w:rsid w:val="678FB9F4"/>
    <w:rsid w:val="67A72F89"/>
    <w:rsid w:val="67A7C8A2"/>
    <w:rsid w:val="67ABF26A"/>
    <w:rsid w:val="67AF65E8"/>
    <w:rsid w:val="67B7C032"/>
    <w:rsid w:val="67BECFA3"/>
    <w:rsid w:val="67BFF59A"/>
    <w:rsid w:val="67C70930"/>
    <w:rsid w:val="67CBDE67"/>
    <w:rsid w:val="67D143D7"/>
    <w:rsid w:val="67D78A8D"/>
    <w:rsid w:val="67D7F761"/>
    <w:rsid w:val="67DD4288"/>
    <w:rsid w:val="67DDD70B"/>
    <w:rsid w:val="67DEEEC3"/>
    <w:rsid w:val="67DF0FEF"/>
    <w:rsid w:val="67DF4995"/>
    <w:rsid w:val="67DF5DC4"/>
    <w:rsid w:val="67DFBE4F"/>
    <w:rsid w:val="67EA8654"/>
    <w:rsid w:val="67EB44BD"/>
    <w:rsid w:val="67EB71B6"/>
    <w:rsid w:val="67EBB88D"/>
    <w:rsid w:val="67EBFDE3"/>
    <w:rsid w:val="67EE4008"/>
    <w:rsid w:val="67EE68E3"/>
    <w:rsid w:val="67EF3DB1"/>
    <w:rsid w:val="67F0AC9C"/>
    <w:rsid w:val="67F34CE7"/>
    <w:rsid w:val="67F3DACB"/>
    <w:rsid w:val="67F64EDF"/>
    <w:rsid w:val="67F65A96"/>
    <w:rsid w:val="67F715A2"/>
    <w:rsid w:val="67F77434"/>
    <w:rsid w:val="67FAD91E"/>
    <w:rsid w:val="67FB3F5E"/>
    <w:rsid w:val="67FB53C6"/>
    <w:rsid w:val="67FBCFB4"/>
    <w:rsid w:val="67FCB161"/>
    <w:rsid w:val="67FCED55"/>
    <w:rsid w:val="67FD46A1"/>
    <w:rsid w:val="67FD5D93"/>
    <w:rsid w:val="67FD6D33"/>
    <w:rsid w:val="67FD9D03"/>
    <w:rsid w:val="67FE2E24"/>
    <w:rsid w:val="67FE579A"/>
    <w:rsid w:val="67FE6A95"/>
    <w:rsid w:val="67FED879"/>
    <w:rsid w:val="67FF27AE"/>
    <w:rsid w:val="67FF388F"/>
    <w:rsid w:val="67FF42C6"/>
    <w:rsid w:val="67FF504E"/>
    <w:rsid w:val="67FF6FC9"/>
    <w:rsid w:val="67FFE62C"/>
    <w:rsid w:val="67FFF781"/>
    <w:rsid w:val="685CD267"/>
    <w:rsid w:val="685D2D83"/>
    <w:rsid w:val="685F91D5"/>
    <w:rsid w:val="687731D1"/>
    <w:rsid w:val="687D581A"/>
    <w:rsid w:val="687E7DC9"/>
    <w:rsid w:val="688D47A2"/>
    <w:rsid w:val="68925915"/>
    <w:rsid w:val="68B5D619"/>
    <w:rsid w:val="68D423D1"/>
    <w:rsid w:val="68DB1206"/>
    <w:rsid w:val="68DD67D7"/>
    <w:rsid w:val="68EBAB48"/>
    <w:rsid w:val="68EF75B3"/>
    <w:rsid w:val="68F60474"/>
    <w:rsid w:val="68FDEB8B"/>
    <w:rsid w:val="68FF59BB"/>
    <w:rsid w:val="68FF8DCB"/>
    <w:rsid w:val="6908207B"/>
    <w:rsid w:val="69085BD7"/>
    <w:rsid w:val="691E53FA"/>
    <w:rsid w:val="6939BC30"/>
    <w:rsid w:val="694D8041"/>
    <w:rsid w:val="695F642E"/>
    <w:rsid w:val="696A0640"/>
    <w:rsid w:val="696B2025"/>
    <w:rsid w:val="69735746"/>
    <w:rsid w:val="6978FA1B"/>
    <w:rsid w:val="6991A8FC"/>
    <w:rsid w:val="699F31EB"/>
    <w:rsid w:val="699F478D"/>
    <w:rsid w:val="69A32CFE"/>
    <w:rsid w:val="69AEC181"/>
    <w:rsid w:val="69BEEB2A"/>
    <w:rsid w:val="69CD69A3"/>
    <w:rsid w:val="69D6829E"/>
    <w:rsid w:val="69DD4217"/>
    <w:rsid w:val="69DE209E"/>
    <w:rsid w:val="69EF427A"/>
    <w:rsid w:val="69EFBEA1"/>
    <w:rsid w:val="69F6CE3D"/>
    <w:rsid w:val="69F7A522"/>
    <w:rsid w:val="69FD8211"/>
    <w:rsid w:val="69FE3C32"/>
    <w:rsid w:val="69FE9EC2"/>
    <w:rsid w:val="69FEFD3B"/>
    <w:rsid w:val="6A3FCF43"/>
    <w:rsid w:val="6A507835"/>
    <w:rsid w:val="6A6B07BA"/>
    <w:rsid w:val="6A768449"/>
    <w:rsid w:val="6A779921"/>
    <w:rsid w:val="6A77EAD4"/>
    <w:rsid w:val="6A785010"/>
    <w:rsid w:val="6A7D8DD2"/>
    <w:rsid w:val="6A7E161B"/>
    <w:rsid w:val="6AA6510A"/>
    <w:rsid w:val="6AB5C40D"/>
    <w:rsid w:val="6ABB3332"/>
    <w:rsid w:val="6AC02C0D"/>
    <w:rsid w:val="6ADA063F"/>
    <w:rsid w:val="6ADF1ED0"/>
    <w:rsid w:val="6ADF2A0B"/>
    <w:rsid w:val="6ADF89A7"/>
    <w:rsid w:val="6AE3527C"/>
    <w:rsid w:val="6AE368FC"/>
    <w:rsid w:val="6AE7D334"/>
    <w:rsid w:val="6AEFDC05"/>
    <w:rsid w:val="6AFBC6A0"/>
    <w:rsid w:val="6AFBD62E"/>
    <w:rsid w:val="6AFD0265"/>
    <w:rsid w:val="6AFE5E29"/>
    <w:rsid w:val="6AFF421C"/>
    <w:rsid w:val="6B0F413E"/>
    <w:rsid w:val="6B0F4BB5"/>
    <w:rsid w:val="6B2313EE"/>
    <w:rsid w:val="6B256F14"/>
    <w:rsid w:val="6B2FC9D3"/>
    <w:rsid w:val="6B377A92"/>
    <w:rsid w:val="6B3FCCCF"/>
    <w:rsid w:val="6B4E646B"/>
    <w:rsid w:val="6B4ED190"/>
    <w:rsid w:val="6B5E5AF3"/>
    <w:rsid w:val="6B5F0593"/>
    <w:rsid w:val="6B637A3C"/>
    <w:rsid w:val="6B679749"/>
    <w:rsid w:val="6B6885E0"/>
    <w:rsid w:val="6B6FBB4E"/>
    <w:rsid w:val="6B78893E"/>
    <w:rsid w:val="6B791224"/>
    <w:rsid w:val="6B798B86"/>
    <w:rsid w:val="6B7D2845"/>
    <w:rsid w:val="6B7ECB41"/>
    <w:rsid w:val="6B7F51D0"/>
    <w:rsid w:val="6B7F8B7A"/>
    <w:rsid w:val="6B97E0DD"/>
    <w:rsid w:val="6BA8F022"/>
    <w:rsid w:val="6BAF7E23"/>
    <w:rsid w:val="6BB32772"/>
    <w:rsid w:val="6BB97D60"/>
    <w:rsid w:val="6BBB62C0"/>
    <w:rsid w:val="6BBD4D4D"/>
    <w:rsid w:val="6BBF971A"/>
    <w:rsid w:val="6BBFD626"/>
    <w:rsid w:val="6BC8FBF8"/>
    <w:rsid w:val="6BCA186A"/>
    <w:rsid w:val="6BCD71F0"/>
    <w:rsid w:val="6BCDA899"/>
    <w:rsid w:val="6BCFDD62"/>
    <w:rsid w:val="6BD050D2"/>
    <w:rsid w:val="6BD6387C"/>
    <w:rsid w:val="6BD70A88"/>
    <w:rsid w:val="6BD9385B"/>
    <w:rsid w:val="6BDF8747"/>
    <w:rsid w:val="6BDF9985"/>
    <w:rsid w:val="6BDF9DCA"/>
    <w:rsid w:val="6BE1771A"/>
    <w:rsid w:val="6BE6BB05"/>
    <w:rsid w:val="6BE7798C"/>
    <w:rsid w:val="6BE9D54F"/>
    <w:rsid w:val="6BEBC0A7"/>
    <w:rsid w:val="6BED157E"/>
    <w:rsid w:val="6BEF58CA"/>
    <w:rsid w:val="6BEF8998"/>
    <w:rsid w:val="6BEFE898"/>
    <w:rsid w:val="6BF24B96"/>
    <w:rsid w:val="6BF5D5EE"/>
    <w:rsid w:val="6BF5E1D8"/>
    <w:rsid w:val="6BF62D0B"/>
    <w:rsid w:val="6BF6AC14"/>
    <w:rsid w:val="6BF961F1"/>
    <w:rsid w:val="6BFCFB33"/>
    <w:rsid w:val="6BFD298B"/>
    <w:rsid w:val="6BFD6D90"/>
    <w:rsid w:val="6BFD84FA"/>
    <w:rsid w:val="6BFEA361"/>
    <w:rsid w:val="6BFF3D39"/>
    <w:rsid w:val="6BFF6211"/>
    <w:rsid w:val="6BFF64AC"/>
    <w:rsid w:val="6BFFA2DB"/>
    <w:rsid w:val="6BFFB376"/>
    <w:rsid w:val="6BFFE729"/>
    <w:rsid w:val="6C1B0712"/>
    <w:rsid w:val="6C38583D"/>
    <w:rsid w:val="6C3F1B49"/>
    <w:rsid w:val="6C64581A"/>
    <w:rsid w:val="6C664065"/>
    <w:rsid w:val="6C77554D"/>
    <w:rsid w:val="6C77E34F"/>
    <w:rsid w:val="6C7B25CF"/>
    <w:rsid w:val="6C7D22C2"/>
    <w:rsid w:val="6C7F56FA"/>
    <w:rsid w:val="6C7FA2AE"/>
    <w:rsid w:val="6CD501B9"/>
    <w:rsid w:val="6CD56718"/>
    <w:rsid w:val="6CD7A109"/>
    <w:rsid w:val="6CD97FB6"/>
    <w:rsid w:val="6CDB62FA"/>
    <w:rsid w:val="6CDBC772"/>
    <w:rsid w:val="6CDE6D9B"/>
    <w:rsid w:val="6CEB2C7F"/>
    <w:rsid w:val="6CF561E5"/>
    <w:rsid w:val="6CF5BFE7"/>
    <w:rsid w:val="6CF8A2E5"/>
    <w:rsid w:val="6CFBE45F"/>
    <w:rsid w:val="6CFD4B76"/>
    <w:rsid w:val="6CFD4BC3"/>
    <w:rsid w:val="6CFF9EFA"/>
    <w:rsid w:val="6D033285"/>
    <w:rsid w:val="6D135B8B"/>
    <w:rsid w:val="6D17FFDD"/>
    <w:rsid w:val="6D1C60F5"/>
    <w:rsid w:val="6D2B1016"/>
    <w:rsid w:val="6D2BADEC"/>
    <w:rsid w:val="6D357680"/>
    <w:rsid w:val="6D3946D4"/>
    <w:rsid w:val="6D3E9648"/>
    <w:rsid w:val="6D4F184D"/>
    <w:rsid w:val="6D5394B5"/>
    <w:rsid w:val="6D568D7D"/>
    <w:rsid w:val="6D593D75"/>
    <w:rsid w:val="6D5A0079"/>
    <w:rsid w:val="6D5A3F4E"/>
    <w:rsid w:val="6D5AF19B"/>
    <w:rsid w:val="6D5AF83D"/>
    <w:rsid w:val="6D5B0327"/>
    <w:rsid w:val="6D5D8F61"/>
    <w:rsid w:val="6D5EFC32"/>
    <w:rsid w:val="6D5F0CE0"/>
    <w:rsid w:val="6D5FCF55"/>
    <w:rsid w:val="6D6721E9"/>
    <w:rsid w:val="6D6A4609"/>
    <w:rsid w:val="6D6CDF90"/>
    <w:rsid w:val="6D6DD1BA"/>
    <w:rsid w:val="6D6E4064"/>
    <w:rsid w:val="6D6E9D9C"/>
    <w:rsid w:val="6D6F9598"/>
    <w:rsid w:val="6D750E37"/>
    <w:rsid w:val="6D793CD6"/>
    <w:rsid w:val="6D7B79BF"/>
    <w:rsid w:val="6D7F2AFC"/>
    <w:rsid w:val="6D7FBBA1"/>
    <w:rsid w:val="6D875C64"/>
    <w:rsid w:val="6D9E2FAE"/>
    <w:rsid w:val="6DAB575B"/>
    <w:rsid w:val="6DAE1443"/>
    <w:rsid w:val="6DAF6CCD"/>
    <w:rsid w:val="6DB1CAF8"/>
    <w:rsid w:val="6DB79EB0"/>
    <w:rsid w:val="6DBAA9AB"/>
    <w:rsid w:val="6DBB5027"/>
    <w:rsid w:val="6DBF2E78"/>
    <w:rsid w:val="6DBFC8C2"/>
    <w:rsid w:val="6DBFF753"/>
    <w:rsid w:val="6DCD3B26"/>
    <w:rsid w:val="6DCF0C35"/>
    <w:rsid w:val="6DCF811F"/>
    <w:rsid w:val="6DD74EB8"/>
    <w:rsid w:val="6DDD7297"/>
    <w:rsid w:val="6DDD86CD"/>
    <w:rsid w:val="6DDDC280"/>
    <w:rsid w:val="6DDEF759"/>
    <w:rsid w:val="6DDF3003"/>
    <w:rsid w:val="6DDFAB38"/>
    <w:rsid w:val="6DDFD211"/>
    <w:rsid w:val="6DDFDACB"/>
    <w:rsid w:val="6DE22E9A"/>
    <w:rsid w:val="6DE44E65"/>
    <w:rsid w:val="6DE53BF7"/>
    <w:rsid w:val="6DEFD7A2"/>
    <w:rsid w:val="6DF33F13"/>
    <w:rsid w:val="6DF53F85"/>
    <w:rsid w:val="6DF6FF5D"/>
    <w:rsid w:val="6DF78EEF"/>
    <w:rsid w:val="6DF7B324"/>
    <w:rsid w:val="6DF7BA27"/>
    <w:rsid w:val="6DF7C051"/>
    <w:rsid w:val="6DF7DAD5"/>
    <w:rsid w:val="6DF9FCC6"/>
    <w:rsid w:val="6DFC8D20"/>
    <w:rsid w:val="6DFCA587"/>
    <w:rsid w:val="6DFCFB7B"/>
    <w:rsid w:val="6DFDAE77"/>
    <w:rsid w:val="6DFE1064"/>
    <w:rsid w:val="6DFE527C"/>
    <w:rsid w:val="6DFE8CB7"/>
    <w:rsid w:val="6DFECB46"/>
    <w:rsid w:val="6DFF1A98"/>
    <w:rsid w:val="6DFF2D32"/>
    <w:rsid w:val="6DFF40D5"/>
    <w:rsid w:val="6DFF5282"/>
    <w:rsid w:val="6DFF73EE"/>
    <w:rsid w:val="6DFFA669"/>
    <w:rsid w:val="6DFFB21F"/>
    <w:rsid w:val="6DFFD3DB"/>
    <w:rsid w:val="6DFFD65B"/>
    <w:rsid w:val="6DFFF661"/>
    <w:rsid w:val="6E077AE7"/>
    <w:rsid w:val="6E0A23F1"/>
    <w:rsid w:val="6E0C0963"/>
    <w:rsid w:val="6E0C43BB"/>
    <w:rsid w:val="6E2F2C63"/>
    <w:rsid w:val="6E2F9552"/>
    <w:rsid w:val="6E315BD0"/>
    <w:rsid w:val="6E3A8080"/>
    <w:rsid w:val="6E3BC577"/>
    <w:rsid w:val="6E3FEA91"/>
    <w:rsid w:val="6E4F817D"/>
    <w:rsid w:val="6E526272"/>
    <w:rsid w:val="6E5C674A"/>
    <w:rsid w:val="6E5FB3A2"/>
    <w:rsid w:val="6E5FF27B"/>
    <w:rsid w:val="6E5FFBFA"/>
    <w:rsid w:val="6E63E66D"/>
    <w:rsid w:val="6E676A79"/>
    <w:rsid w:val="6E6B50E3"/>
    <w:rsid w:val="6E6DDA27"/>
    <w:rsid w:val="6E6F6F87"/>
    <w:rsid w:val="6E6F9BEF"/>
    <w:rsid w:val="6E713926"/>
    <w:rsid w:val="6E73E017"/>
    <w:rsid w:val="6E798F4D"/>
    <w:rsid w:val="6E7B9A7B"/>
    <w:rsid w:val="6E7E95E9"/>
    <w:rsid w:val="6E7F6D2C"/>
    <w:rsid w:val="6E7FA4B7"/>
    <w:rsid w:val="6E7FCF4A"/>
    <w:rsid w:val="6E97428D"/>
    <w:rsid w:val="6E9817AB"/>
    <w:rsid w:val="6E9EFAA5"/>
    <w:rsid w:val="6E9FCBA3"/>
    <w:rsid w:val="6EA7025A"/>
    <w:rsid w:val="6EAD0E5A"/>
    <w:rsid w:val="6EAF405E"/>
    <w:rsid w:val="6EAFF3E8"/>
    <w:rsid w:val="6EB4FC13"/>
    <w:rsid w:val="6EBD9C52"/>
    <w:rsid w:val="6EBD9E17"/>
    <w:rsid w:val="6EBE96BD"/>
    <w:rsid w:val="6EBEB41A"/>
    <w:rsid w:val="6EBFA0C3"/>
    <w:rsid w:val="6EBFE783"/>
    <w:rsid w:val="6EBFF351"/>
    <w:rsid w:val="6EBFF8A4"/>
    <w:rsid w:val="6ECA98CB"/>
    <w:rsid w:val="6ED631BC"/>
    <w:rsid w:val="6ED7E33E"/>
    <w:rsid w:val="6EDA2E9C"/>
    <w:rsid w:val="6EDACB87"/>
    <w:rsid w:val="6EDCC166"/>
    <w:rsid w:val="6EDD1EBE"/>
    <w:rsid w:val="6EDF1F37"/>
    <w:rsid w:val="6EDFAA34"/>
    <w:rsid w:val="6EEB9973"/>
    <w:rsid w:val="6EEBE3BF"/>
    <w:rsid w:val="6EED6285"/>
    <w:rsid w:val="6EEDDCB3"/>
    <w:rsid w:val="6EEF0321"/>
    <w:rsid w:val="6EEF82EE"/>
    <w:rsid w:val="6EEFB60C"/>
    <w:rsid w:val="6EEFC2FC"/>
    <w:rsid w:val="6EF75F86"/>
    <w:rsid w:val="6EFBA7E4"/>
    <w:rsid w:val="6EFCA6E8"/>
    <w:rsid w:val="6EFCBD2B"/>
    <w:rsid w:val="6EFCD9A7"/>
    <w:rsid w:val="6EFD0832"/>
    <w:rsid w:val="6EFE0D30"/>
    <w:rsid w:val="6EFED50C"/>
    <w:rsid w:val="6EFEF2FE"/>
    <w:rsid w:val="6EFEF6BD"/>
    <w:rsid w:val="6EFF1157"/>
    <w:rsid w:val="6EFF533A"/>
    <w:rsid w:val="6EFF6BC9"/>
    <w:rsid w:val="6EFF8244"/>
    <w:rsid w:val="6EFF97CE"/>
    <w:rsid w:val="6EFF9AD5"/>
    <w:rsid w:val="6EFFB36A"/>
    <w:rsid w:val="6EFFD5A9"/>
    <w:rsid w:val="6EFFF847"/>
    <w:rsid w:val="6EFFF8AA"/>
    <w:rsid w:val="6F0537A5"/>
    <w:rsid w:val="6F07E45C"/>
    <w:rsid w:val="6F086931"/>
    <w:rsid w:val="6F1EDB11"/>
    <w:rsid w:val="6F29AFF1"/>
    <w:rsid w:val="6F3B4E5A"/>
    <w:rsid w:val="6F3D24C1"/>
    <w:rsid w:val="6F3D59A0"/>
    <w:rsid w:val="6F3DC3A0"/>
    <w:rsid w:val="6F3DF10C"/>
    <w:rsid w:val="6F3E0229"/>
    <w:rsid w:val="6F3E674D"/>
    <w:rsid w:val="6F3EA728"/>
    <w:rsid w:val="6F3F7AB9"/>
    <w:rsid w:val="6F3F8F10"/>
    <w:rsid w:val="6F4831D1"/>
    <w:rsid w:val="6F490CF7"/>
    <w:rsid w:val="6F59C5C2"/>
    <w:rsid w:val="6F5D9A2A"/>
    <w:rsid w:val="6F5FBD46"/>
    <w:rsid w:val="6F65AD24"/>
    <w:rsid w:val="6F67F3C6"/>
    <w:rsid w:val="6F69967D"/>
    <w:rsid w:val="6F6F2010"/>
    <w:rsid w:val="6F6FF915"/>
    <w:rsid w:val="6F7584FE"/>
    <w:rsid w:val="6F7587D0"/>
    <w:rsid w:val="6F764459"/>
    <w:rsid w:val="6F76ADD3"/>
    <w:rsid w:val="6F7742DB"/>
    <w:rsid w:val="6F7762B9"/>
    <w:rsid w:val="6F77975C"/>
    <w:rsid w:val="6F77E50E"/>
    <w:rsid w:val="6F7BD4AF"/>
    <w:rsid w:val="6F7D4B7E"/>
    <w:rsid w:val="6F7D568D"/>
    <w:rsid w:val="6F7DFA6E"/>
    <w:rsid w:val="6F7EA195"/>
    <w:rsid w:val="6F7EDF2A"/>
    <w:rsid w:val="6F7EE093"/>
    <w:rsid w:val="6F7EF814"/>
    <w:rsid w:val="6F7F295B"/>
    <w:rsid w:val="6F7F5914"/>
    <w:rsid w:val="6F7F6D94"/>
    <w:rsid w:val="6F7F6F88"/>
    <w:rsid w:val="6F7F7EC2"/>
    <w:rsid w:val="6F7F94C6"/>
    <w:rsid w:val="6F7FA58A"/>
    <w:rsid w:val="6F7FFB16"/>
    <w:rsid w:val="6F8B09F2"/>
    <w:rsid w:val="6F8FEA44"/>
    <w:rsid w:val="6F91FCCD"/>
    <w:rsid w:val="6F96F850"/>
    <w:rsid w:val="6F9D5B08"/>
    <w:rsid w:val="6F9F0EE2"/>
    <w:rsid w:val="6F9F7F00"/>
    <w:rsid w:val="6F9FC360"/>
    <w:rsid w:val="6FA76755"/>
    <w:rsid w:val="6FA796C9"/>
    <w:rsid w:val="6FAA5C3A"/>
    <w:rsid w:val="6FAD2629"/>
    <w:rsid w:val="6FAD47CB"/>
    <w:rsid w:val="6FAF9B23"/>
    <w:rsid w:val="6FB2D57E"/>
    <w:rsid w:val="6FB4983E"/>
    <w:rsid w:val="6FB51D43"/>
    <w:rsid w:val="6FB5ACE9"/>
    <w:rsid w:val="6FB6267A"/>
    <w:rsid w:val="6FB78041"/>
    <w:rsid w:val="6FB7BC20"/>
    <w:rsid w:val="6FBADEB0"/>
    <w:rsid w:val="6FBBA393"/>
    <w:rsid w:val="6FBBB503"/>
    <w:rsid w:val="6FBBBE6B"/>
    <w:rsid w:val="6FBBD3C4"/>
    <w:rsid w:val="6FBD36A7"/>
    <w:rsid w:val="6FBDA12C"/>
    <w:rsid w:val="6FBEAB13"/>
    <w:rsid w:val="6FBF30B3"/>
    <w:rsid w:val="6FBF3B93"/>
    <w:rsid w:val="6FBF5846"/>
    <w:rsid w:val="6FBF8E0E"/>
    <w:rsid w:val="6FBFC26F"/>
    <w:rsid w:val="6FBFC882"/>
    <w:rsid w:val="6FBFCD30"/>
    <w:rsid w:val="6FBFF765"/>
    <w:rsid w:val="6FC23A8C"/>
    <w:rsid w:val="6FC36CFC"/>
    <w:rsid w:val="6FCCBE76"/>
    <w:rsid w:val="6FCD3EC9"/>
    <w:rsid w:val="6FCD9CD8"/>
    <w:rsid w:val="6FCE3F72"/>
    <w:rsid w:val="6FCF1AD6"/>
    <w:rsid w:val="6FCF487D"/>
    <w:rsid w:val="6FCF7DB5"/>
    <w:rsid w:val="6FD72167"/>
    <w:rsid w:val="6FD727DD"/>
    <w:rsid w:val="6FD741C2"/>
    <w:rsid w:val="6FD760D1"/>
    <w:rsid w:val="6FD78364"/>
    <w:rsid w:val="6FD7CF76"/>
    <w:rsid w:val="6FD7D645"/>
    <w:rsid w:val="6FD7DAF4"/>
    <w:rsid w:val="6FD975D6"/>
    <w:rsid w:val="6FDCBB07"/>
    <w:rsid w:val="6FDE058D"/>
    <w:rsid w:val="6FDEC6DD"/>
    <w:rsid w:val="6FDF3AFF"/>
    <w:rsid w:val="6FDF4113"/>
    <w:rsid w:val="6FDF7967"/>
    <w:rsid w:val="6FDF992C"/>
    <w:rsid w:val="6FDFA4B8"/>
    <w:rsid w:val="6FDFE0F5"/>
    <w:rsid w:val="6FE30852"/>
    <w:rsid w:val="6FE37594"/>
    <w:rsid w:val="6FE410FC"/>
    <w:rsid w:val="6FE6F2E3"/>
    <w:rsid w:val="6FE94160"/>
    <w:rsid w:val="6FE9E7CC"/>
    <w:rsid w:val="6FEA0C50"/>
    <w:rsid w:val="6FEB586E"/>
    <w:rsid w:val="6FEB7D74"/>
    <w:rsid w:val="6FEC09B4"/>
    <w:rsid w:val="6FED5863"/>
    <w:rsid w:val="6FEDE55D"/>
    <w:rsid w:val="6FEDFD07"/>
    <w:rsid w:val="6FEF3BB9"/>
    <w:rsid w:val="6FEF3D60"/>
    <w:rsid w:val="6FEF401D"/>
    <w:rsid w:val="6FEF5DEC"/>
    <w:rsid w:val="6FEF6298"/>
    <w:rsid w:val="6FEF6456"/>
    <w:rsid w:val="6FEF816E"/>
    <w:rsid w:val="6FEF8A9C"/>
    <w:rsid w:val="6FEFE523"/>
    <w:rsid w:val="6FF090BD"/>
    <w:rsid w:val="6FF1023E"/>
    <w:rsid w:val="6FF337D7"/>
    <w:rsid w:val="6FF35871"/>
    <w:rsid w:val="6FF3ACA4"/>
    <w:rsid w:val="6FF3E416"/>
    <w:rsid w:val="6FF55D77"/>
    <w:rsid w:val="6FF59D4E"/>
    <w:rsid w:val="6FF66307"/>
    <w:rsid w:val="6FF6B367"/>
    <w:rsid w:val="6FF6E8B9"/>
    <w:rsid w:val="6FF725A8"/>
    <w:rsid w:val="6FF76E1A"/>
    <w:rsid w:val="6FF77C3F"/>
    <w:rsid w:val="6FF79876"/>
    <w:rsid w:val="6FF79B98"/>
    <w:rsid w:val="6FF7DAA8"/>
    <w:rsid w:val="6FF7F87E"/>
    <w:rsid w:val="6FF8D6AA"/>
    <w:rsid w:val="6FF9B60A"/>
    <w:rsid w:val="6FFA9C3D"/>
    <w:rsid w:val="6FFACB59"/>
    <w:rsid w:val="6FFB1913"/>
    <w:rsid w:val="6FFB6149"/>
    <w:rsid w:val="6FFB663D"/>
    <w:rsid w:val="6FFB7005"/>
    <w:rsid w:val="6FFB79EA"/>
    <w:rsid w:val="6FFBA669"/>
    <w:rsid w:val="6FFBC2A3"/>
    <w:rsid w:val="6FFBC42D"/>
    <w:rsid w:val="6FFBFA03"/>
    <w:rsid w:val="6FFC0CFE"/>
    <w:rsid w:val="6FFC19BF"/>
    <w:rsid w:val="6FFC6C7B"/>
    <w:rsid w:val="6FFCDBE6"/>
    <w:rsid w:val="6FFD03C0"/>
    <w:rsid w:val="6FFDCC3A"/>
    <w:rsid w:val="6FFDE362"/>
    <w:rsid w:val="6FFE0DDE"/>
    <w:rsid w:val="6FFE74D9"/>
    <w:rsid w:val="6FFE76EF"/>
    <w:rsid w:val="6FFE7C8A"/>
    <w:rsid w:val="6FFE8BD3"/>
    <w:rsid w:val="6FFF01F7"/>
    <w:rsid w:val="6FFF1AA9"/>
    <w:rsid w:val="6FFF2783"/>
    <w:rsid w:val="6FFF313A"/>
    <w:rsid w:val="6FFF3E2A"/>
    <w:rsid w:val="6FFF4021"/>
    <w:rsid w:val="6FFF49D8"/>
    <w:rsid w:val="6FFF513B"/>
    <w:rsid w:val="6FFF59DB"/>
    <w:rsid w:val="6FFF9D36"/>
    <w:rsid w:val="6FFF9F34"/>
    <w:rsid w:val="6FFFA78D"/>
    <w:rsid w:val="6FFFAFA3"/>
    <w:rsid w:val="6FFFB170"/>
    <w:rsid w:val="6FFFBE15"/>
    <w:rsid w:val="6FFFD3C2"/>
    <w:rsid w:val="6FFFD655"/>
    <w:rsid w:val="6FFFD6FF"/>
    <w:rsid w:val="6FFFE472"/>
    <w:rsid w:val="6FFFE6C3"/>
    <w:rsid w:val="6FFFED39"/>
    <w:rsid w:val="6FFFF4FA"/>
    <w:rsid w:val="70007DF3"/>
    <w:rsid w:val="704E4817"/>
    <w:rsid w:val="705FDEFF"/>
    <w:rsid w:val="7079636C"/>
    <w:rsid w:val="7085B699"/>
    <w:rsid w:val="70BBDB4A"/>
    <w:rsid w:val="70BEBD1B"/>
    <w:rsid w:val="70DD81CB"/>
    <w:rsid w:val="70EDCA4E"/>
    <w:rsid w:val="70F680C6"/>
    <w:rsid w:val="70F7D41F"/>
    <w:rsid w:val="70FC4BDB"/>
    <w:rsid w:val="70FEFB10"/>
    <w:rsid w:val="71362A92"/>
    <w:rsid w:val="71397275"/>
    <w:rsid w:val="715D3525"/>
    <w:rsid w:val="7174761C"/>
    <w:rsid w:val="7176FAAF"/>
    <w:rsid w:val="717FD9E9"/>
    <w:rsid w:val="71BF6307"/>
    <w:rsid w:val="71DF2157"/>
    <w:rsid w:val="71DFCA1A"/>
    <w:rsid w:val="71EE90E3"/>
    <w:rsid w:val="71EFE066"/>
    <w:rsid w:val="71F36B8D"/>
    <w:rsid w:val="71F5A2E4"/>
    <w:rsid w:val="71F8B03F"/>
    <w:rsid w:val="71FB9468"/>
    <w:rsid w:val="71FBB33C"/>
    <w:rsid w:val="71FD75CF"/>
    <w:rsid w:val="71FEC7FC"/>
    <w:rsid w:val="71FF395C"/>
    <w:rsid w:val="71FF4D3D"/>
    <w:rsid w:val="71FFF8E3"/>
    <w:rsid w:val="72276EBF"/>
    <w:rsid w:val="723F4D5F"/>
    <w:rsid w:val="7257E4DB"/>
    <w:rsid w:val="725D6F71"/>
    <w:rsid w:val="727D5D68"/>
    <w:rsid w:val="727DDAB0"/>
    <w:rsid w:val="727E69D1"/>
    <w:rsid w:val="72874EE3"/>
    <w:rsid w:val="729329B5"/>
    <w:rsid w:val="72A71665"/>
    <w:rsid w:val="72AFAB84"/>
    <w:rsid w:val="72B03567"/>
    <w:rsid w:val="72B4544B"/>
    <w:rsid w:val="72D179CC"/>
    <w:rsid w:val="72D52224"/>
    <w:rsid w:val="72D97362"/>
    <w:rsid w:val="72DF7406"/>
    <w:rsid w:val="72DFB4CA"/>
    <w:rsid w:val="72DFED12"/>
    <w:rsid w:val="72E768BC"/>
    <w:rsid w:val="72EE24A7"/>
    <w:rsid w:val="72F8314E"/>
    <w:rsid w:val="72FE3F53"/>
    <w:rsid w:val="72FE6E72"/>
    <w:rsid w:val="7307BE1C"/>
    <w:rsid w:val="730C2768"/>
    <w:rsid w:val="730D6CCA"/>
    <w:rsid w:val="73137F9A"/>
    <w:rsid w:val="731FEAAE"/>
    <w:rsid w:val="732F5B1B"/>
    <w:rsid w:val="7338ABF4"/>
    <w:rsid w:val="733E5017"/>
    <w:rsid w:val="7355F127"/>
    <w:rsid w:val="735647DD"/>
    <w:rsid w:val="73594CF9"/>
    <w:rsid w:val="735FD493"/>
    <w:rsid w:val="736B2BD2"/>
    <w:rsid w:val="736DD3E5"/>
    <w:rsid w:val="736E3A72"/>
    <w:rsid w:val="7373B713"/>
    <w:rsid w:val="73760C63"/>
    <w:rsid w:val="73767229"/>
    <w:rsid w:val="7379A4FA"/>
    <w:rsid w:val="737FBB0C"/>
    <w:rsid w:val="737FDD1F"/>
    <w:rsid w:val="737FE010"/>
    <w:rsid w:val="739D6C40"/>
    <w:rsid w:val="73A330CC"/>
    <w:rsid w:val="73B3D5C4"/>
    <w:rsid w:val="73B70E57"/>
    <w:rsid w:val="73BC4FDA"/>
    <w:rsid w:val="73BD6022"/>
    <w:rsid w:val="73BE3CF5"/>
    <w:rsid w:val="73CF4E00"/>
    <w:rsid w:val="73D7FE5F"/>
    <w:rsid w:val="73DC92F8"/>
    <w:rsid w:val="73DD58D1"/>
    <w:rsid w:val="73DD6404"/>
    <w:rsid w:val="73DEC706"/>
    <w:rsid w:val="73DF0E65"/>
    <w:rsid w:val="73DF6883"/>
    <w:rsid w:val="73DFD2BF"/>
    <w:rsid w:val="73DFEEBB"/>
    <w:rsid w:val="73DFFA13"/>
    <w:rsid w:val="73E55492"/>
    <w:rsid w:val="73E97B1A"/>
    <w:rsid w:val="73ECD201"/>
    <w:rsid w:val="73EF449C"/>
    <w:rsid w:val="73EF7831"/>
    <w:rsid w:val="73EFA918"/>
    <w:rsid w:val="73F5A5AE"/>
    <w:rsid w:val="73F5EF57"/>
    <w:rsid w:val="73F72F45"/>
    <w:rsid w:val="73F75101"/>
    <w:rsid w:val="73F75AD7"/>
    <w:rsid w:val="73F77627"/>
    <w:rsid w:val="73F7877A"/>
    <w:rsid w:val="73F97BBE"/>
    <w:rsid w:val="73F9F159"/>
    <w:rsid w:val="73FB7508"/>
    <w:rsid w:val="73FBDE96"/>
    <w:rsid w:val="73FBE94F"/>
    <w:rsid w:val="73FD20A0"/>
    <w:rsid w:val="73FDACE2"/>
    <w:rsid w:val="73FE08EE"/>
    <w:rsid w:val="73FEC979"/>
    <w:rsid w:val="73FEED4D"/>
    <w:rsid w:val="73FF1241"/>
    <w:rsid w:val="73FF279F"/>
    <w:rsid w:val="73FF2CDB"/>
    <w:rsid w:val="73FFA8B8"/>
    <w:rsid w:val="73FFBB0F"/>
    <w:rsid w:val="73FFBBC4"/>
    <w:rsid w:val="73FFCE4C"/>
    <w:rsid w:val="74051691"/>
    <w:rsid w:val="74257F85"/>
    <w:rsid w:val="743B2610"/>
    <w:rsid w:val="74545CAD"/>
    <w:rsid w:val="74560EE1"/>
    <w:rsid w:val="7459160A"/>
    <w:rsid w:val="745D0BF2"/>
    <w:rsid w:val="746A1E3C"/>
    <w:rsid w:val="746F0F0C"/>
    <w:rsid w:val="74779FF0"/>
    <w:rsid w:val="747E1443"/>
    <w:rsid w:val="747F85F3"/>
    <w:rsid w:val="74B84955"/>
    <w:rsid w:val="74BEE76C"/>
    <w:rsid w:val="74BF0702"/>
    <w:rsid w:val="74BFED67"/>
    <w:rsid w:val="74DF77E9"/>
    <w:rsid w:val="74E5D47D"/>
    <w:rsid w:val="74F22E18"/>
    <w:rsid w:val="74F3DAD2"/>
    <w:rsid w:val="74F6547D"/>
    <w:rsid w:val="74F78984"/>
    <w:rsid w:val="74F9AB70"/>
    <w:rsid w:val="74FB372C"/>
    <w:rsid w:val="74FB9284"/>
    <w:rsid w:val="74FC0BA0"/>
    <w:rsid w:val="74FC4E8E"/>
    <w:rsid w:val="74FD6CE9"/>
    <w:rsid w:val="74FDAB55"/>
    <w:rsid w:val="74FE9FF0"/>
    <w:rsid w:val="74FFAF74"/>
    <w:rsid w:val="750162FC"/>
    <w:rsid w:val="7515333A"/>
    <w:rsid w:val="752E4CCC"/>
    <w:rsid w:val="752F6E87"/>
    <w:rsid w:val="753C4252"/>
    <w:rsid w:val="753DEE3A"/>
    <w:rsid w:val="754DEB33"/>
    <w:rsid w:val="754F1AF6"/>
    <w:rsid w:val="75524DAA"/>
    <w:rsid w:val="7556B372"/>
    <w:rsid w:val="755BEF98"/>
    <w:rsid w:val="755C1784"/>
    <w:rsid w:val="755EF461"/>
    <w:rsid w:val="75764AB7"/>
    <w:rsid w:val="75774C2A"/>
    <w:rsid w:val="75779164"/>
    <w:rsid w:val="757D7EC0"/>
    <w:rsid w:val="757E25C7"/>
    <w:rsid w:val="757F5740"/>
    <w:rsid w:val="757F5E5E"/>
    <w:rsid w:val="757FAB7C"/>
    <w:rsid w:val="757FD35B"/>
    <w:rsid w:val="75923492"/>
    <w:rsid w:val="759B9FBE"/>
    <w:rsid w:val="759D50AB"/>
    <w:rsid w:val="759DAC45"/>
    <w:rsid w:val="75AB7A07"/>
    <w:rsid w:val="75B01AD0"/>
    <w:rsid w:val="75B7533A"/>
    <w:rsid w:val="75B76FE1"/>
    <w:rsid w:val="75BEEA9F"/>
    <w:rsid w:val="75BF4CB1"/>
    <w:rsid w:val="75BF9F99"/>
    <w:rsid w:val="75BFF932"/>
    <w:rsid w:val="75C1465C"/>
    <w:rsid w:val="75C91FAC"/>
    <w:rsid w:val="75CE38F4"/>
    <w:rsid w:val="75D457BF"/>
    <w:rsid w:val="75D9F0E5"/>
    <w:rsid w:val="75DB499E"/>
    <w:rsid w:val="75DC54CD"/>
    <w:rsid w:val="75DD8409"/>
    <w:rsid w:val="75DD91E1"/>
    <w:rsid w:val="75DF4477"/>
    <w:rsid w:val="75DFBFDD"/>
    <w:rsid w:val="75E31EA6"/>
    <w:rsid w:val="75E72B47"/>
    <w:rsid w:val="75E82B0D"/>
    <w:rsid w:val="75ED0B80"/>
    <w:rsid w:val="75EFA566"/>
    <w:rsid w:val="75F25C45"/>
    <w:rsid w:val="75F3E176"/>
    <w:rsid w:val="75F5114E"/>
    <w:rsid w:val="75F61CFE"/>
    <w:rsid w:val="75F6688E"/>
    <w:rsid w:val="75F6C54F"/>
    <w:rsid w:val="75F71E61"/>
    <w:rsid w:val="75F90DFD"/>
    <w:rsid w:val="75FB0D40"/>
    <w:rsid w:val="75FBD7CF"/>
    <w:rsid w:val="75FBE9AD"/>
    <w:rsid w:val="75FD1F55"/>
    <w:rsid w:val="75FDA956"/>
    <w:rsid w:val="75FE168F"/>
    <w:rsid w:val="75FF02C7"/>
    <w:rsid w:val="75FF14B4"/>
    <w:rsid w:val="75FF4C9F"/>
    <w:rsid w:val="75FF4E01"/>
    <w:rsid w:val="75FF7BCB"/>
    <w:rsid w:val="75FF7FCC"/>
    <w:rsid w:val="75FF9933"/>
    <w:rsid w:val="75FFA071"/>
    <w:rsid w:val="75FFA4A5"/>
    <w:rsid w:val="75FFFEB5"/>
    <w:rsid w:val="761B9218"/>
    <w:rsid w:val="762788DB"/>
    <w:rsid w:val="763DEA8A"/>
    <w:rsid w:val="763E884F"/>
    <w:rsid w:val="763ECF46"/>
    <w:rsid w:val="764F1258"/>
    <w:rsid w:val="765ADBBC"/>
    <w:rsid w:val="765AECFE"/>
    <w:rsid w:val="765E7D80"/>
    <w:rsid w:val="7667AED0"/>
    <w:rsid w:val="766B04BA"/>
    <w:rsid w:val="766C1E9B"/>
    <w:rsid w:val="766D99C8"/>
    <w:rsid w:val="766F54E7"/>
    <w:rsid w:val="7677236F"/>
    <w:rsid w:val="767925BF"/>
    <w:rsid w:val="767BCE63"/>
    <w:rsid w:val="767E67F9"/>
    <w:rsid w:val="767F254C"/>
    <w:rsid w:val="767F3438"/>
    <w:rsid w:val="767F3EFC"/>
    <w:rsid w:val="768F0B6A"/>
    <w:rsid w:val="7697DBE4"/>
    <w:rsid w:val="769F78D7"/>
    <w:rsid w:val="76A1DE58"/>
    <w:rsid w:val="76AFB4D1"/>
    <w:rsid w:val="76AFD961"/>
    <w:rsid w:val="76B31878"/>
    <w:rsid w:val="76BF6879"/>
    <w:rsid w:val="76BF8690"/>
    <w:rsid w:val="76CAADFA"/>
    <w:rsid w:val="76CC0A9F"/>
    <w:rsid w:val="76D11D93"/>
    <w:rsid w:val="76D35A76"/>
    <w:rsid w:val="76DD208E"/>
    <w:rsid w:val="76DDDDA8"/>
    <w:rsid w:val="76DE2107"/>
    <w:rsid w:val="76DF266A"/>
    <w:rsid w:val="76DFB150"/>
    <w:rsid w:val="76E30BC6"/>
    <w:rsid w:val="76E5CF6D"/>
    <w:rsid w:val="76E7D6CD"/>
    <w:rsid w:val="76EBF67E"/>
    <w:rsid w:val="76EC99C9"/>
    <w:rsid w:val="76EE17E3"/>
    <w:rsid w:val="76EE89C1"/>
    <w:rsid w:val="76EF5A64"/>
    <w:rsid w:val="76EFDE2D"/>
    <w:rsid w:val="76EFF921"/>
    <w:rsid w:val="76F453B3"/>
    <w:rsid w:val="76F6FDAF"/>
    <w:rsid w:val="76F76EF0"/>
    <w:rsid w:val="76F79BFA"/>
    <w:rsid w:val="76F7CE98"/>
    <w:rsid w:val="76FA0DFF"/>
    <w:rsid w:val="76FA3580"/>
    <w:rsid w:val="76FB393A"/>
    <w:rsid w:val="76FBADB8"/>
    <w:rsid w:val="76FDC5BA"/>
    <w:rsid w:val="76FDEEB4"/>
    <w:rsid w:val="76FF07EB"/>
    <w:rsid w:val="76FF0F77"/>
    <w:rsid w:val="76FF248C"/>
    <w:rsid w:val="76FF40EC"/>
    <w:rsid w:val="76FF7ACC"/>
    <w:rsid w:val="76FFBC7F"/>
    <w:rsid w:val="7706A467"/>
    <w:rsid w:val="770B3462"/>
    <w:rsid w:val="77131FD7"/>
    <w:rsid w:val="771612B2"/>
    <w:rsid w:val="77170273"/>
    <w:rsid w:val="771B09BD"/>
    <w:rsid w:val="772BC3BC"/>
    <w:rsid w:val="772FA937"/>
    <w:rsid w:val="772FD6C9"/>
    <w:rsid w:val="77371B87"/>
    <w:rsid w:val="773B3D54"/>
    <w:rsid w:val="773BFF08"/>
    <w:rsid w:val="773EBBB4"/>
    <w:rsid w:val="773ED759"/>
    <w:rsid w:val="773F36C3"/>
    <w:rsid w:val="77422BFC"/>
    <w:rsid w:val="77560455"/>
    <w:rsid w:val="775B87E3"/>
    <w:rsid w:val="775C695D"/>
    <w:rsid w:val="775D9A17"/>
    <w:rsid w:val="775F13BB"/>
    <w:rsid w:val="775FDF29"/>
    <w:rsid w:val="77698EB5"/>
    <w:rsid w:val="776F4302"/>
    <w:rsid w:val="776FE221"/>
    <w:rsid w:val="77707769"/>
    <w:rsid w:val="7774368F"/>
    <w:rsid w:val="77750BB0"/>
    <w:rsid w:val="77758423"/>
    <w:rsid w:val="77767E08"/>
    <w:rsid w:val="77773B88"/>
    <w:rsid w:val="7777B2EF"/>
    <w:rsid w:val="777B6BDB"/>
    <w:rsid w:val="777B7098"/>
    <w:rsid w:val="777B7CFD"/>
    <w:rsid w:val="777BDCE0"/>
    <w:rsid w:val="777D7703"/>
    <w:rsid w:val="777E5529"/>
    <w:rsid w:val="777E6A2B"/>
    <w:rsid w:val="777EBC15"/>
    <w:rsid w:val="777EEAAA"/>
    <w:rsid w:val="777F23A4"/>
    <w:rsid w:val="777F3553"/>
    <w:rsid w:val="777F52C6"/>
    <w:rsid w:val="777F56F1"/>
    <w:rsid w:val="777F6607"/>
    <w:rsid w:val="777F9F8F"/>
    <w:rsid w:val="777FA99B"/>
    <w:rsid w:val="777FAE6C"/>
    <w:rsid w:val="777FDBFA"/>
    <w:rsid w:val="7785AC2B"/>
    <w:rsid w:val="77877F00"/>
    <w:rsid w:val="778A48FF"/>
    <w:rsid w:val="778B975F"/>
    <w:rsid w:val="778F4DC7"/>
    <w:rsid w:val="7793C957"/>
    <w:rsid w:val="7796BE80"/>
    <w:rsid w:val="77978900"/>
    <w:rsid w:val="7797A612"/>
    <w:rsid w:val="7799AFB8"/>
    <w:rsid w:val="779E45C7"/>
    <w:rsid w:val="77A32793"/>
    <w:rsid w:val="77A79AF1"/>
    <w:rsid w:val="77A7ED8A"/>
    <w:rsid w:val="77ABEF76"/>
    <w:rsid w:val="77B283FD"/>
    <w:rsid w:val="77B5D703"/>
    <w:rsid w:val="77B60015"/>
    <w:rsid w:val="77B7512F"/>
    <w:rsid w:val="77B7C463"/>
    <w:rsid w:val="77B81A3E"/>
    <w:rsid w:val="77B9A721"/>
    <w:rsid w:val="77BA96A5"/>
    <w:rsid w:val="77BC9362"/>
    <w:rsid w:val="77BCAFB7"/>
    <w:rsid w:val="77BCFB0A"/>
    <w:rsid w:val="77BD33A7"/>
    <w:rsid w:val="77BE192B"/>
    <w:rsid w:val="77BE3E6D"/>
    <w:rsid w:val="77BE90F9"/>
    <w:rsid w:val="77BE9B04"/>
    <w:rsid w:val="77BEB1A3"/>
    <w:rsid w:val="77BEBBA3"/>
    <w:rsid w:val="77BEC521"/>
    <w:rsid w:val="77BF0A60"/>
    <w:rsid w:val="77BF22AB"/>
    <w:rsid w:val="77BF31B9"/>
    <w:rsid w:val="77BF51EC"/>
    <w:rsid w:val="77BF6F5D"/>
    <w:rsid w:val="77BFB5FD"/>
    <w:rsid w:val="77BFC9B3"/>
    <w:rsid w:val="77BFD47F"/>
    <w:rsid w:val="77BFEBA3"/>
    <w:rsid w:val="77C9CCDE"/>
    <w:rsid w:val="77CD148C"/>
    <w:rsid w:val="77CD5C17"/>
    <w:rsid w:val="77CD9D84"/>
    <w:rsid w:val="77CE1C3A"/>
    <w:rsid w:val="77CEB19F"/>
    <w:rsid w:val="77CF79BC"/>
    <w:rsid w:val="77CF8D43"/>
    <w:rsid w:val="77D3693C"/>
    <w:rsid w:val="77D642AC"/>
    <w:rsid w:val="77D79A1D"/>
    <w:rsid w:val="77D79E4F"/>
    <w:rsid w:val="77D7C8A2"/>
    <w:rsid w:val="77D7FB7F"/>
    <w:rsid w:val="77D7FEA1"/>
    <w:rsid w:val="77D95A30"/>
    <w:rsid w:val="77DB8611"/>
    <w:rsid w:val="77DB978A"/>
    <w:rsid w:val="77DBDBEA"/>
    <w:rsid w:val="77DBE969"/>
    <w:rsid w:val="77DDCE2E"/>
    <w:rsid w:val="77DDFFEA"/>
    <w:rsid w:val="77DF4FCE"/>
    <w:rsid w:val="77DF6AFD"/>
    <w:rsid w:val="77DF9D1F"/>
    <w:rsid w:val="77DFB65E"/>
    <w:rsid w:val="77DFD43A"/>
    <w:rsid w:val="77E73D99"/>
    <w:rsid w:val="77E75FFF"/>
    <w:rsid w:val="77E77FA4"/>
    <w:rsid w:val="77E7BD6C"/>
    <w:rsid w:val="77E90C8A"/>
    <w:rsid w:val="77E9254B"/>
    <w:rsid w:val="77E9CA28"/>
    <w:rsid w:val="77EAA4C4"/>
    <w:rsid w:val="77EB31EE"/>
    <w:rsid w:val="77EB7023"/>
    <w:rsid w:val="77EC6A37"/>
    <w:rsid w:val="77ECE7A5"/>
    <w:rsid w:val="77ED4EE0"/>
    <w:rsid w:val="77EE2419"/>
    <w:rsid w:val="77EEAE36"/>
    <w:rsid w:val="77EEED7E"/>
    <w:rsid w:val="77EF0A45"/>
    <w:rsid w:val="77EF2382"/>
    <w:rsid w:val="77EF62E4"/>
    <w:rsid w:val="77EF6659"/>
    <w:rsid w:val="77EFC4FF"/>
    <w:rsid w:val="77EFD4D2"/>
    <w:rsid w:val="77EFE563"/>
    <w:rsid w:val="77EFE937"/>
    <w:rsid w:val="77F0D334"/>
    <w:rsid w:val="77F14441"/>
    <w:rsid w:val="77F204D5"/>
    <w:rsid w:val="77F3E61B"/>
    <w:rsid w:val="77F40053"/>
    <w:rsid w:val="77F413C7"/>
    <w:rsid w:val="77F42A80"/>
    <w:rsid w:val="77F4E1EB"/>
    <w:rsid w:val="77F5F5C1"/>
    <w:rsid w:val="77F693CC"/>
    <w:rsid w:val="77F6C88A"/>
    <w:rsid w:val="77F6C999"/>
    <w:rsid w:val="77F6E66D"/>
    <w:rsid w:val="77F70086"/>
    <w:rsid w:val="77F738A2"/>
    <w:rsid w:val="77F73AE7"/>
    <w:rsid w:val="77F76C19"/>
    <w:rsid w:val="77F76D5D"/>
    <w:rsid w:val="77F77223"/>
    <w:rsid w:val="77F77288"/>
    <w:rsid w:val="77F77804"/>
    <w:rsid w:val="77F77B9F"/>
    <w:rsid w:val="77F7A44F"/>
    <w:rsid w:val="77F7CD35"/>
    <w:rsid w:val="77F84D27"/>
    <w:rsid w:val="77F87B07"/>
    <w:rsid w:val="77F8B7F5"/>
    <w:rsid w:val="77F94451"/>
    <w:rsid w:val="77F94B95"/>
    <w:rsid w:val="77F959B0"/>
    <w:rsid w:val="77F9EDAE"/>
    <w:rsid w:val="77FA232B"/>
    <w:rsid w:val="77FAC8F1"/>
    <w:rsid w:val="77FB3956"/>
    <w:rsid w:val="77FB3D57"/>
    <w:rsid w:val="77FBE9E6"/>
    <w:rsid w:val="77FD2691"/>
    <w:rsid w:val="77FD47DD"/>
    <w:rsid w:val="77FD8A5A"/>
    <w:rsid w:val="77FD9A5C"/>
    <w:rsid w:val="77FDA098"/>
    <w:rsid w:val="77FDC44C"/>
    <w:rsid w:val="77FDC869"/>
    <w:rsid w:val="77FDF224"/>
    <w:rsid w:val="77FE9A31"/>
    <w:rsid w:val="77FEC626"/>
    <w:rsid w:val="77FEDFC5"/>
    <w:rsid w:val="77FF1011"/>
    <w:rsid w:val="77FF2BB8"/>
    <w:rsid w:val="77FF3F99"/>
    <w:rsid w:val="77FF44CA"/>
    <w:rsid w:val="77FF79F7"/>
    <w:rsid w:val="77FF8994"/>
    <w:rsid w:val="77FFA071"/>
    <w:rsid w:val="77FFA69C"/>
    <w:rsid w:val="77FFB1DE"/>
    <w:rsid w:val="77FFB87D"/>
    <w:rsid w:val="77FFB8A8"/>
    <w:rsid w:val="77FFBA8C"/>
    <w:rsid w:val="77FFC2BE"/>
    <w:rsid w:val="77FFC5BD"/>
    <w:rsid w:val="77FFF684"/>
    <w:rsid w:val="782DACB7"/>
    <w:rsid w:val="78370287"/>
    <w:rsid w:val="785262D8"/>
    <w:rsid w:val="78579885"/>
    <w:rsid w:val="786F366E"/>
    <w:rsid w:val="7877EE7C"/>
    <w:rsid w:val="787FA8EF"/>
    <w:rsid w:val="787FD86A"/>
    <w:rsid w:val="789D0474"/>
    <w:rsid w:val="789D99B1"/>
    <w:rsid w:val="789F45A0"/>
    <w:rsid w:val="78B9CD11"/>
    <w:rsid w:val="78BB9FBA"/>
    <w:rsid w:val="78BDF405"/>
    <w:rsid w:val="78BF2105"/>
    <w:rsid w:val="78BFA9CE"/>
    <w:rsid w:val="78CE86B1"/>
    <w:rsid w:val="78D935BD"/>
    <w:rsid w:val="78DA7590"/>
    <w:rsid w:val="78DDF51D"/>
    <w:rsid w:val="78DF4FE5"/>
    <w:rsid w:val="78DFC059"/>
    <w:rsid w:val="78E3634C"/>
    <w:rsid w:val="78E7B5EB"/>
    <w:rsid w:val="78EB060F"/>
    <w:rsid w:val="78ED1C07"/>
    <w:rsid w:val="78FB3A6E"/>
    <w:rsid w:val="78FD9579"/>
    <w:rsid w:val="78FDA4B0"/>
    <w:rsid w:val="78FF7767"/>
    <w:rsid w:val="791DF0A1"/>
    <w:rsid w:val="792B9FDB"/>
    <w:rsid w:val="792FD03D"/>
    <w:rsid w:val="79366790"/>
    <w:rsid w:val="793F5522"/>
    <w:rsid w:val="7940316B"/>
    <w:rsid w:val="795E61A8"/>
    <w:rsid w:val="795F107F"/>
    <w:rsid w:val="795FC9C4"/>
    <w:rsid w:val="795FF514"/>
    <w:rsid w:val="79657448"/>
    <w:rsid w:val="7965E4B5"/>
    <w:rsid w:val="79764DDF"/>
    <w:rsid w:val="7976A5C1"/>
    <w:rsid w:val="79775B3D"/>
    <w:rsid w:val="797A1A79"/>
    <w:rsid w:val="797D1B82"/>
    <w:rsid w:val="797D616D"/>
    <w:rsid w:val="797F3936"/>
    <w:rsid w:val="797FE51D"/>
    <w:rsid w:val="79A7801A"/>
    <w:rsid w:val="79AE27CB"/>
    <w:rsid w:val="79B1F2E8"/>
    <w:rsid w:val="79BC4EE7"/>
    <w:rsid w:val="79BD2569"/>
    <w:rsid w:val="79BE7FB5"/>
    <w:rsid w:val="79BF0FB5"/>
    <w:rsid w:val="79BF559C"/>
    <w:rsid w:val="79BF91C2"/>
    <w:rsid w:val="79BFA72C"/>
    <w:rsid w:val="79CB87EF"/>
    <w:rsid w:val="79CF11B4"/>
    <w:rsid w:val="79D38BAA"/>
    <w:rsid w:val="79D4D98F"/>
    <w:rsid w:val="79D4DDA0"/>
    <w:rsid w:val="79D68544"/>
    <w:rsid w:val="79D7762B"/>
    <w:rsid w:val="79DB6A49"/>
    <w:rsid w:val="79DB79F5"/>
    <w:rsid w:val="79DDFECC"/>
    <w:rsid w:val="79DE986A"/>
    <w:rsid w:val="79DFB6F3"/>
    <w:rsid w:val="79DFD40C"/>
    <w:rsid w:val="79DFEBCF"/>
    <w:rsid w:val="79E39125"/>
    <w:rsid w:val="79E58ED4"/>
    <w:rsid w:val="79E5D17C"/>
    <w:rsid w:val="79E66063"/>
    <w:rsid w:val="79E81839"/>
    <w:rsid w:val="79EB7217"/>
    <w:rsid w:val="79ECCA72"/>
    <w:rsid w:val="79ED6A6A"/>
    <w:rsid w:val="79ED7793"/>
    <w:rsid w:val="79EF897C"/>
    <w:rsid w:val="79EF8F9C"/>
    <w:rsid w:val="79EFC3B8"/>
    <w:rsid w:val="79EFE186"/>
    <w:rsid w:val="79F30672"/>
    <w:rsid w:val="79F3A1EB"/>
    <w:rsid w:val="79F3F021"/>
    <w:rsid w:val="79F51EF5"/>
    <w:rsid w:val="79F54FCD"/>
    <w:rsid w:val="79F56D6E"/>
    <w:rsid w:val="79F90164"/>
    <w:rsid w:val="79FA69EB"/>
    <w:rsid w:val="79FB2547"/>
    <w:rsid w:val="79FB665D"/>
    <w:rsid w:val="79FBA1BB"/>
    <w:rsid w:val="79FD3822"/>
    <w:rsid w:val="79FE0F3C"/>
    <w:rsid w:val="79FF213D"/>
    <w:rsid w:val="79FF3A3F"/>
    <w:rsid w:val="79FF5859"/>
    <w:rsid w:val="79FF8988"/>
    <w:rsid w:val="79FF9B95"/>
    <w:rsid w:val="79FFA6BE"/>
    <w:rsid w:val="79FFBF2D"/>
    <w:rsid w:val="7A1B2186"/>
    <w:rsid w:val="7A1DCF46"/>
    <w:rsid w:val="7A301431"/>
    <w:rsid w:val="7A3BF661"/>
    <w:rsid w:val="7A3E6474"/>
    <w:rsid w:val="7A4F8452"/>
    <w:rsid w:val="7A5D38AF"/>
    <w:rsid w:val="7A5DCBD2"/>
    <w:rsid w:val="7A5F6F3D"/>
    <w:rsid w:val="7A6510DB"/>
    <w:rsid w:val="7A725AD0"/>
    <w:rsid w:val="7A798528"/>
    <w:rsid w:val="7A7DF923"/>
    <w:rsid w:val="7A7F35CD"/>
    <w:rsid w:val="7A7F9115"/>
    <w:rsid w:val="7A7F9C29"/>
    <w:rsid w:val="7A8A6D94"/>
    <w:rsid w:val="7A8D23E0"/>
    <w:rsid w:val="7A935C99"/>
    <w:rsid w:val="7A98940B"/>
    <w:rsid w:val="7A9A060C"/>
    <w:rsid w:val="7A9B2D4F"/>
    <w:rsid w:val="7A9BB04F"/>
    <w:rsid w:val="7A9D95D6"/>
    <w:rsid w:val="7AA17C39"/>
    <w:rsid w:val="7AA1A0DD"/>
    <w:rsid w:val="7AA8546C"/>
    <w:rsid w:val="7AAB120E"/>
    <w:rsid w:val="7AAB2CA6"/>
    <w:rsid w:val="7AAD5365"/>
    <w:rsid w:val="7AAF54BD"/>
    <w:rsid w:val="7ABA9DFB"/>
    <w:rsid w:val="7ABC1C5E"/>
    <w:rsid w:val="7ABE4C8F"/>
    <w:rsid w:val="7ABEDC77"/>
    <w:rsid w:val="7ABF24C5"/>
    <w:rsid w:val="7ABF3A5E"/>
    <w:rsid w:val="7ABFEC69"/>
    <w:rsid w:val="7ABFECA5"/>
    <w:rsid w:val="7AC9D74E"/>
    <w:rsid w:val="7ACDDB7E"/>
    <w:rsid w:val="7ACE610C"/>
    <w:rsid w:val="7AD3E03B"/>
    <w:rsid w:val="7AD50AD5"/>
    <w:rsid w:val="7ADB1172"/>
    <w:rsid w:val="7ADC51FA"/>
    <w:rsid w:val="7ADF3199"/>
    <w:rsid w:val="7ADFF23B"/>
    <w:rsid w:val="7ADFF8FF"/>
    <w:rsid w:val="7AE30419"/>
    <w:rsid w:val="7AE32394"/>
    <w:rsid w:val="7AEB2B42"/>
    <w:rsid w:val="7AED2BC3"/>
    <w:rsid w:val="7AED8285"/>
    <w:rsid w:val="7AEF706E"/>
    <w:rsid w:val="7AF33E0E"/>
    <w:rsid w:val="7AF35102"/>
    <w:rsid w:val="7AF53942"/>
    <w:rsid w:val="7AF621CB"/>
    <w:rsid w:val="7AF760B1"/>
    <w:rsid w:val="7AF762FB"/>
    <w:rsid w:val="7AF7778E"/>
    <w:rsid w:val="7AF7FF52"/>
    <w:rsid w:val="7AFA5D63"/>
    <w:rsid w:val="7AFBA870"/>
    <w:rsid w:val="7AFBDB7F"/>
    <w:rsid w:val="7AFE073D"/>
    <w:rsid w:val="7AFF0440"/>
    <w:rsid w:val="7AFF0914"/>
    <w:rsid w:val="7AFF116E"/>
    <w:rsid w:val="7AFF2696"/>
    <w:rsid w:val="7AFF3A7B"/>
    <w:rsid w:val="7AFF51A8"/>
    <w:rsid w:val="7AFF9DE4"/>
    <w:rsid w:val="7AFFB05F"/>
    <w:rsid w:val="7AFFB064"/>
    <w:rsid w:val="7AFFCE0B"/>
    <w:rsid w:val="7B0C6202"/>
    <w:rsid w:val="7B14D6A2"/>
    <w:rsid w:val="7B152B01"/>
    <w:rsid w:val="7B1623D5"/>
    <w:rsid w:val="7B2D79F3"/>
    <w:rsid w:val="7B364826"/>
    <w:rsid w:val="7B372AFD"/>
    <w:rsid w:val="7B3AA5D1"/>
    <w:rsid w:val="7B3AC701"/>
    <w:rsid w:val="7B3BD383"/>
    <w:rsid w:val="7B3EA4DA"/>
    <w:rsid w:val="7B3EB2A4"/>
    <w:rsid w:val="7B3F1FAC"/>
    <w:rsid w:val="7B3F8FE6"/>
    <w:rsid w:val="7B3FC4E8"/>
    <w:rsid w:val="7B433939"/>
    <w:rsid w:val="7B446F42"/>
    <w:rsid w:val="7B46E889"/>
    <w:rsid w:val="7B4C4049"/>
    <w:rsid w:val="7B4F283E"/>
    <w:rsid w:val="7B4F58E7"/>
    <w:rsid w:val="7B57D043"/>
    <w:rsid w:val="7B5D7239"/>
    <w:rsid w:val="7B5F8658"/>
    <w:rsid w:val="7B670E83"/>
    <w:rsid w:val="7B674FBE"/>
    <w:rsid w:val="7B6E2BA4"/>
    <w:rsid w:val="7B6E72EE"/>
    <w:rsid w:val="7B6E8DF3"/>
    <w:rsid w:val="7B736950"/>
    <w:rsid w:val="7B736B63"/>
    <w:rsid w:val="7B73AB83"/>
    <w:rsid w:val="7B7626D5"/>
    <w:rsid w:val="7B774230"/>
    <w:rsid w:val="7B77929F"/>
    <w:rsid w:val="7B779A9C"/>
    <w:rsid w:val="7B7912AE"/>
    <w:rsid w:val="7B7A5628"/>
    <w:rsid w:val="7B7AB676"/>
    <w:rsid w:val="7B7B0089"/>
    <w:rsid w:val="7B7B69B7"/>
    <w:rsid w:val="7B7BC60B"/>
    <w:rsid w:val="7B7BC6E7"/>
    <w:rsid w:val="7B7BE08D"/>
    <w:rsid w:val="7B7DB9A2"/>
    <w:rsid w:val="7B7DBA2B"/>
    <w:rsid w:val="7B7E2A03"/>
    <w:rsid w:val="7B7E9526"/>
    <w:rsid w:val="7B7EFC0E"/>
    <w:rsid w:val="7B7F003B"/>
    <w:rsid w:val="7B7F052F"/>
    <w:rsid w:val="7B7F37BC"/>
    <w:rsid w:val="7B7F6393"/>
    <w:rsid w:val="7B7F9784"/>
    <w:rsid w:val="7B7FDD3A"/>
    <w:rsid w:val="7B7FEBA4"/>
    <w:rsid w:val="7B833A4A"/>
    <w:rsid w:val="7B8B48E2"/>
    <w:rsid w:val="7B8C6819"/>
    <w:rsid w:val="7B9DBE79"/>
    <w:rsid w:val="7B9DC280"/>
    <w:rsid w:val="7B9F0937"/>
    <w:rsid w:val="7B9FF7DB"/>
    <w:rsid w:val="7BAB1C79"/>
    <w:rsid w:val="7BAB3BE2"/>
    <w:rsid w:val="7BADF595"/>
    <w:rsid w:val="7BAF5D5B"/>
    <w:rsid w:val="7BAFD031"/>
    <w:rsid w:val="7BAFEB04"/>
    <w:rsid w:val="7BB66589"/>
    <w:rsid w:val="7BB6B67E"/>
    <w:rsid w:val="7BB6BC3C"/>
    <w:rsid w:val="7BB6D720"/>
    <w:rsid w:val="7BB70034"/>
    <w:rsid w:val="7BB71146"/>
    <w:rsid w:val="7BB75966"/>
    <w:rsid w:val="7BB784A9"/>
    <w:rsid w:val="7BBAA012"/>
    <w:rsid w:val="7BBAD584"/>
    <w:rsid w:val="7BBB02A7"/>
    <w:rsid w:val="7BBB60AE"/>
    <w:rsid w:val="7BBB99A2"/>
    <w:rsid w:val="7BBD01C0"/>
    <w:rsid w:val="7BBD43B6"/>
    <w:rsid w:val="7BBD5FB1"/>
    <w:rsid w:val="7BBDBC41"/>
    <w:rsid w:val="7BBE035A"/>
    <w:rsid w:val="7BBE22D3"/>
    <w:rsid w:val="7BBF02CE"/>
    <w:rsid w:val="7BBFDDCB"/>
    <w:rsid w:val="7BC5935F"/>
    <w:rsid w:val="7BC9804C"/>
    <w:rsid w:val="7BCB2A74"/>
    <w:rsid w:val="7BCD0BCB"/>
    <w:rsid w:val="7BCD63EC"/>
    <w:rsid w:val="7BCDA29D"/>
    <w:rsid w:val="7BCDB8AF"/>
    <w:rsid w:val="7BCEDEEB"/>
    <w:rsid w:val="7BD3EDF0"/>
    <w:rsid w:val="7BD52895"/>
    <w:rsid w:val="7BD61375"/>
    <w:rsid w:val="7BD65094"/>
    <w:rsid w:val="7BD74C64"/>
    <w:rsid w:val="7BD7DAF5"/>
    <w:rsid w:val="7BDB5730"/>
    <w:rsid w:val="7BDB6B64"/>
    <w:rsid w:val="7BDBC9B2"/>
    <w:rsid w:val="7BDBF5A8"/>
    <w:rsid w:val="7BDD4D04"/>
    <w:rsid w:val="7BDD898C"/>
    <w:rsid w:val="7BDE1A30"/>
    <w:rsid w:val="7BDE4EB7"/>
    <w:rsid w:val="7BDEA985"/>
    <w:rsid w:val="7BDEB708"/>
    <w:rsid w:val="7BDF516F"/>
    <w:rsid w:val="7BDF6942"/>
    <w:rsid w:val="7BDFBEC0"/>
    <w:rsid w:val="7BDFEBB7"/>
    <w:rsid w:val="7BE504D5"/>
    <w:rsid w:val="7BE63FC7"/>
    <w:rsid w:val="7BE70416"/>
    <w:rsid w:val="7BE7287C"/>
    <w:rsid w:val="7BE73A7A"/>
    <w:rsid w:val="7BE75896"/>
    <w:rsid w:val="7BE7893A"/>
    <w:rsid w:val="7BE7AD95"/>
    <w:rsid w:val="7BE90A77"/>
    <w:rsid w:val="7BE98DC8"/>
    <w:rsid w:val="7BEB16AE"/>
    <w:rsid w:val="7BEB1B02"/>
    <w:rsid w:val="7BEB3862"/>
    <w:rsid w:val="7BEB6015"/>
    <w:rsid w:val="7BECA41C"/>
    <w:rsid w:val="7BED5E85"/>
    <w:rsid w:val="7BED7A05"/>
    <w:rsid w:val="7BEF053F"/>
    <w:rsid w:val="7BEF0CCB"/>
    <w:rsid w:val="7BEF5B04"/>
    <w:rsid w:val="7BEF64DA"/>
    <w:rsid w:val="7BEF830F"/>
    <w:rsid w:val="7BEF9B81"/>
    <w:rsid w:val="7BEFF1F9"/>
    <w:rsid w:val="7BF1479E"/>
    <w:rsid w:val="7BF306B0"/>
    <w:rsid w:val="7BF35E2B"/>
    <w:rsid w:val="7BF3D13D"/>
    <w:rsid w:val="7BF3F370"/>
    <w:rsid w:val="7BF67275"/>
    <w:rsid w:val="7BF67556"/>
    <w:rsid w:val="7BF6C786"/>
    <w:rsid w:val="7BF76C13"/>
    <w:rsid w:val="7BF785AE"/>
    <w:rsid w:val="7BF78FEE"/>
    <w:rsid w:val="7BF7F1A4"/>
    <w:rsid w:val="7BF939AB"/>
    <w:rsid w:val="7BFB2460"/>
    <w:rsid w:val="7BFBA485"/>
    <w:rsid w:val="7BFBF30D"/>
    <w:rsid w:val="7BFCB4B7"/>
    <w:rsid w:val="7BFD1596"/>
    <w:rsid w:val="7BFD3FA7"/>
    <w:rsid w:val="7BFD5C28"/>
    <w:rsid w:val="7BFD73AD"/>
    <w:rsid w:val="7BFD7731"/>
    <w:rsid w:val="7BFD9213"/>
    <w:rsid w:val="7BFDA6E9"/>
    <w:rsid w:val="7BFDB30A"/>
    <w:rsid w:val="7BFDCA5E"/>
    <w:rsid w:val="7BFE322A"/>
    <w:rsid w:val="7BFE3378"/>
    <w:rsid w:val="7BFE3F94"/>
    <w:rsid w:val="7BFE4610"/>
    <w:rsid w:val="7BFE5666"/>
    <w:rsid w:val="7BFE98BC"/>
    <w:rsid w:val="7BFEA933"/>
    <w:rsid w:val="7BFEBB9A"/>
    <w:rsid w:val="7BFEFDB4"/>
    <w:rsid w:val="7BFF02C3"/>
    <w:rsid w:val="7BFF06EB"/>
    <w:rsid w:val="7BFF081A"/>
    <w:rsid w:val="7BFF0F96"/>
    <w:rsid w:val="7BFF14BC"/>
    <w:rsid w:val="7BFF1825"/>
    <w:rsid w:val="7BFF1B49"/>
    <w:rsid w:val="7BFF49AD"/>
    <w:rsid w:val="7BFF6961"/>
    <w:rsid w:val="7BFF8767"/>
    <w:rsid w:val="7BFF8B51"/>
    <w:rsid w:val="7BFF8CC5"/>
    <w:rsid w:val="7BFF8EFC"/>
    <w:rsid w:val="7BFF8EFF"/>
    <w:rsid w:val="7BFF8FED"/>
    <w:rsid w:val="7BFFAA00"/>
    <w:rsid w:val="7BFFAEDE"/>
    <w:rsid w:val="7BFFB1B5"/>
    <w:rsid w:val="7BFFBA42"/>
    <w:rsid w:val="7BFFC310"/>
    <w:rsid w:val="7BFFD265"/>
    <w:rsid w:val="7BFFE1A4"/>
    <w:rsid w:val="7BFFE3BC"/>
    <w:rsid w:val="7BFFEE13"/>
    <w:rsid w:val="7BFFF7FE"/>
    <w:rsid w:val="7BFFFE6F"/>
    <w:rsid w:val="7C0E7D6C"/>
    <w:rsid w:val="7C1662F6"/>
    <w:rsid w:val="7C1DE3DB"/>
    <w:rsid w:val="7C3D124F"/>
    <w:rsid w:val="7C3F51BF"/>
    <w:rsid w:val="7C41C379"/>
    <w:rsid w:val="7C4C180A"/>
    <w:rsid w:val="7C6A0C2B"/>
    <w:rsid w:val="7C6F0315"/>
    <w:rsid w:val="7C7B439D"/>
    <w:rsid w:val="7C7F2C74"/>
    <w:rsid w:val="7C7F7140"/>
    <w:rsid w:val="7C7F943D"/>
    <w:rsid w:val="7C7FBC89"/>
    <w:rsid w:val="7C815F74"/>
    <w:rsid w:val="7C8963BE"/>
    <w:rsid w:val="7C914409"/>
    <w:rsid w:val="7C9666E0"/>
    <w:rsid w:val="7C977DD2"/>
    <w:rsid w:val="7C991510"/>
    <w:rsid w:val="7C996B01"/>
    <w:rsid w:val="7C9B1978"/>
    <w:rsid w:val="7CAF4F9D"/>
    <w:rsid w:val="7CAF7F8A"/>
    <w:rsid w:val="7CB32318"/>
    <w:rsid w:val="7CBA252F"/>
    <w:rsid w:val="7CBE3B40"/>
    <w:rsid w:val="7CBF5760"/>
    <w:rsid w:val="7CCC5441"/>
    <w:rsid w:val="7CCE2E99"/>
    <w:rsid w:val="7CCF0E64"/>
    <w:rsid w:val="7CCF83BB"/>
    <w:rsid w:val="7CD35F52"/>
    <w:rsid w:val="7CD78229"/>
    <w:rsid w:val="7CD7C241"/>
    <w:rsid w:val="7CD7CC94"/>
    <w:rsid w:val="7CD8B4E2"/>
    <w:rsid w:val="7CDBCEE2"/>
    <w:rsid w:val="7CDDF495"/>
    <w:rsid w:val="7CDE25FD"/>
    <w:rsid w:val="7CDF1ADE"/>
    <w:rsid w:val="7CDF8216"/>
    <w:rsid w:val="7CE02C9B"/>
    <w:rsid w:val="7CE75F3A"/>
    <w:rsid w:val="7CE79DF9"/>
    <w:rsid w:val="7CE7B55F"/>
    <w:rsid w:val="7CEB0A5B"/>
    <w:rsid w:val="7CEBB814"/>
    <w:rsid w:val="7CED00AD"/>
    <w:rsid w:val="7CED64DE"/>
    <w:rsid w:val="7CEFCC59"/>
    <w:rsid w:val="7CF1AC1C"/>
    <w:rsid w:val="7CF6C831"/>
    <w:rsid w:val="7CF90A4D"/>
    <w:rsid w:val="7CF9E1CB"/>
    <w:rsid w:val="7CFA894E"/>
    <w:rsid w:val="7CFB18C8"/>
    <w:rsid w:val="7CFB4A64"/>
    <w:rsid w:val="7CFB8560"/>
    <w:rsid w:val="7CFBC75F"/>
    <w:rsid w:val="7CFC20B9"/>
    <w:rsid w:val="7CFC2BA5"/>
    <w:rsid w:val="7CFCD5C8"/>
    <w:rsid w:val="7CFCE014"/>
    <w:rsid w:val="7CFD0D12"/>
    <w:rsid w:val="7CFD6CBD"/>
    <w:rsid w:val="7CFD8292"/>
    <w:rsid w:val="7CFEE539"/>
    <w:rsid w:val="7CFF332B"/>
    <w:rsid w:val="7CFF93FF"/>
    <w:rsid w:val="7CFFA0E2"/>
    <w:rsid w:val="7CFFB750"/>
    <w:rsid w:val="7CFFD52F"/>
    <w:rsid w:val="7CFFEB49"/>
    <w:rsid w:val="7D0E5A5A"/>
    <w:rsid w:val="7D130D46"/>
    <w:rsid w:val="7D1749B5"/>
    <w:rsid w:val="7D17C914"/>
    <w:rsid w:val="7D17DABE"/>
    <w:rsid w:val="7D1A2C06"/>
    <w:rsid w:val="7D2B9287"/>
    <w:rsid w:val="7D2D7D70"/>
    <w:rsid w:val="7D2DEA24"/>
    <w:rsid w:val="7D313A31"/>
    <w:rsid w:val="7D331CAA"/>
    <w:rsid w:val="7D34BD93"/>
    <w:rsid w:val="7D365EC7"/>
    <w:rsid w:val="7D3BC296"/>
    <w:rsid w:val="7D3F40EC"/>
    <w:rsid w:val="7D456FA2"/>
    <w:rsid w:val="7D4B5F09"/>
    <w:rsid w:val="7D53A40C"/>
    <w:rsid w:val="7D57D117"/>
    <w:rsid w:val="7D5D7EB8"/>
    <w:rsid w:val="7D5F93EC"/>
    <w:rsid w:val="7D5F9696"/>
    <w:rsid w:val="7D5FA58B"/>
    <w:rsid w:val="7D5FF651"/>
    <w:rsid w:val="7D63706A"/>
    <w:rsid w:val="7D6554C5"/>
    <w:rsid w:val="7D6CD967"/>
    <w:rsid w:val="7D6FDAF6"/>
    <w:rsid w:val="7D73A78D"/>
    <w:rsid w:val="7D75A87A"/>
    <w:rsid w:val="7D762630"/>
    <w:rsid w:val="7D7740B4"/>
    <w:rsid w:val="7D77C9E9"/>
    <w:rsid w:val="7D7BCF33"/>
    <w:rsid w:val="7D7D3681"/>
    <w:rsid w:val="7D7DA7C0"/>
    <w:rsid w:val="7D7DAA6B"/>
    <w:rsid w:val="7D7E0218"/>
    <w:rsid w:val="7D7E2CA8"/>
    <w:rsid w:val="7D7E7672"/>
    <w:rsid w:val="7D7F4494"/>
    <w:rsid w:val="7D7F699A"/>
    <w:rsid w:val="7D7F90F3"/>
    <w:rsid w:val="7D7FB6CB"/>
    <w:rsid w:val="7D7FC975"/>
    <w:rsid w:val="7D87C047"/>
    <w:rsid w:val="7D8BA287"/>
    <w:rsid w:val="7D8F40E7"/>
    <w:rsid w:val="7D9943A9"/>
    <w:rsid w:val="7D9AC860"/>
    <w:rsid w:val="7D9BC481"/>
    <w:rsid w:val="7D9CE0D7"/>
    <w:rsid w:val="7D9DEE17"/>
    <w:rsid w:val="7D9E13E4"/>
    <w:rsid w:val="7D9F2FF0"/>
    <w:rsid w:val="7D9F4ECF"/>
    <w:rsid w:val="7DA70435"/>
    <w:rsid w:val="7DA79CEE"/>
    <w:rsid w:val="7DA7DB33"/>
    <w:rsid w:val="7DADFEC0"/>
    <w:rsid w:val="7DAF1D36"/>
    <w:rsid w:val="7DB2F9C1"/>
    <w:rsid w:val="7DB3215D"/>
    <w:rsid w:val="7DB4E037"/>
    <w:rsid w:val="7DB5E106"/>
    <w:rsid w:val="7DB6AE65"/>
    <w:rsid w:val="7DB7362B"/>
    <w:rsid w:val="7DB7F170"/>
    <w:rsid w:val="7DB945FD"/>
    <w:rsid w:val="7DB9CBAA"/>
    <w:rsid w:val="7DB9D232"/>
    <w:rsid w:val="7DBA4530"/>
    <w:rsid w:val="7DBBC97E"/>
    <w:rsid w:val="7DBD4386"/>
    <w:rsid w:val="7DBDEE90"/>
    <w:rsid w:val="7DBE65D7"/>
    <w:rsid w:val="7DBEA349"/>
    <w:rsid w:val="7DBF23AC"/>
    <w:rsid w:val="7DBF3371"/>
    <w:rsid w:val="7DBF6012"/>
    <w:rsid w:val="7DBFBFD2"/>
    <w:rsid w:val="7DBFC88C"/>
    <w:rsid w:val="7DC6D0B1"/>
    <w:rsid w:val="7DC720AD"/>
    <w:rsid w:val="7DCE9120"/>
    <w:rsid w:val="7DD1DD5E"/>
    <w:rsid w:val="7DD5DFD6"/>
    <w:rsid w:val="7DDA4819"/>
    <w:rsid w:val="7DDA4BEA"/>
    <w:rsid w:val="7DDA6BD0"/>
    <w:rsid w:val="7DDB12CD"/>
    <w:rsid w:val="7DDB6C5D"/>
    <w:rsid w:val="7DDD0AC1"/>
    <w:rsid w:val="7DDD610A"/>
    <w:rsid w:val="7DDD6442"/>
    <w:rsid w:val="7DDDC592"/>
    <w:rsid w:val="7DDE87A1"/>
    <w:rsid w:val="7DDF185B"/>
    <w:rsid w:val="7DDF3329"/>
    <w:rsid w:val="7DDF6C90"/>
    <w:rsid w:val="7DDF7B49"/>
    <w:rsid w:val="7DDF8200"/>
    <w:rsid w:val="7DDF9246"/>
    <w:rsid w:val="7DDFA81A"/>
    <w:rsid w:val="7DDFC851"/>
    <w:rsid w:val="7DDFFA2F"/>
    <w:rsid w:val="7DE3F060"/>
    <w:rsid w:val="7DE51A6A"/>
    <w:rsid w:val="7DE52723"/>
    <w:rsid w:val="7DE587D6"/>
    <w:rsid w:val="7DE60785"/>
    <w:rsid w:val="7DE69C58"/>
    <w:rsid w:val="7DE715A2"/>
    <w:rsid w:val="7DE794C6"/>
    <w:rsid w:val="7DE7E7DF"/>
    <w:rsid w:val="7DE9CB51"/>
    <w:rsid w:val="7DEAD3C4"/>
    <w:rsid w:val="7DEB4BF2"/>
    <w:rsid w:val="7DEB6BAE"/>
    <w:rsid w:val="7DEB79B9"/>
    <w:rsid w:val="7DEBAB84"/>
    <w:rsid w:val="7DEBEEF6"/>
    <w:rsid w:val="7DEBEF8C"/>
    <w:rsid w:val="7DEBFB45"/>
    <w:rsid w:val="7DEC23C4"/>
    <w:rsid w:val="7DED4FBD"/>
    <w:rsid w:val="7DED7A25"/>
    <w:rsid w:val="7DEDEEAC"/>
    <w:rsid w:val="7DEE7774"/>
    <w:rsid w:val="7DEF158B"/>
    <w:rsid w:val="7DEF3D8F"/>
    <w:rsid w:val="7DEF49CE"/>
    <w:rsid w:val="7DEF5786"/>
    <w:rsid w:val="7DEF69E5"/>
    <w:rsid w:val="7DEF7681"/>
    <w:rsid w:val="7DEFA17D"/>
    <w:rsid w:val="7DEFDE11"/>
    <w:rsid w:val="7DEFE088"/>
    <w:rsid w:val="7DF27BC2"/>
    <w:rsid w:val="7DF365B1"/>
    <w:rsid w:val="7DF369FE"/>
    <w:rsid w:val="7DF3CAF7"/>
    <w:rsid w:val="7DF3E879"/>
    <w:rsid w:val="7DF41058"/>
    <w:rsid w:val="7DF43563"/>
    <w:rsid w:val="7DF508A0"/>
    <w:rsid w:val="7DF546E0"/>
    <w:rsid w:val="7DF55B93"/>
    <w:rsid w:val="7DF5B36F"/>
    <w:rsid w:val="7DF65B13"/>
    <w:rsid w:val="7DF6655A"/>
    <w:rsid w:val="7DF686AF"/>
    <w:rsid w:val="7DF7226A"/>
    <w:rsid w:val="7DF736CF"/>
    <w:rsid w:val="7DF74294"/>
    <w:rsid w:val="7DF7467E"/>
    <w:rsid w:val="7DF77992"/>
    <w:rsid w:val="7DF77D22"/>
    <w:rsid w:val="7DF79D51"/>
    <w:rsid w:val="7DF7A952"/>
    <w:rsid w:val="7DF7B63D"/>
    <w:rsid w:val="7DF7CF5E"/>
    <w:rsid w:val="7DF87676"/>
    <w:rsid w:val="7DF92471"/>
    <w:rsid w:val="7DF93BBA"/>
    <w:rsid w:val="7DF9FA56"/>
    <w:rsid w:val="7DFA037A"/>
    <w:rsid w:val="7DFAB224"/>
    <w:rsid w:val="7DFAF964"/>
    <w:rsid w:val="7DFB9AE1"/>
    <w:rsid w:val="7DFBCAF0"/>
    <w:rsid w:val="7DFBFFA7"/>
    <w:rsid w:val="7DFC2B8E"/>
    <w:rsid w:val="7DFC47D2"/>
    <w:rsid w:val="7DFC5B79"/>
    <w:rsid w:val="7DFC8F83"/>
    <w:rsid w:val="7DFD36AC"/>
    <w:rsid w:val="7DFD7438"/>
    <w:rsid w:val="7DFD86D5"/>
    <w:rsid w:val="7DFD9AA2"/>
    <w:rsid w:val="7DFDDA1E"/>
    <w:rsid w:val="7DFE102F"/>
    <w:rsid w:val="7DFE69F8"/>
    <w:rsid w:val="7DFE975F"/>
    <w:rsid w:val="7DFE99CF"/>
    <w:rsid w:val="7DFF0401"/>
    <w:rsid w:val="7DFF051C"/>
    <w:rsid w:val="7DFF312B"/>
    <w:rsid w:val="7DFF501C"/>
    <w:rsid w:val="7DFF5259"/>
    <w:rsid w:val="7DFF6697"/>
    <w:rsid w:val="7DFF7EA0"/>
    <w:rsid w:val="7DFF8958"/>
    <w:rsid w:val="7DFF98A8"/>
    <w:rsid w:val="7DFFB65C"/>
    <w:rsid w:val="7DFFBD8C"/>
    <w:rsid w:val="7DFFD433"/>
    <w:rsid w:val="7DFFF61E"/>
    <w:rsid w:val="7DFFFE82"/>
    <w:rsid w:val="7E05F499"/>
    <w:rsid w:val="7E0800A0"/>
    <w:rsid w:val="7E11D563"/>
    <w:rsid w:val="7E19E52F"/>
    <w:rsid w:val="7E1A042F"/>
    <w:rsid w:val="7E1D685B"/>
    <w:rsid w:val="7E2F8CD5"/>
    <w:rsid w:val="7E31D9C8"/>
    <w:rsid w:val="7E35635F"/>
    <w:rsid w:val="7E3A7FB9"/>
    <w:rsid w:val="7E3C2FA2"/>
    <w:rsid w:val="7E3C4129"/>
    <w:rsid w:val="7E3F6BA9"/>
    <w:rsid w:val="7E47BE2C"/>
    <w:rsid w:val="7E4A5772"/>
    <w:rsid w:val="7E4D40C4"/>
    <w:rsid w:val="7E4E79DE"/>
    <w:rsid w:val="7E575730"/>
    <w:rsid w:val="7E58B0C0"/>
    <w:rsid w:val="7E592C9B"/>
    <w:rsid w:val="7E5BFFAB"/>
    <w:rsid w:val="7E5C27F5"/>
    <w:rsid w:val="7E5CF0B1"/>
    <w:rsid w:val="7E5D6EB4"/>
    <w:rsid w:val="7E5F132F"/>
    <w:rsid w:val="7E5F5E41"/>
    <w:rsid w:val="7E5F72B3"/>
    <w:rsid w:val="7E5F7E1E"/>
    <w:rsid w:val="7E653E0B"/>
    <w:rsid w:val="7E672925"/>
    <w:rsid w:val="7E6787AD"/>
    <w:rsid w:val="7E6BFC79"/>
    <w:rsid w:val="7E6DAF45"/>
    <w:rsid w:val="7E6F8074"/>
    <w:rsid w:val="7E6FAA2B"/>
    <w:rsid w:val="7E745766"/>
    <w:rsid w:val="7E763BA2"/>
    <w:rsid w:val="7E7776FE"/>
    <w:rsid w:val="7E7A2A5D"/>
    <w:rsid w:val="7E7B8801"/>
    <w:rsid w:val="7E7BA33E"/>
    <w:rsid w:val="7E7BD6AA"/>
    <w:rsid w:val="7E7BDD7C"/>
    <w:rsid w:val="7E7BFEBC"/>
    <w:rsid w:val="7E7C8F1B"/>
    <w:rsid w:val="7E7D7E69"/>
    <w:rsid w:val="7E7DEEF6"/>
    <w:rsid w:val="7E7EE2ED"/>
    <w:rsid w:val="7E7F11E7"/>
    <w:rsid w:val="7E7F1B2A"/>
    <w:rsid w:val="7E7F39BC"/>
    <w:rsid w:val="7E7F8664"/>
    <w:rsid w:val="7E7F909C"/>
    <w:rsid w:val="7E7FA6F6"/>
    <w:rsid w:val="7E7FE0A8"/>
    <w:rsid w:val="7E855E5A"/>
    <w:rsid w:val="7E8902BB"/>
    <w:rsid w:val="7E8B18D1"/>
    <w:rsid w:val="7E8EB2B8"/>
    <w:rsid w:val="7E8F5215"/>
    <w:rsid w:val="7E8FCF34"/>
    <w:rsid w:val="7E923E7B"/>
    <w:rsid w:val="7E93A345"/>
    <w:rsid w:val="7E97BEBB"/>
    <w:rsid w:val="7E97F896"/>
    <w:rsid w:val="7E9B9315"/>
    <w:rsid w:val="7E9CA89D"/>
    <w:rsid w:val="7E9F439E"/>
    <w:rsid w:val="7E9F5CBB"/>
    <w:rsid w:val="7EA79030"/>
    <w:rsid w:val="7EAA61FA"/>
    <w:rsid w:val="7EAFA2B0"/>
    <w:rsid w:val="7EAFA3F2"/>
    <w:rsid w:val="7EB3D358"/>
    <w:rsid w:val="7EB706B8"/>
    <w:rsid w:val="7EB70DAA"/>
    <w:rsid w:val="7EB73CA4"/>
    <w:rsid w:val="7EB7E3F1"/>
    <w:rsid w:val="7EBB7F19"/>
    <w:rsid w:val="7EBBA69E"/>
    <w:rsid w:val="7EBBA7FF"/>
    <w:rsid w:val="7EBD7F2D"/>
    <w:rsid w:val="7EBE36DD"/>
    <w:rsid w:val="7EBF009D"/>
    <w:rsid w:val="7EBF1EDD"/>
    <w:rsid w:val="7EBF2B38"/>
    <w:rsid w:val="7EBF32D5"/>
    <w:rsid w:val="7EBF38B6"/>
    <w:rsid w:val="7EBF7726"/>
    <w:rsid w:val="7EBFD603"/>
    <w:rsid w:val="7EBFDCED"/>
    <w:rsid w:val="7EC566AE"/>
    <w:rsid w:val="7ECD9319"/>
    <w:rsid w:val="7ED12B28"/>
    <w:rsid w:val="7ED1C1EA"/>
    <w:rsid w:val="7ED3C1E8"/>
    <w:rsid w:val="7ED49149"/>
    <w:rsid w:val="7ED7CB00"/>
    <w:rsid w:val="7ED92A61"/>
    <w:rsid w:val="7EDA74DB"/>
    <w:rsid w:val="7EDA9AAE"/>
    <w:rsid w:val="7EDB3D11"/>
    <w:rsid w:val="7EDBAC46"/>
    <w:rsid w:val="7EDBB8EF"/>
    <w:rsid w:val="7EDBF68B"/>
    <w:rsid w:val="7EDD8B54"/>
    <w:rsid w:val="7EDDBE85"/>
    <w:rsid w:val="7EDDF315"/>
    <w:rsid w:val="7EDE7D11"/>
    <w:rsid w:val="7EDEAD15"/>
    <w:rsid w:val="7EDEF948"/>
    <w:rsid w:val="7EDF36FA"/>
    <w:rsid w:val="7EDF58DA"/>
    <w:rsid w:val="7EDF609A"/>
    <w:rsid w:val="7EDF6E1D"/>
    <w:rsid w:val="7EE37D17"/>
    <w:rsid w:val="7EE4C526"/>
    <w:rsid w:val="7EE7625D"/>
    <w:rsid w:val="7EE76938"/>
    <w:rsid w:val="7EE7C6B0"/>
    <w:rsid w:val="7EE97EF2"/>
    <w:rsid w:val="7EEA2E91"/>
    <w:rsid w:val="7EEB44F1"/>
    <w:rsid w:val="7EEBDACF"/>
    <w:rsid w:val="7EEC61FE"/>
    <w:rsid w:val="7EED7258"/>
    <w:rsid w:val="7EEE0C00"/>
    <w:rsid w:val="7EEEABBE"/>
    <w:rsid w:val="7EEED4F8"/>
    <w:rsid w:val="7EEF78C9"/>
    <w:rsid w:val="7EEFC756"/>
    <w:rsid w:val="7EEFF6A9"/>
    <w:rsid w:val="7EF11B15"/>
    <w:rsid w:val="7EF1DE8A"/>
    <w:rsid w:val="7EF26E5E"/>
    <w:rsid w:val="7EF31809"/>
    <w:rsid w:val="7EF3E093"/>
    <w:rsid w:val="7EF51A86"/>
    <w:rsid w:val="7EF53681"/>
    <w:rsid w:val="7EF53F7E"/>
    <w:rsid w:val="7EF548CB"/>
    <w:rsid w:val="7EF5C83E"/>
    <w:rsid w:val="7EF6001C"/>
    <w:rsid w:val="7EF64BFD"/>
    <w:rsid w:val="7EF662F3"/>
    <w:rsid w:val="7EF70144"/>
    <w:rsid w:val="7EF72469"/>
    <w:rsid w:val="7EF746C5"/>
    <w:rsid w:val="7EF74A14"/>
    <w:rsid w:val="7EF75402"/>
    <w:rsid w:val="7EF77271"/>
    <w:rsid w:val="7EF79927"/>
    <w:rsid w:val="7EF7C8ED"/>
    <w:rsid w:val="7EF7CD24"/>
    <w:rsid w:val="7EF7D6D9"/>
    <w:rsid w:val="7EF7E472"/>
    <w:rsid w:val="7EF7F12E"/>
    <w:rsid w:val="7EF84847"/>
    <w:rsid w:val="7EF9E43D"/>
    <w:rsid w:val="7EFA7C7A"/>
    <w:rsid w:val="7EFB330C"/>
    <w:rsid w:val="7EFB412E"/>
    <w:rsid w:val="7EFB640C"/>
    <w:rsid w:val="7EFBFD81"/>
    <w:rsid w:val="7EFC19DE"/>
    <w:rsid w:val="7EFCA6E6"/>
    <w:rsid w:val="7EFD72DA"/>
    <w:rsid w:val="7EFD933C"/>
    <w:rsid w:val="7EFDCEC2"/>
    <w:rsid w:val="7EFE09D7"/>
    <w:rsid w:val="7EFE17B1"/>
    <w:rsid w:val="7EFE3CBB"/>
    <w:rsid w:val="7EFE4E27"/>
    <w:rsid w:val="7EFE51C8"/>
    <w:rsid w:val="7EFE5E90"/>
    <w:rsid w:val="7EFE6DEF"/>
    <w:rsid w:val="7EFE80EC"/>
    <w:rsid w:val="7EFEC137"/>
    <w:rsid w:val="7EFEE75B"/>
    <w:rsid w:val="7EFEEF86"/>
    <w:rsid w:val="7EFF00C8"/>
    <w:rsid w:val="7EFF097D"/>
    <w:rsid w:val="7EFF09EF"/>
    <w:rsid w:val="7EFF2444"/>
    <w:rsid w:val="7EFF2AD2"/>
    <w:rsid w:val="7EFF348D"/>
    <w:rsid w:val="7EFF4882"/>
    <w:rsid w:val="7EFF4C41"/>
    <w:rsid w:val="7EFF7628"/>
    <w:rsid w:val="7EFF795A"/>
    <w:rsid w:val="7EFF8949"/>
    <w:rsid w:val="7EFF8961"/>
    <w:rsid w:val="7EFF9207"/>
    <w:rsid w:val="7EFF9482"/>
    <w:rsid w:val="7EFF981F"/>
    <w:rsid w:val="7EFFA8D4"/>
    <w:rsid w:val="7EFFB779"/>
    <w:rsid w:val="7EFFBB4B"/>
    <w:rsid w:val="7EFFCE1B"/>
    <w:rsid w:val="7EFFCF78"/>
    <w:rsid w:val="7EFFCF9D"/>
    <w:rsid w:val="7EFFF9BE"/>
    <w:rsid w:val="7F120D41"/>
    <w:rsid w:val="7F1459B3"/>
    <w:rsid w:val="7F14A276"/>
    <w:rsid w:val="7F1593FA"/>
    <w:rsid w:val="7F16F158"/>
    <w:rsid w:val="7F1DBB76"/>
    <w:rsid w:val="7F1F03D8"/>
    <w:rsid w:val="7F1FBBEE"/>
    <w:rsid w:val="7F21BD54"/>
    <w:rsid w:val="7F272E03"/>
    <w:rsid w:val="7F2D95BA"/>
    <w:rsid w:val="7F2FB3FF"/>
    <w:rsid w:val="7F329EEF"/>
    <w:rsid w:val="7F3472CE"/>
    <w:rsid w:val="7F377333"/>
    <w:rsid w:val="7F394611"/>
    <w:rsid w:val="7F3B2EBC"/>
    <w:rsid w:val="7F3BCB59"/>
    <w:rsid w:val="7F3C20BD"/>
    <w:rsid w:val="7F3D010E"/>
    <w:rsid w:val="7F3E6180"/>
    <w:rsid w:val="7F3F0A2D"/>
    <w:rsid w:val="7F3F1E8C"/>
    <w:rsid w:val="7F3FC87B"/>
    <w:rsid w:val="7F413799"/>
    <w:rsid w:val="7F4246B5"/>
    <w:rsid w:val="7F46D789"/>
    <w:rsid w:val="7F4D345A"/>
    <w:rsid w:val="7F4E6A4E"/>
    <w:rsid w:val="7F4F127B"/>
    <w:rsid w:val="7F53C832"/>
    <w:rsid w:val="7F5437AD"/>
    <w:rsid w:val="7F55F00B"/>
    <w:rsid w:val="7F569B46"/>
    <w:rsid w:val="7F56DA2B"/>
    <w:rsid w:val="7F57B97E"/>
    <w:rsid w:val="7F59B436"/>
    <w:rsid w:val="7F59C384"/>
    <w:rsid w:val="7F5AE249"/>
    <w:rsid w:val="7F5B1838"/>
    <w:rsid w:val="7F5B9EDB"/>
    <w:rsid w:val="7F5BA4AF"/>
    <w:rsid w:val="7F5CECA1"/>
    <w:rsid w:val="7F5D0C29"/>
    <w:rsid w:val="7F5D2599"/>
    <w:rsid w:val="7F5D33CD"/>
    <w:rsid w:val="7F5D81AC"/>
    <w:rsid w:val="7F5DE82B"/>
    <w:rsid w:val="7F5E482B"/>
    <w:rsid w:val="7F5E93D3"/>
    <w:rsid w:val="7F5F4236"/>
    <w:rsid w:val="7F5F5B70"/>
    <w:rsid w:val="7F5F70FF"/>
    <w:rsid w:val="7F5FE62B"/>
    <w:rsid w:val="7F5FEFFA"/>
    <w:rsid w:val="7F620293"/>
    <w:rsid w:val="7F6643AE"/>
    <w:rsid w:val="7F67150E"/>
    <w:rsid w:val="7F6787D6"/>
    <w:rsid w:val="7F697D1E"/>
    <w:rsid w:val="7F699458"/>
    <w:rsid w:val="7F6B0329"/>
    <w:rsid w:val="7F6B39ED"/>
    <w:rsid w:val="7F6BBF73"/>
    <w:rsid w:val="7F6BCDC8"/>
    <w:rsid w:val="7F6BE870"/>
    <w:rsid w:val="7F6C4A36"/>
    <w:rsid w:val="7F6CDE89"/>
    <w:rsid w:val="7F6CE4C9"/>
    <w:rsid w:val="7F6D7650"/>
    <w:rsid w:val="7F6ED6F4"/>
    <w:rsid w:val="7F6ED76D"/>
    <w:rsid w:val="7F6EE9CC"/>
    <w:rsid w:val="7F6F13CE"/>
    <w:rsid w:val="7F6F7647"/>
    <w:rsid w:val="7F6FCA76"/>
    <w:rsid w:val="7F6FF935"/>
    <w:rsid w:val="7F713564"/>
    <w:rsid w:val="7F722F1D"/>
    <w:rsid w:val="7F7250BA"/>
    <w:rsid w:val="7F730D4D"/>
    <w:rsid w:val="7F73AF24"/>
    <w:rsid w:val="7F73DDBF"/>
    <w:rsid w:val="7F763D67"/>
    <w:rsid w:val="7F764284"/>
    <w:rsid w:val="7F76ED97"/>
    <w:rsid w:val="7F77104D"/>
    <w:rsid w:val="7F771379"/>
    <w:rsid w:val="7F775B87"/>
    <w:rsid w:val="7F77F75E"/>
    <w:rsid w:val="7F789B51"/>
    <w:rsid w:val="7F78EB5D"/>
    <w:rsid w:val="7F793E59"/>
    <w:rsid w:val="7F798CF1"/>
    <w:rsid w:val="7F79F461"/>
    <w:rsid w:val="7F7A3096"/>
    <w:rsid w:val="7F7A34F6"/>
    <w:rsid w:val="7F7B0010"/>
    <w:rsid w:val="7F7B1264"/>
    <w:rsid w:val="7F7B4CED"/>
    <w:rsid w:val="7F7B5AE7"/>
    <w:rsid w:val="7F7B5EB0"/>
    <w:rsid w:val="7F7B6C22"/>
    <w:rsid w:val="7F7B6CE0"/>
    <w:rsid w:val="7F7B7827"/>
    <w:rsid w:val="7F7B83E2"/>
    <w:rsid w:val="7F7BC120"/>
    <w:rsid w:val="7F7BD354"/>
    <w:rsid w:val="7F7BD3DC"/>
    <w:rsid w:val="7F7CA5B4"/>
    <w:rsid w:val="7F7CC5A7"/>
    <w:rsid w:val="7F7CFD0D"/>
    <w:rsid w:val="7F7D6367"/>
    <w:rsid w:val="7F7D6A9D"/>
    <w:rsid w:val="7F7DB83F"/>
    <w:rsid w:val="7F7DC6FA"/>
    <w:rsid w:val="7F7DDF1B"/>
    <w:rsid w:val="7F7DEB10"/>
    <w:rsid w:val="7F7DEFB0"/>
    <w:rsid w:val="7F7E1B5D"/>
    <w:rsid w:val="7F7E2E00"/>
    <w:rsid w:val="7F7E3835"/>
    <w:rsid w:val="7F7E87BB"/>
    <w:rsid w:val="7F7EC2DD"/>
    <w:rsid w:val="7F7F0C09"/>
    <w:rsid w:val="7F7F1161"/>
    <w:rsid w:val="7F7F1AB0"/>
    <w:rsid w:val="7F7F22AC"/>
    <w:rsid w:val="7F7F4001"/>
    <w:rsid w:val="7F7F4EBC"/>
    <w:rsid w:val="7F7F5DD5"/>
    <w:rsid w:val="7F7F69CD"/>
    <w:rsid w:val="7F7F74EB"/>
    <w:rsid w:val="7F7F8D10"/>
    <w:rsid w:val="7F7F8D47"/>
    <w:rsid w:val="7F7F936B"/>
    <w:rsid w:val="7F7FB01C"/>
    <w:rsid w:val="7F7FBB30"/>
    <w:rsid w:val="7F7FEC2C"/>
    <w:rsid w:val="7F7FF678"/>
    <w:rsid w:val="7F7FFC3E"/>
    <w:rsid w:val="7F7FFEC5"/>
    <w:rsid w:val="7F865D6C"/>
    <w:rsid w:val="7F87F8F7"/>
    <w:rsid w:val="7F8B19A0"/>
    <w:rsid w:val="7F8BFB93"/>
    <w:rsid w:val="7F8D6B2D"/>
    <w:rsid w:val="7F8D6F9A"/>
    <w:rsid w:val="7F8E0E28"/>
    <w:rsid w:val="7F8F8988"/>
    <w:rsid w:val="7F8FBD22"/>
    <w:rsid w:val="7F91C297"/>
    <w:rsid w:val="7F91EB00"/>
    <w:rsid w:val="7F92BA58"/>
    <w:rsid w:val="7F93640B"/>
    <w:rsid w:val="7F941AB8"/>
    <w:rsid w:val="7F94953A"/>
    <w:rsid w:val="7F970F3D"/>
    <w:rsid w:val="7F97486D"/>
    <w:rsid w:val="7F99EFC7"/>
    <w:rsid w:val="7F9BD3AE"/>
    <w:rsid w:val="7F9D48EF"/>
    <w:rsid w:val="7F9D592C"/>
    <w:rsid w:val="7F9E44A0"/>
    <w:rsid w:val="7F9E4E7D"/>
    <w:rsid w:val="7F9E6248"/>
    <w:rsid w:val="7F9E99FC"/>
    <w:rsid w:val="7F9EF427"/>
    <w:rsid w:val="7F9F3D9A"/>
    <w:rsid w:val="7F9F531F"/>
    <w:rsid w:val="7F9F85A2"/>
    <w:rsid w:val="7F9F8961"/>
    <w:rsid w:val="7F9FD031"/>
    <w:rsid w:val="7F9FD1BE"/>
    <w:rsid w:val="7F9FF2B4"/>
    <w:rsid w:val="7FA3A4D2"/>
    <w:rsid w:val="7FA3ACFE"/>
    <w:rsid w:val="7FA524A6"/>
    <w:rsid w:val="7FA52B43"/>
    <w:rsid w:val="7FA5822F"/>
    <w:rsid w:val="7FA5A70D"/>
    <w:rsid w:val="7FAAC398"/>
    <w:rsid w:val="7FAAF106"/>
    <w:rsid w:val="7FAB3216"/>
    <w:rsid w:val="7FABB59D"/>
    <w:rsid w:val="7FAD2DA3"/>
    <w:rsid w:val="7FADA92E"/>
    <w:rsid w:val="7FAE0306"/>
    <w:rsid w:val="7FAE7517"/>
    <w:rsid w:val="7FAE96FB"/>
    <w:rsid w:val="7FAEDDB3"/>
    <w:rsid w:val="7FAF2FD9"/>
    <w:rsid w:val="7FAF48C4"/>
    <w:rsid w:val="7FAF4916"/>
    <w:rsid w:val="7FAF6A66"/>
    <w:rsid w:val="7FAF6E05"/>
    <w:rsid w:val="7FAFF838"/>
    <w:rsid w:val="7FAFF84C"/>
    <w:rsid w:val="7FB1091F"/>
    <w:rsid w:val="7FB1C6AC"/>
    <w:rsid w:val="7FB316BA"/>
    <w:rsid w:val="7FB3AE6C"/>
    <w:rsid w:val="7FB3C603"/>
    <w:rsid w:val="7FB3F142"/>
    <w:rsid w:val="7FB551A5"/>
    <w:rsid w:val="7FB6C697"/>
    <w:rsid w:val="7FB71054"/>
    <w:rsid w:val="7FB72170"/>
    <w:rsid w:val="7FB72B43"/>
    <w:rsid w:val="7FB795B0"/>
    <w:rsid w:val="7FB7B834"/>
    <w:rsid w:val="7FB7CEC6"/>
    <w:rsid w:val="7FB7EB33"/>
    <w:rsid w:val="7FB7F6C9"/>
    <w:rsid w:val="7FBB221A"/>
    <w:rsid w:val="7FBB4902"/>
    <w:rsid w:val="7FBB689E"/>
    <w:rsid w:val="7FBB8D81"/>
    <w:rsid w:val="7FBBAD05"/>
    <w:rsid w:val="7FBBC014"/>
    <w:rsid w:val="7FBBD889"/>
    <w:rsid w:val="7FBBE232"/>
    <w:rsid w:val="7FBBF065"/>
    <w:rsid w:val="7FBC5152"/>
    <w:rsid w:val="7FBC5CCC"/>
    <w:rsid w:val="7FBC65FA"/>
    <w:rsid w:val="7FBC71E8"/>
    <w:rsid w:val="7FBD06E2"/>
    <w:rsid w:val="7FBD1283"/>
    <w:rsid w:val="7FBD2648"/>
    <w:rsid w:val="7FBE0E3A"/>
    <w:rsid w:val="7FBE3385"/>
    <w:rsid w:val="7FBE43FF"/>
    <w:rsid w:val="7FBE65DB"/>
    <w:rsid w:val="7FBEB56D"/>
    <w:rsid w:val="7FBEB71B"/>
    <w:rsid w:val="7FBEBE8E"/>
    <w:rsid w:val="7FBF04FC"/>
    <w:rsid w:val="7FBF0D31"/>
    <w:rsid w:val="7FBF1153"/>
    <w:rsid w:val="7FBF186E"/>
    <w:rsid w:val="7FBF1E0E"/>
    <w:rsid w:val="7FBF1F1B"/>
    <w:rsid w:val="7FBF2AAE"/>
    <w:rsid w:val="7FBF354C"/>
    <w:rsid w:val="7FBF3878"/>
    <w:rsid w:val="7FBF3D6F"/>
    <w:rsid w:val="7FBF3EE2"/>
    <w:rsid w:val="7FBF4E28"/>
    <w:rsid w:val="7FBF59A5"/>
    <w:rsid w:val="7FBF5AD1"/>
    <w:rsid w:val="7FBF67CA"/>
    <w:rsid w:val="7FBF6C02"/>
    <w:rsid w:val="7FBF7ABE"/>
    <w:rsid w:val="7FBF8319"/>
    <w:rsid w:val="7FBF836D"/>
    <w:rsid w:val="7FBF855E"/>
    <w:rsid w:val="7FBFACB2"/>
    <w:rsid w:val="7FBFB725"/>
    <w:rsid w:val="7FBFBBFE"/>
    <w:rsid w:val="7FBFD1AF"/>
    <w:rsid w:val="7FBFD909"/>
    <w:rsid w:val="7FBFE607"/>
    <w:rsid w:val="7FBFF481"/>
    <w:rsid w:val="7FC3E19E"/>
    <w:rsid w:val="7FC5DCD0"/>
    <w:rsid w:val="7FC79852"/>
    <w:rsid w:val="7FC7CD33"/>
    <w:rsid w:val="7FC7DDED"/>
    <w:rsid w:val="7FC7F3F5"/>
    <w:rsid w:val="7FC92792"/>
    <w:rsid w:val="7FCB4F0E"/>
    <w:rsid w:val="7FCB7167"/>
    <w:rsid w:val="7FCC443B"/>
    <w:rsid w:val="7FCDFA28"/>
    <w:rsid w:val="7FCE4930"/>
    <w:rsid w:val="7FCE9F02"/>
    <w:rsid w:val="7FCEFF69"/>
    <w:rsid w:val="7FCF4416"/>
    <w:rsid w:val="7FCF58DE"/>
    <w:rsid w:val="7FCF5B87"/>
    <w:rsid w:val="7FCF6F51"/>
    <w:rsid w:val="7FCFC2F3"/>
    <w:rsid w:val="7FCFE7B6"/>
    <w:rsid w:val="7FCFEDB5"/>
    <w:rsid w:val="7FCFEF10"/>
    <w:rsid w:val="7FD121FC"/>
    <w:rsid w:val="7FD3B712"/>
    <w:rsid w:val="7FD3C92F"/>
    <w:rsid w:val="7FD5340D"/>
    <w:rsid w:val="7FD6CDCD"/>
    <w:rsid w:val="7FD7220F"/>
    <w:rsid w:val="7FD762E8"/>
    <w:rsid w:val="7FD78B86"/>
    <w:rsid w:val="7FD79878"/>
    <w:rsid w:val="7FD79B74"/>
    <w:rsid w:val="7FD79BD6"/>
    <w:rsid w:val="7FD7B17B"/>
    <w:rsid w:val="7FD7DA6A"/>
    <w:rsid w:val="7FD7E290"/>
    <w:rsid w:val="7FD93545"/>
    <w:rsid w:val="7FDA1A08"/>
    <w:rsid w:val="7FDA27D1"/>
    <w:rsid w:val="7FDA7D3D"/>
    <w:rsid w:val="7FDABBB7"/>
    <w:rsid w:val="7FDAC3E2"/>
    <w:rsid w:val="7FDAD060"/>
    <w:rsid w:val="7FDB0F0C"/>
    <w:rsid w:val="7FDB604B"/>
    <w:rsid w:val="7FDB6F2B"/>
    <w:rsid w:val="7FDB8B4C"/>
    <w:rsid w:val="7FDBA848"/>
    <w:rsid w:val="7FDBB6F0"/>
    <w:rsid w:val="7FDBD6F0"/>
    <w:rsid w:val="7FDBEEC2"/>
    <w:rsid w:val="7FDBF5B9"/>
    <w:rsid w:val="7FDC5E9F"/>
    <w:rsid w:val="7FDD1BAE"/>
    <w:rsid w:val="7FDD1E01"/>
    <w:rsid w:val="7FDD3012"/>
    <w:rsid w:val="7FDD73FF"/>
    <w:rsid w:val="7FDD860E"/>
    <w:rsid w:val="7FDD8A79"/>
    <w:rsid w:val="7FDDA62B"/>
    <w:rsid w:val="7FDDB0A6"/>
    <w:rsid w:val="7FDDBF36"/>
    <w:rsid w:val="7FDE4798"/>
    <w:rsid w:val="7FDE480D"/>
    <w:rsid w:val="7FDE6E58"/>
    <w:rsid w:val="7FDE798E"/>
    <w:rsid w:val="7FDEB7C3"/>
    <w:rsid w:val="7FDEBD75"/>
    <w:rsid w:val="7FDEC05E"/>
    <w:rsid w:val="7FDEC175"/>
    <w:rsid w:val="7FDED929"/>
    <w:rsid w:val="7FDF0246"/>
    <w:rsid w:val="7FDF02AF"/>
    <w:rsid w:val="7FDF194C"/>
    <w:rsid w:val="7FDF266B"/>
    <w:rsid w:val="7FDF311D"/>
    <w:rsid w:val="7FDF357A"/>
    <w:rsid w:val="7FDF3748"/>
    <w:rsid w:val="7FDF396D"/>
    <w:rsid w:val="7FDF48DE"/>
    <w:rsid w:val="7FDF5293"/>
    <w:rsid w:val="7FDF55E8"/>
    <w:rsid w:val="7FDF5620"/>
    <w:rsid w:val="7FDF68CC"/>
    <w:rsid w:val="7FDF8AC3"/>
    <w:rsid w:val="7FDF9CB1"/>
    <w:rsid w:val="7FDFAD6F"/>
    <w:rsid w:val="7FDFC115"/>
    <w:rsid w:val="7FDFC1FB"/>
    <w:rsid w:val="7FDFC32E"/>
    <w:rsid w:val="7FDFC4D8"/>
    <w:rsid w:val="7FDFCCFD"/>
    <w:rsid w:val="7FDFD7E9"/>
    <w:rsid w:val="7FDFE017"/>
    <w:rsid w:val="7FDFEC3E"/>
    <w:rsid w:val="7FE3520E"/>
    <w:rsid w:val="7FE52ABF"/>
    <w:rsid w:val="7FE5DE09"/>
    <w:rsid w:val="7FE5EC7E"/>
    <w:rsid w:val="7FE693AD"/>
    <w:rsid w:val="7FE693B0"/>
    <w:rsid w:val="7FE700FF"/>
    <w:rsid w:val="7FE70D13"/>
    <w:rsid w:val="7FE726FA"/>
    <w:rsid w:val="7FE75E61"/>
    <w:rsid w:val="7FE798B8"/>
    <w:rsid w:val="7FE7D114"/>
    <w:rsid w:val="7FE86A07"/>
    <w:rsid w:val="7FE8B2F7"/>
    <w:rsid w:val="7FE8CB51"/>
    <w:rsid w:val="7FE93105"/>
    <w:rsid w:val="7FE94ACE"/>
    <w:rsid w:val="7FE97DD1"/>
    <w:rsid w:val="7FE9AD2B"/>
    <w:rsid w:val="7FE9F942"/>
    <w:rsid w:val="7FEADCA3"/>
    <w:rsid w:val="7FEB5EF6"/>
    <w:rsid w:val="7FEB67A7"/>
    <w:rsid w:val="7FEB7F44"/>
    <w:rsid w:val="7FEBA4F5"/>
    <w:rsid w:val="7FEBAB9E"/>
    <w:rsid w:val="7FEBC854"/>
    <w:rsid w:val="7FEBC884"/>
    <w:rsid w:val="7FEBE47A"/>
    <w:rsid w:val="7FEBF223"/>
    <w:rsid w:val="7FEC1CE9"/>
    <w:rsid w:val="7FEC4612"/>
    <w:rsid w:val="7FECF802"/>
    <w:rsid w:val="7FED173E"/>
    <w:rsid w:val="7FED275B"/>
    <w:rsid w:val="7FED7A6C"/>
    <w:rsid w:val="7FEDC1A5"/>
    <w:rsid w:val="7FEE13EA"/>
    <w:rsid w:val="7FEE2CCD"/>
    <w:rsid w:val="7FEE3AB9"/>
    <w:rsid w:val="7FEE7680"/>
    <w:rsid w:val="7FEE7F69"/>
    <w:rsid w:val="7FEE85E4"/>
    <w:rsid w:val="7FEE9BDF"/>
    <w:rsid w:val="7FEEA69C"/>
    <w:rsid w:val="7FEEC729"/>
    <w:rsid w:val="7FEED0BC"/>
    <w:rsid w:val="7FEF09D0"/>
    <w:rsid w:val="7FEF0EDF"/>
    <w:rsid w:val="7FEF3553"/>
    <w:rsid w:val="7FEF3A2C"/>
    <w:rsid w:val="7FEF48A1"/>
    <w:rsid w:val="7FEF4A37"/>
    <w:rsid w:val="7FEF4AF2"/>
    <w:rsid w:val="7FEF529F"/>
    <w:rsid w:val="7FEF5CD3"/>
    <w:rsid w:val="7FEF5EA0"/>
    <w:rsid w:val="7FEF5FDB"/>
    <w:rsid w:val="7FEF6246"/>
    <w:rsid w:val="7FEF6A7C"/>
    <w:rsid w:val="7FEF7022"/>
    <w:rsid w:val="7FEF7C11"/>
    <w:rsid w:val="7FEF967A"/>
    <w:rsid w:val="7FEFC721"/>
    <w:rsid w:val="7FEFC802"/>
    <w:rsid w:val="7FEFDA6A"/>
    <w:rsid w:val="7FEFDC35"/>
    <w:rsid w:val="7FEFE93B"/>
    <w:rsid w:val="7FF132CD"/>
    <w:rsid w:val="7FF1407D"/>
    <w:rsid w:val="7FF14442"/>
    <w:rsid w:val="7FF18DC4"/>
    <w:rsid w:val="7FF27702"/>
    <w:rsid w:val="7FF2BDC7"/>
    <w:rsid w:val="7FF3340C"/>
    <w:rsid w:val="7FF3EF5A"/>
    <w:rsid w:val="7FF3F09E"/>
    <w:rsid w:val="7FF494FB"/>
    <w:rsid w:val="7FF4AF8F"/>
    <w:rsid w:val="7FF4D2F2"/>
    <w:rsid w:val="7FF4D73A"/>
    <w:rsid w:val="7FF4DC24"/>
    <w:rsid w:val="7FF4ECC8"/>
    <w:rsid w:val="7FF50950"/>
    <w:rsid w:val="7FF5195A"/>
    <w:rsid w:val="7FF53991"/>
    <w:rsid w:val="7FF54417"/>
    <w:rsid w:val="7FF57A6F"/>
    <w:rsid w:val="7FF5CE6D"/>
    <w:rsid w:val="7FF5D505"/>
    <w:rsid w:val="7FF5E173"/>
    <w:rsid w:val="7FF602BF"/>
    <w:rsid w:val="7FF660B9"/>
    <w:rsid w:val="7FF66E09"/>
    <w:rsid w:val="7FF6E049"/>
    <w:rsid w:val="7FF6F1DB"/>
    <w:rsid w:val="7FF70203"/>
    <w:rsid w:val="7FF70833"/>
    <w:rsid w:val="7FF72C3D"/>
    <w:rsid w:val="7FF737A8"/>
    <w:rsid w:val="7FF738FC"/>
    <w:rsid w:val="7FF74D66"/>
    <w:rsid w:val="7FF75083"/>
    <w:rsid w:val="7FF755BB"/>
    <w:rsid w:val="7FF77089"/>
    <w:rsid w:val="7FF782A5"/>
    <w:rsid w:val="7FF7AC2F"/>
    <w:rsid w:val="7FF7BEF7"/>
    <w:rsid w:val="7FF7D697"/>
    <w:rsid w:val="7FF7D7F1"/>
    <w:rsid w:val="7FF7F8B8"/>
    <w:rsid w:val="7FF7F934"/>
    <w:rsid w:val="7FF861B4"/>
    <w:rsid w:val="7FF941F5"/>
    <w:rsid w:val="7FF9F23F"/>
    <w:rsid w:val="7FF9F531"/>
    <w:rsid w:val="7FFA60A3"/>
    <w:rsid w:val="7FFA7B43"/>
    <w:rsid w:val="7FFA9958"/>
    <w:rsid w:val="7FFA9DBA"/>
    <w:rsid w:val="7FFAC1B8"/>
    <w:rsid w:val="7FFAC555"/>
    <w:rsid w:val="7FFB0F81"/>
    <w:rsid w:val="7FFB1194"/>
    <w:rsid w:val="7FFB18E7"/>
    <w:rsid w:val="7FFB1DFE"/>
    <w:rsid w:val="7FFB2125"/>
    <w:rsid w:val="7FFB247F"/>
    <w:rsid w:val="7FFB29B1"/>
    <w:rsid w:val="7FFB2D71"/>
    <w:rsid w:val="7FFB3C57"/>
    <w:rsid w:val="7FFB4CE1"/>
    <w:rsid w:val="7FFB77FB"/>
    <w:rsid w:val="7FFB79A8"/>
    <w:rsid w:val="7FFB9593"/>
    <w:rsid w:val="7FFBB0E0"/>
    <w:rsid w:val="7FFBC055"/>
    <w:rsid w:val="7FFBDE08"/>
    <w:rsid w:val="7FFBF812"/>
    <w:rsid w:val="7FFC226A"/>
    <w:rsid w:val="7FFC2A4A"/>
    <w:rsid w:val="7FFC3BA6"/>
    <w:rsid w:val="7FFC7324"/>
    <w:rsid w:val="7FFCB0E8"/>
    <w:rsid w:val="7FFD05EE"/>
    <w:rsid w:val="7FFD113B"/>
    <w:rsid w:val="7FFD2089"/>
    <w:rsid w:val="7FFD3F4A"/>
    <w:rsid w:val="7FFD4251"/>
    <w:rsid w:val="7FFD8E76"/>
    <w:rsid w:val="7FFD95F2"/>
    <w:rsid w:val="7FFD969D"/>
    <w:rsid w:val="7FFDB417"/>
    <w:rsid w:val="7FFDC4A2"/>
    <w:rsid w:val="7FFDD9F3"/>
    <w:rsid w:val="7FFDDA3A"/>
    <w:rsid w:val="7FFDDF06"/>
    <w:rsid w:val="7FFDF5F8"/>
    <w:rsid w:val="7FFDF791"/>
    <w:rsid w:val="7FFDFFB2"/>
    <w:rsid w:val="7FFE0226"/>
    <w:rsid w:val="7FFE0638"/>
    <w:rsid w:val="7FFE1317"/>
    <w:rsid w:val="7FFE1D7A"/>
    <w:rsid w:val="7FFE26C5"/>
    <w:rsid w:val="7FFE2B30"/>
    <w:rsid w:val="7FFE34EC"/>
    <w:rsid w:val="7FFE371D"/>
    <w:rsid w:val="7FFE377E"/>
    <w:rsid w:val="7FFE39E6"/>
    <w:rsid w:val="7FFE476C"/>
    <w:rsid w:val="7FFE4EA1"/>
    <w:rsid w:val="7FFE6211"/>
    <w:rsid w:val="7FFE6A37"/>
    <w:rsid w:val="7FFE787D"/>
    <w:rsid w:val="7FFE7B28"/>
    <w:rsid w:val="7FFE96B1"/>
    <w:rsid w:val="7FFE9C85"/>
    <w:rsid w:val="7FFE9D5D"/>
    <w:rsid w:val="7FFEAA4C"/>
    <w:rsid w:val="7FFEACCE"/>
    <w:rsid w:val="7FFEE08D"/>
    <w:rsid w:val="7FFEE167"/>
    <w:rsid w:val="7FFEE703"/>
    <w:rsid w:val="7FFF0325"/>
    <w:rsid w:val="7FFF0575"/>
    <w:rsid w:val="7FFF086E"/>
    <w:rsid w:val="7FFF116D"/>
    <w:rsid w:val="7FFF11DA"/>
    <w:rsid w:val="7FFF14EB"/>
    <w:rsid w:val="7FFF1698"/>
    <w:rsid w:val="7FFF1C3B"/>
    <w:rsid w:val="7FFF200C"/>
    <w:rsid w:val="7FFF2319"/>
    <w:rsid w:val="7FFF286A"/>
    <w:rsid w:val="7FFF2AAE"/>
    <w:rsid w:val="7FFF2E79"/>
    <w:rsid w:val="7FFF3773"/>
    <w:rsid w:val="7FFF3A72"/>
    <w:rsid w:val="7FFF3F66"/>
    <w:rsid w:val="7FFF3FC7"/>
    <w:rsid w:val="7FFF445A"/>
    <w:rsid w:val="7FFF453B"/>
    <w:rsid w:val="7FFF476F"/>
    <w:rsid w:val="7FFF52E9"/>
    <w:rsid w:val="7FFF5471"/>
    <w:rsid w:val="7FFF54D0"/>
    <w:rsid w:val="7FFF59B3"/>
    <w:rsid w:val="7FFF5EFA"/>
    <w:rsid w:val="7FFF644E"/>
    <w:rsid w:val="7FFF6BDF"/>
    <w:rsid w:val="7FFF6C3A"/>
    <w:rsid w:val="7FFF6D18"/>
    <w:rsid w:val="7FFF6E7F"/>
    <w:rsid w:val="7FFF71B6"/>
    <w:rsid w:val="7FFF771A"/>
    <w:rsid w:val="7FFF77DC"/>
    <w:rsid w:val="7FFF7930"/>
    <w:rsid w:val="7FFF7FC4"/>
    <w:rsid w:val="7FFF81FC"/>
    <w:rsid w:val="7FFF82C4"/>
    <w:rsid w:val="7FFF83A2"/>
    <w:rsid w:val="7FFF85BC"/>
    <w:rsid w:val="7FFF8946"/>
    <w:rsid w:val="7FFF988C"/>
    <w:rsid w:val="7FFF9956"/>
    <w:rsid w:val="7FFF9ADD"/>
    <w:rsid w:val="7FFF9BC0"/>
    <w:rsid w:val="7FFF9D59"/>
    <w:rsid w:val="7FFFA0A2"/>
    <w:rsid w:val="7FFFA34A"/>
    <w:rsid w:val="7FFFA4FF"/>
    <w:rsid w:val="7FFFA9B3"/>
    <w:rsid w:val="7FFFB811"/>
    <w:rsid w:val="7FFFB9D8"/>
    <w:rsid w:val="7FFFBA59"/>
    <w:rsid w:val="7FFFC8F8"/>
    <w:rsid w:val="7FFFCC34"/>
    <w:rsid w:val="7FFFCE6B"/>
    <w:rsid w:val="7FFFD146"/>
    <w:rsid w:val="7FFFD678"/>
    <w:rsid w:val="7FFFD6C5"/>
    <w:rsid w:val="7FFFD94D"/>
    <w:rsid w:val="7FFFD987"/>
    <w:rsid w:val="7FFFDC7C"/>
    <w:rsid w:val="7FFFE089"/>
    <w:rsid w:val="7FFFE1C3"/>
    <w:rsid w:val="7FFFE222"/>
    <w:rsid w:val="7FFFECDF"/>
    <w:rsid w:val="7FFFF2CD"/>
    <w:rsid w:val="7FFFF47D"/>
    <w:rsid w:val="7FFFF9EA"/>
    <w:rsid w:val="7FFFFB8B"/>
    <w:rsid w:val="7FFFFC7C"/>
    <w:rsid w:val="81F8C416"/>
    <w:rsid w:val="82FEBD6E"/>
    <w:rsid w:val="836E6A5F"/>
    <w:rsid w:val="8377E929"/>
    <w:rsid w:val="84E75A55"/>
    <w:rsid w:val="853F7214"/>
    <w:rsid w:val="857FA7CD"/>
    <w:rsid w:val="858D6405"/>
    <w:rsid w:val="85DEB370"/>
    <w:rsid w:val="85F79F78"/>
    <w:rsid w:val="85FFB370"/>
    <w:rsid w:val="867FBBEC"/>
    <w:rsid w:val="86EEB89A"/>
    <w:rsid w:val="86F50DA0"/>
    <w:rsid w:val="871D27CB"/>
    <w:rsid w:val="876F185D"/>
    <w:rsid w:val="876FBD6E"/>
    <w:rsid w:val="879DF4D0"/>
    <w:rsid w:val="87E3334B"/>
    <w:rsid w:val="87E4871D"/>
    <w:rsid w:val="87EFFE7C"/>
    <w:rsid w:val="87F42A37"/>
    <w:rsid w:val="87FB0830"/>
    <w:rsid w:val="87FF2DFE"/>
    <w:rsid w:val="87FF7021"/>
    <w:rsid w:val="897C0857"/>
    <w:rsid w:val="8ABF7824"/>
    <w:rsid w:val="8B3EFE7C"/>
    <w:rsid w:val="8B5F1F76"/>
    <w:rsid w:val="8B672B6F"/>
    <w:rsid w:val="8B7DB370"/>
    <w:rsid w:val="8BAF441C"/>
    <w:rsid w:val="8BF7E925"/>
    <w:rsid w:val="8BFD5DD2"/>
    <w:rsid w:val="8BFDF069"/>
    <w:rsid w:val="8BFF9DAC"/>
    <w:rsid w:val="8C77AAB2"/>
    <w:rsid w:val="8CA37377"/>
    <w:rsid w:val="8CDFD91F"/>
    <w:rsid w:val="8CEAE5DB"/>
    <w:rsid w:val="8CEFCA49"/>
    <w:rsid w:val="8CFEB655"/>
    <w:rsid w:val="8CFF20AE"/>
    <w:rsid w:val="8CFF4C1B"/>
    <w:rsid w:val="8DBD6A0D"/>
    <w:rsid w:val="8DCFB6E9"/>
    <w:rsid w:val="8DD207DE"/>
    <w:rsid w:val="8DD71A35"/>
    <w:rsid w:val="8DDBE1E5"/>
    <w:rsid w:val="8DEFD1DB"/>
    <w:rsid w:val="8DF0C13D"/>
    <w:rsid w:val="8DF3F893"/>
    <w:rsid w:val="8DFB93B2"/>
    <w:rsid w:val="8DFD02C0"/>
    <w:rsid w:val="8DFF8071"/>
    <w:rsid w:val="8E5F32DE"/>
    <w:rsid w:val="8E794573"/>
    <w:rsid w:val="8E7F2AFA"/>
    <w:rsid w:val="8EF2C02C"/>
    <w:rsid w:val="8EF881B1"/>
    <w:rsid w:val="8EFF0E82"/>
    <w:rsid w:val="8EFF27F2"/>
    <w:rsid w:val="8F1FB9F9"/>
    <w:rsid w:val="8F332127"/>
    <w:rsid w:val="8F65F9CB"/>
    <w:rsid w:val="8F6690D1"/>
    <w:rsid w:val="8F7F0746"/>
    <w:rsid w:val="8F7F4221"/>
    <w:rsid w:val="8F7FD8D1"/>
    <w:rsid w:val="8FA87C41"/>
    <w:rsid w:val="8FAF5382"/>
    <w:rsid w:val="8FAF56D8"/>
    <w:rsid w:val="8FBBB01E"/>
    <w:rsid w:val="8FBF00C5"/>
    <w:rsid w:val="8FBF371A"/>
    <w:rsid w:val="8FCFB844"/>
    <w:rsid w:val="8FDB1B65"/>
    <w:rsid w:val="8FDE3BA0"/>
    <w:rsid w:val="8FE34097"/>
    <w:rsid w:val="8FF2E77C"/>
    <w:rsid w:val="8FF65C96"/>
    <w:rsid w:val="8FF79423"/>
    <w:rsid w:val="8FF9C290"/>
    <w:rsid w:val="8FFEA561"/>
    <w:rsid w:val="8FFF5011"/>
    <w:rsid w:val="90FD046D"/>
    <w:rsid w:val="91BF893F"/>
    <w:rsid w:val="92FB96FC"/>
    <w:rsid w:val="92FD82E9"/>
    <w:rsid w:val="930E9612"/>
    <w:rsid w:val="9351E889"/>
    <w:rsid w:val="937F78DF"/>
    <w:rsid w:val="93962970"/>
    <w:rsid w:val="93DF201A"/>
    <w:rsid w:val="93E76A7E"/>
    <w:rsid w:val="93E7F065"/>
    <w:rsid w:val="93EC00CD"/>
    <w:rsid w:val="93F7CAE9"/>
    <w:rsid w:val="93FF30B4"/>
    <w:rsid w:val="93FF4CBB"/>
    <w:rsid w:val="941C90F8"/>
    <w:rsid w:val="94E326C2"/>
    <w:rsid w:val="953F0A7D"/>
    <w:rsid w:val="956DF430"/>
    <w:rsid w:val="959BF2E1"/>
    <w:rsid w:val="95EC9DF2"/>
    <w:rsid w:val="95F71580"/>
    <w:rsid w:val="95FF8226"/>
    <w:rsid w:val="962DAD45"/>
    <w:rsid w:val="967ED864"/>
    <w:rsid w:val="967FDE93"/>
    <w:rsid w:val="96AF726E"/>
    <w:rsid w:val="96B6BCCE"/>
    <w:rsid w:val="96BFF767"/>
    <w:rsid w:val="96DBD172"/>
    <w:rsid w:val="96F33ABA"/>
    <w:rsid w:val="96FDB286"/>
    <w:rsid w:val="96FF28C1"/>
    <w:rsid w:val="97070031"/>
    <w:rsid w:val="971B5DF1"/>
    <w:rsid w:val="971F5648"/>
    <w:rsid w:val="975EB7DF"/>
    <w:rsid w:val="97634E83"/>
    <w:rsid w:val="976B12F5"/>
    <w:rsid w:val="97752F13"/>
    <w:rsid w:val="977C9F4D"/>
    <w:rsid w:val="977D7D79"/>
    <w:rsid w:val="977FC29C"/>
    <w:rsid w:val="97AF3B7D"/>
    <w:rsid w:val="97B7DF81"/>
    <w:rsid w:val="97DB4688"/>
    <w:rsid w:val="97DB6B68"/>
    <w:rsid w:val="97DC81A5"/>
    <w:rsid w:val="97DF0073"/>
    <w:rsid w:val="97DFAB04"/>
    <w:rsid w:val="97E56DE4"/>
    <w:rsid w:val="97F3B43B"/>
    <w:rsid w:val="97FBB766"/>
    <w:rsid w:val="97FC17A2"/>
    <w:rsid w:val="97FDC200"/>
    <w:rsid w:val="97FF7344"/>
    <w:rsid w:val="97FFCEFE"/>
    <w:rsid w:val="9863C54E"/>
    <w:rsid w:val="986B103F"/>
    <w:rsid w:val="987BDEBE"/>
    <w:rsid w:val="98EACF8E"/>
    <w:rsid w:val="98FF8ED6"/>
    <w:rsid w:val="9942AF8A"/>
    <w:rsid w:val="994D76C5"/>
    <w:rsid w:val="994FD0B3"/>
    <w:rsid w:val="997FAC7E"/>
    <w:rsid w:val="997FC416"/>
    <w:rsid w:val="999F2D3B"/>
    <w:rsid w:val="99CFA34B"/>
    <w:rsid w:val="99E5F5B6"/>
    <w:rsid w:val="99EF6730"/>
    <w:rsid w:val="99F3D26F"/>
    <w:rsid w:val="99FC1085"/>
    <w:rsid w:val="9AD6CBEE"/>
    <w:rsid w:val="9AF9C797"/>
    <w:rsid w:val="9AFAF767"/>
    <w:rsid w:val="9AFE41DF"/>
    <w:rsid w:val="9AFF0FDD"/>
    <w:rsid w:val="9AFF2C13"/>
    <w:rsid w:val="9AFF6EF5"/>
    <w:rsid w:val="9B1C53F7"/>
    <w:rsid w:val="9B22D14B"/>
    <w:rsid w:val="9B5B2ACB"/>
    <w:rsid w:val="9B5E0AEE"/>
    <w:rsid w:val="9B66ED6D"/>
    <w:rsid w:val="9B6C087A"/>
    <w:rsid w:val="9B737F70"/>
    <w:rsid w:val="9B99FECA"/>
    <w:rsid w:val="9B9C9FFD"/>
    <w:rsid w:val="9B9F815F"/>
    <w:rsid w:val="9B9F9257"/>
    <w:rsid w:val="9BAED5D1"/>
    <w:rsid w:val="9BAFB296"/>
    <w:rsid w:val="9BBB8C76"/>
    <w:rsid w:val="9BC51081"/>
    <w:rsid w:val="9BDE6476"/>
    <w:rsid w:val="9BDE88F1"/>
    <w:rsid w:val="9BDFC11A"/>
    <w:rsid w:val="9BE75D0B"/>
    <w:rsid w:val="9BED0D10"/>
    <w:rsid w:val="9BED5BDB"/>
    <w:rsid w:val="9BEFCFF0"/>
    <w:rsid w:val="9BF396F8"/>
    <w:rsid w:val="9BF3E1BE"/>
    <w:rsid w:val="9BFB18FD"/>
    <w:rsid w:val="9BFB8DF8"/>
    <w:rsid w:val="9BFBA565"/>
    <w:rsid w:val="9BFF72F6"/>
    <w:rsid w:val="9BFFFC6A"/>
    <w:rsid w:val="9CAE129B"/>
    <w:rsid w:val="9CB5BF61"/>
    <w:rsid w:val="9CB78C95"/>
    <w:rsid w:val="9CD2B502"/>
    <w:rsid w:val="9CFB5B3B"/>
    <w:rsid w:val="9CFB6EBA"/>
    <w:rsid w:val="9CFD2C5D"/>
    <w:rsid w:val="9CFDD2C9"/>
    <w:rsid w:val="9CFF6952"/>
    <w:rsid w:val="9CFFFEB3"/>
    <w:rsid w:val="9D13AF57"/>
    <w:rsid w:val="9D1737BE"/>
    <w:rsid w:val="9D3B1C72"/>
    <w:rsid w:val="9D4E29E5"/>
    <w:rsid w:val="9D67668C"/>
    <w:rsid w:val="9D6FCC21"/>
    <w:rsid w:val="9D7F2C26"/>
    <w:rsid w:val="9D7FC15C"/>
    <w:rsid w:val="9D7FFBED"/>
    <w:rsid w:val="9D9188AB"/>
    <w:rsid w:val="9D95596F"/>
    <w:rsid w:val="9DAFE08E"/>
    <w:rsid w:val="9DBFD55C"/>
    <w:rsid w:val="9DE7351B"/>
    <w:rsid w:val="9DEB437C"/>
    <w:rsid w:val="9DEBD00F"/>
    <w:rsid w:val="9DEF46AF"/>
    <w:rsid w:val="9DF1A4C1"/>
    <w:rsid w:val="9DF696E5"/>
    <w:rsid w:val="9DFD6CA8"/>
    <w:rsid w:val="9DFE37D5"/>
    <w:rsid w:val="9DFE5122"/>
    <w:rsid w:val="9DFE5DDA"/>
    <w:rsid w:val="9DFE7843"/>
    <w:rsid w:val="9DFED8AA"/>
    <w:rsid w:val="9DFEF6F2"/>
    <w:rsid w:val="9DFF789D"/>
    <w:rsid w:val="9DFF9498"/>
    <w:rsid w:val="9DFFF375"/>
    <w:rsid w:val="9E2D0599"/>
    <w:rsid w:val="9E3D16BC"/>
    <w:rsid w:val="9E3FC493"/>
    <w:rsid w:val="9E4F9882"/>
    <w:rsid w:val="9E55C319"/>
    <w:rsid w:val="9E776191"/>
    <w:rsid w:val="9E7C8859"/>
    <w:rsid w:val="9E9B7D52"/>
    <w:rsid w:val="9E9E854D"/>
    <w:rsid w:val="9EBE6910"/>
    <w:rsid w:val="9EBF58D3"/>
    <w:rsid w:val="9EEE1FD4"/>
    <w:rsid w:val="9EEF58B4"/>
    <w:rsid w:val="9EF3B215"/>
    <w:rsid w:val="9EF7B60F"/>
    <w:rsid w:val="9EFB41DB"/>
    <w:rsid w:val="9EFE5F50"/>
    <w:rsid w:val="9F0ED195"/>
    <w:rsid w:val="9F1FF503"/>
    <w:rsid w:val="9F3FB80A"/>
    <w:rsid w:val="9F57B074"/>
    <w:rsid w:val="9F5FB63A"/>
    <w:rsid w:val="9F5FD1BC"/>
    <w:rsid w:val="9F5FE107"/>
    <w:rsid w:val="9F66FEAF"/>
    <w:rsid w:val="9F6DEA2E"/>
    <w:rsid w:val="9F77E403"/>
    <w:rsid w:val="9F79AA8F"/>
    <w:rsid w:val="9F7CA12D"/>
    <w:rsid w:val="9F7FB5DC"/>
    <w:rsid w:val="9F9F19E3"/>
    <w:rsid w:val="9FA3270C"/>
    <w:rsid w:val="9FADCCE8"/>
    <w:rsid w:val="9FAF1DB6"/>
    <w:rsid w:val="9FAF7D27"/>
    <w:rsid w:val="9FAF8467"/>
    <w:rsid w:val="9FAF8B65"/>
    <w:rsid w:val="9FB22DC0"/>
    <w:rsid w:val="9FB37939"/>
    <w:rsid w:val="9FB38F4B"/>
    <w:rsid w:val="9FB6024B"/>
    <w:rsid w:val="9FB91AAA"/>
    <w:rsid w:val="9FBB0201"/>
    <w:rsid w:val="9FBDBC46"/>
    <w:rsid w:val="9FBE4816"/>
    <w:rsid w:val="9FBEE214"/>
    <w:rsid w:val="9FCF1343"/>
    <w:rsid w:val="9FD6EABB"/>
    <w:rsid w:val="9FD75508"/>
    <w:rsid w:val="9FDF8BED"/>
    <w:rsid w:val="9FDFE28D"/>
    <w:rsid w:val="9FE5148E"/>
    <w:rsid w:val="9FE98B36"/>
    <w:rsid w:val="9FED3E3B"/>
    <w:rsid w:val="9FED48AA"/>
    <w:rsid w:val="9FEF4277"/>
    <w:rsid w:val="9FEFB87B"/>
    <w:rsid w:val="9FF35EE7"/>
    <w:rsid w:val="9FF5ADC2"/>
    <w:rsid w:val="9FF655C7"/>
    <w:rsid w:val="9FF73F02"/>
    <w:rsid w:val="9FF7D1BC"/>
    <w:rsid w:val="9FFBF84D"/>
    <w:rsid w:val="9FFDEEF3"/>
    <w:rsid w:val="9FFE4FA4"/>
    <w:rsid w:val="9FFF7D23"/>
    <w:rsid w:val="9FFF83FA"/>
    <w:rsid w:val="9FFFA842"/>
    <w:rsid w:val="9FFFA8BF"/>
    <w:rsid w:val="9FFFB9DE"/>
    <w:rsid w:val="9FFFC208"/>
    <w:rsid w:val="9FFFD0C6"/>
    <w:rsid w:val="9FFFE3DC"/>
    <w:rsid w:val="A15B6A53"/>
    <w:rsid w:val="A1EF6CD3"/>
    <w:rsid w:val="A2608C99"/>
    <w:rsid w:val="A2DA6574"/>
    <w:rsid w:val="A3ADE761"/>
    <w:rsid w:val="A3AF61B4"/>
    <w:rsid w:val="A3BD840D"/>
    <w:rsid w:val="A3BF8E00"/>
    <w:rsid w:val="A3CDBFA0"/>
    <w:rsid w:val="A3DD56A9"/>
    <w:rsid w:val="A3ED2263"/>
    <w:rsid w:val="A3EFC0A5"/>
    <w:rsid w:val="A3F7645B"/>
    <w:rsid w:val="A3FE8F7A"/>
    <w:rsid w:val="A3FE9E4C"/>
    <w:rsid w:val="A3FEB974"/>
    <w:rsid w:val="A3FF5183"/>
    <w:rsid w:val="A5B3B622"/>
    <w:rsid w:val="A5B75B95"/>
    <w:rsid w:val="A5CF3B94"/>
    <w:rsid w:val="A5DF44F6"/>
    <w:rsid w:val="A5E3D6EE"/>
    <w:rsid w:val="A5EF3A7C"/>
    <w:rsid w:val="A5FEEEA5"/>
    <w:rsid w:val="A5FFA68D"/>
    <w:rsid w:val="A5FFA930"/>
    <w:rsid w:val="A615FEAB"/>
    <w:rsid w:val="A67C6E1E"/>
    <w:rsid w:val="A67F5178"/>
    <w:rsid w:val="A6ADEB53"/>
    <w:rsid w:val="A6AF1D49"/>
    <w:rsid w:val="A6BD0AF2"/>
    <w:rsid w:val="A6D1F709"/>
    <w:rsid w:val="A6D7D87B"/>
    <w:rsid w:val="A6DFB5C9"/>
    <w:rsid w:val="A6FA553B"/>
    <w:rsid w:val="A6FFD715"/>
    <w:rsid w:val="A71391A0"/>
    <w:rsid w:val="A749DB9F"/>
    <w:rsid w:val="A76960C3"/>
    <w:rsid w:val="A77DEF54"/>
    <w:rsid w:val="A77F06EC"/>
    <w:rsid w:val="A7872355"/>
    <w:rsid w:val="A7AF8FB4"/>
    <w:rsid w:val="A7B6BFAB"/>
    <w:rsid w:val="A7B7150F"/>
    <w:rsid w:val="A7BB67B5"/>
    <w:rsid w:val="A7BDFD8E"/>
    <w:rsid w:val="A7BF8C7A"/>
    <w:rsid w:val="A7BFF0D6"/>
    <w:rsid w:val="A7C7F251"/>
    <w:rsid w:val="A7DC348B"/>
    <w:rsid w:val="A7DF9FBA"/>
    <w:rsid w:val="A7ED031A"/>
    <w:rsid w:val="A7EFEC68"/>
    <w:rsid w:val="A7F71A48"/>
    <w:rsid w:val="A7F759A6"/>
    <w:rsid w:val="A7FD2684"/>
    <w:rsid w:val="A7FDAF6F"/>
    <w:rsid w:val="A7FE97FA"/>
    <w:rsid w:val="A85C6079"/>
    <w:rsid w:val="A91E2DB8"/>
    <w:rsid w:val="A94FA131"/>
    <w:rsid w:val="A97F20C9"/>
    <w:rsid w:val="A97FA2B7"/>
    <w:rsid w:val="A9970A3E"/>
    <w:rsid w:val="A9B7CAB6"/>
    <w:rsid w:val="A9E7B361"/>
    <w:rsid w:val="AA797780"/>
    <w:rsid w:val="AA7F3460"/>
    <w:rsid w:val="AAB5B15E"/>
    <w:rsid w:val="AABF11D4"/>
    <w:rsid w:val="AAC74036"/>
    <w:rsid w:val="AAE379C5"/>
    <w:rsid w:val="AAF231E1"/>
    <w:rsid w:val="AB1F6163"/>
    <w:rsid w:val="AB7DC8FE"/>
    <w:rsid w:val="AB7E7193"/>
    <w:rsid w:val="AB7F226F"/>
    <w:rsid w:val="AB7F4EE5"/>
    <w:rsid w:val="AB85F924"/>
    <w:rsid w:val="ABA523C2"/>
    <w:rsid w:val="ABA8F0EE"/>
    <w:rsid w:val="ABB5E71F"/>
    <w:rsid w:val="ABB792D0"/>
    <w:rsid w:val="ABBEE983"/>
    <w:rsid w:val="ABCFDBD1"/>
    <w:rsid w:val="ABD9D462"/>
    <w:rsid w:val="ABDD6182"/>
    <w:rsid w:val="ABDDF3F6"/>
    <w:rsid w:val="ABEB6946"/>
    <w:rsid w:val="ABF20C78"/>
    <w:rsid w:val="ABF3726E"/>
    <w:rsid w:val="ABF48E0F"/>
    <w:rsid w:val="ABFAD3F1"/>
    <w:rsid w:val="ABFB4864"/>
    <w:rsid w:val="ABFC8B42"/>
    <w:rsid w:val="ABFD948C"/>
    <w:rsid w:val="ABFF0DAC"/>
    <w:rsid w:val="ABFF6B0B"/>
    <w:rsid w:val="ABFF724B"/>
    <w:rsid w:val="ABFFBC90"/>
    <w:rsid w:val="AC8A5571"/>
    <w:rsid w:val="ACB20350"/>
    <w:rsid w:val="ACB7D1F3"/>
    <w:rsid w:val="ACBE11C1"/>
    <w:rsid w:val="ACCBA50B"/>
    <w:rsid w:val="ACD5C9E0"/>
    <w:rsid w:val="ACF5A3C8"/>
    <w:rsid w:val="ACFF244A"/>
    <w:rsid w:val="ACFFE3D8"/>
    <w:rsid w:val="AD336839"/>
    <w:rsid w:val="AD6DB3DA"/>
    <w:rsid w:val="AD778513"/>
    <w:rsid w:val="AD7FE7DA"/>
    <w:rsid w:val="ADBE94AC"/>
    <w:rsid w:val="ADCFA6B0"/>
    <w:rsid w:val="ADD57208"/>
    <w:rsid w:val="ADD6B70C"/>
    <w:rsid w:val="ADDEB4B4"/>
    <w:rsid w:val="ADF5B2B9"/>
    <w:rsid w:val="ADF644AC"/>
    <w:rsid w:val="ADFB0E21"/>
    <w:rsid w:val="ADFD194B"/>
    <w:rsid w:val="ADFD72D3"/>
    <w:rsid w:val="ADFDA385"/>
    <w:rsid w:val="ADFDA546"/>
    <w:rsid w:val="AE4F3C05"/>
    <w:rsid w:val="AE53C2EA"/>
    <w:rsid w:val="AE56F2AE"/>
    <w:rsid w:val="AE5E59C5"/>
    <w:rsid w:val="AE5F7B1D"/>
    <w:rsid w:val="AE6A54ED"/>
    <w:rsid w:val="AE7F1F24"/>
    <w:rsid w:val="AE7FC25E"/>
    <w:rsid w:val="AE7FD499"/>
    <w:rsid w:val="AE9F7256"/>
    <w:rsid w:val="AEA9AB00"/>
    <w:rsid w:val="AEAD1DA2"/>
    <w:rsid w:val="AEBE73AE"/>
    <w:rsid w:val="AEBFBF3A"/>
    <w:rsid w:val="AEBFF975"/>
    <w:rsid w:val="AEC4123E"/>
    <w:rsid w:val="AECF469C"/>
    <w:rsid w:val="AECFE964"/>
    <w:rsid w:val="AED703EC"/>
    <w:rsid w:val="AEDBDD8A"/>
    <w:rsid w:val="AEE79B2D"/>
    <w:rsid w:val="AEED5D03"/>
    <w:rsid w:val="AEEF0A46"/>
    <w:rsid w:val="AEEF2D4B"/>
    <w:rsid w:val="AEF740B3"/>
    <w:rsid w:val="AEF7680E"/>
    <w:rsid w:val="AEFDD19D"/>
    <w:rsid w:val="AEFE2B19"/>
    <w:rsid w:val="AEFF0282"/>
    <w:rsid w:val="AEFFBAF3"/>
    <w:rsid w:val="AF135AB7"/>
    <w:rsid w:val="AF180180"/>
    <w:rsid w:val="AF1DF4DC"/>
    <w:rsid w:val="AF1FCFEC"/>
    <w:rsid w:val="AF3F37E9"/>
    <w:rsid w:val="AF3F394C"/>
    <w:rsid w:val="AF575EDB"/>
    <w:rsid w:val="AF5F68ED"/>
    <w:rsid w:val="AF6CD476"/>
    <w:rsid w:val="AF768167"/>
    <w:rsid w:val="AF7C9955"/>
    <w:rsid w:val="AF7CBE49"/>
    <w:rsid w:val="AF7EDDE8"/>
    <w:rsid w:val="AF7F3A9F"/>
    <w:rsid w:val="AF9F97F6"/>
    <w:rsid w:val="AFA89A98"/>
    <w:rsid w:val="AFB4D411"/>
    <w:rsid w:val="AFB62DEF"/>
    <w:rsid w:val="AFB68C5E"/>
    <w:rsid w:val="AFB706C2"/>
    <w:rsid w:val="AFB710C7"/>
    <w:rsid w:val="AFB792B5"/>
    <w:rsid w:val="AFBC1A29"/>
    <w:rsid w:val="AFBDD5EC"/>
    <w:rsid w:val="AFBE866E"/>
    <w:rsid w:val="AFBF7553"/>
    <w:rsid w:val="AFC300BD"/>
    <w:rsid w:val="AFCD3510"/>
    <w:rsid w:val="AFCFE9FC"/>
    <w:rsid w:val="AFD09988"/>
    <w:rsid w:val="AFD53395"/>
    <w:rsid w:val="AFD90D1F"/>
    <w:rsid w:val="AFDBECBE"/>
    <w:rsid w:val="AFDF0035"/>
    <w:rsid w:val="AFDFCEBC"/>
    <w:rsid w:val="AFE30D71"/>
    <w:rsid w:val="AFE8808D"/>
    <w:rsid w:val="AFE8D724"/>
    <w:rsid w:val="AFEA6056"/>
    <w:rsid w:val="AFEBAF09"/>
    <w:rsid w:val="AFEBC200"/>
    <w:rsid w:val="AFEE8C34"/>
    <w:rsid w:val="AFEE8D29"/>
    <w:rsid w:val="AFEF4BFC"/>
    <w:rsid w:val="AFEF5451"/>
    <w:rsid w:val="AFEF8AFC"/>
    <w:rsid w:val="AFEF9AC3"/>
    <w:rsid w:val="AFF32B38"/>
    <w:rsid w:val="AFF4910F"/>
    <w:rsid w:val="AFF557F5"/>
    <w:rsid w:val="AFF5D89E"/>
    <w:rsid w:val="AFF73F2D"/>
    <w:rsid w:val="AFF75D98"/>
    <w:rsid w:val="AFF7BE64"/>
    <w:rsid w:val="AFF970FF"/>
    <w:rsid w:val="AFF9AD60"/>
    <w:rsid w:val="AFF9AFE8"/>
    <w:rsid w:val="AFFA620A"/>
    <w:rsid w:val="AFFB237C"/>
    <w:rsid w:val="AFFCB0D9"/>
    <w:rsid w:val="AFFD14AA"/>
    <w:rsid w:val="AFFD78A9"/>
    <w:rsid w:val="AFFD8522"/>
    <w:rsid w:val="AFFE62DD"/>
    <w:rsid w:val="AFFEBBD1"/>
    <w:rsid w:val="AFFF0B25"/>
    <w:rsid w:val="AFFF1BA0"/>
    <w:rsid w:val="AFFF21B0"/>
    <w:rsid w:val="AFFF536B"/>
    <w:rsid w:val="AFFFA909"/>
    <w:rsid w:val="AFFFAE6D"/>
    <w:rsid w:val="AFFFBAA5"/>
    <w:rsid w:val="AFFFF989"/>
    <w:rsid w:val="B0B5C8B8"/>
    <w:rsid w:val="B0FA6BF9"/>
    <w:rsid w:val="B0FF986F"/>
    <w:rsid w:val="B12E4564"/>
    <w:rsid w:val="B17E4EEC"/>
    <w:rsid w:val="B17F00E8"/>
    <w:rsid w:val="B1CF0F65"/>
    <w:rsid w:val="B1DD17AE"/>
    <w:rsid w:val="B1FCE8B4"/>
    <w:rsid w:val="B1FFB485"/>
    <w:rsid w:val="B1FFF5E1"/>
    <w:rsid w:val="B26FB31E"/>
    <w:rsid w:val="B277AC73"/>
    <w:rsid w:val="B27F809C"/>
    <w:rsid w:val="B28375FB"/>
    <w:rsid w:val="B2B6C5AC"/>
    <w:rsid w:val="B2BEF11D"/>
    <w:rsid w:val="B2D6AFEC"/>
    <w:rsid w:val="B2ED4A4F"/>
    <w:rsid w:val="B2EE4560"/>
    <w:rsid w:val="B2F5D95E"/>
    <w:rsid w:val="B2F786C0"/>
    <w:rsid w:val="B2FFB219"/>
    <w:rsid w:val="B32D1721"/>
    <w:rsid w:val="B3459CCE"/>
    <w:rsid w:val="B3753C3C"/>
    <w:rsid w:val="B37B5C25"/>
    <w:rsid w:val="B3972B3D"/>
    <w:rsid w:val="B39DA429"/>
    <w:rsid w:val="B39E1C34"/>
    <w:rsid w:val="B3B64600"/>
    <w:rsid w:val="B3BDB704"/>
    <w:rsid w:val="B3BDE15D"/>
    <w:rsid w:val="B3DDB397"/>
    <w:rsid w:val="B3E4BC2B"/>
    <w:rsid w:val="B3EF8FAD"/>
    <w:rsid w:val="B3EFA1CD"/>
    <w:rsid w:val="B3F21395"/>
    <w:rsid w:val="B3F5C8E3"/>
    <w:rsid w:val="B3FB0C8B"/>
    <w:rsid w:val="B3FC4ADC"/>
    <w:rsid w:val="B3FF167E"/>
    <w:rsid w:val="B3FF1F57"/>
    <w:rsid w:val="B3FF7970"/>
    <w:rsid w:val="B47ACA2A"/>
    <w:rsid w:val="B48FC309"/>
    <w:rsid w:val="B49AE298"/>
    <w:rsid w:val="B4BDD6FD"/>
    <w:rsid w:val="B4CFC736"/>
    <w:rsid w:val="B4F2C4E5"/>
    <w:rsid w:val="B4F519EF"/>
    <w:rsid w:val="B4F65D32"/>
    <w:rsid w:val="B4FDCF83"/>
    <w:rsid w:val="B4FF09F0"/>
    <w:rsid w:val="B5175D5D"/>
    <w:rsid w:val="B535E0C8"/>
    <w:rsid w:val="B53F41CF"/>
    <w:rsid w:val="B53F9CAB"/>
    <w:rsid w:val="B5670978"/>
    <w:rsid w:val="B57BBCE9"/>
    <w:rsid w:val="B57E72C0"/>
    <w:rsid w:val="B57F2BD4"/>
    <w:rsid w:val="B5A10DC3"/>
    <w:rsid w:val="B5BF1F7E"/>
    <w:rsid w:val="B5BF87C9"/>
    <w:rsid w:val="B5BFDBBE"/>
    <w:rsid w:val="B5CF38CF"/>
    <w:rsid w:val="B5D6C00D"/>
    <w:rsid w:val="B5DF0B9E"/>
    <w:rsid w:val="B5EDDE07"/>
    <w:rsid w:val="B5EF84D1"/>
    <w:rsid w:val="B5FB8999"/>
    <w:rsid w:val="B5FE3FA6"/>
    <w:rsid w:val="B5FEA619"/>
    <w:rsid w:val="B5FEA8EA"/>
    <w:rsid w:val="B5FEECBD"/>
    <w:rsid w:val="B5FFAB90"/>
    <w:rsid w:val="B5FFCDAF"/>
    <w:rsid w:val="B61BD0E5"/>
    <w:rsid w:val="B62FD41C"/>
    <w:rsid w:val="B63E60F9"/>
    <w:rsid w:val="B63F8429"/>
    <w:rsid w:val="B679FFFE"/>
    <w:rsid w:val="B67B0B92"/>
    <w:rsid w:val="B67F12B6"/>
    <w:rsid w:val="B68FA41E"/>
    <w:rsid w:val="B6B730D4"/>
    <w:rsid w:val="B6BE3363"/>
    <w:rsid w:val="B6C7784B"/>
    <w:rsid w:val="B6C7CF3D"/>
    <w:rsid w:val="B6DE04DE"/>
    <w:rsid w:val="B6DE2747"/>
    <w:rsid w:val="B6DF9C69"/>
    <w:rsid w:val="B6E73B18"/>
    <w:rsid w:val="B6EB8513"/>
    <w:rsid w:val="B6EE4345"/>
    <w:rsid w:val="B6EF09CA"/>
    <w:rsid w:val="B6F7700E"/>
    <w:rsid w:val="B6FAFBA3"/>
    <w:rsid w:val="B6FB0784"/>
    <w:rsid w:val="B6FCD0E6"/>
    <w:rsid w:val="B6FEE488"/>
    <w:rsid w:val="B6FF0A79"/>
    <w:rsid w:val="B6FF2A81"/>
    <w:rsid w:val="B6FF851F"/>
    <w:rsid w:val="B71729E2"/>
    <w:rsid w:val="B71D120F"/>
    <w:rsid w:val="B73F6B68"/>
    <w:rsid w:val="B75443C6"/>
    <w:rsid w:val="B754C8FE"/>
    <w:rsid w:val="B7570E06"/>
    <w:rsid w:val="B76C87CD"/>
    <w:rsid w:val="B76F6CEA"/>
    <w:rsid w:val="B777D34A"/>
    <w:rsid w:val="B777DB74"/>
    <w:rsid w:val="B778AA93"/>
    <w:rsid w:val="B77B30B4"/>
    <w:rsid w:val="B77B58EB"/>
    <w:rsid w:val="B77D7BFB"/>
    <w:rsid w:val="B77F29DA"/>
    <w:rsid w:val="B77FE8F2"/>
    <w:rsid w:val="B78E2680"/>
    <w:rsid w:val="B79A774A"/>
    <w:rsid w:val="B79F4104"/>
    <w:rsid w:val="B79FE0A6"/>
    <w:rsid w:val="B7AB7A52"/>
    <w:rsid w:val="B7AE650B"/>
    <w:rsid w:val="B7AEC122"/>
    <w:rsid w:val="B7B3E7E5"/>
    <w:rsid w:val="B7B5571A"/>
    <w:rsid w:val="B7B6BEEC"/>
    <w:rsid w:val="B7BA3C7A"/>
    <w:rsid w:val="B7BB4418"/>
    <w:rsid w:val="B7BDD688"/>
    <w:rsid w:val="B7BEE9DD"/>
    <w:rsid w:val="B7BFE723"/>
    <w:rsid w:val="B7CFA503"/>
    <w:rsid w:val="B7CFB5F8"/>
    <w:rsid w:val="B7D54B1E"/>
    <w:rsid w:val="B7D64C0F"/>
    <w:rsid w:val="B7D6ADC2"/>
    <w:rsid w:val="B7D97B1C"/>
    <w:rsid w:val="B7DB6E0B"/>
    <w:rsid w:val="B7DE4286"/>
    <w:rsid w:val="B7DF71DA"/>
    <w:rsid w:val="B7EBCAE1"/>
    <w:rsid w:val="B7EF6ED6"/>
    <w:rsid w:val="B7EFEF51"/>
    <w:rsid w:val="B7F29A18"/>
    <w:rsid w:val="B7F33575"/>
    <w:rsid w:val="B7F49BEF"/>
    <w:rsid w:val="B7F5FE00"/>
    <w:rsid w:val="B7F75F7F"/>
    <w:rsid w:val="B7F7D0E6"/>
    <w:rsid w:val="B7FB445B"/>
    <w:rsid w:val="B7FB8BC7"/>
    <w:rsid w:val="B7FBAECF"/>
    <w:rsid w:val="B7FBB3FC"/>
    <w:rsid w:val="B7FCCE24"/>
    <w:rsid w:val="B7FDDCEA"/>
    <w:rsid w:val="B7FE4466"/>
    <w:rsid w:val="B7FE6A31"/>
    <w:rsid w:val="B7FF176F"/>
    <w:rsid w:val="B7FF7AA8"/>
    <w:rsid w:val="B7FFEDD6"/>
    <w:rsid w:val="B8B445E4"/>
    <w:rsid w:val="B8E709DD"/>
    <w:rsid w:val="B8E981BD"/>
    <w:rsid w:val="B8FE1033"/>
    <w:rsid w:val="B91F6F9D"/>
    <w:rsid w:val="B934377B"/>
    <w:rsid w:val="B95B377B"/>
    <w:rsid w:val="B97B2479"/>
    <w:rsid w:val="B9BEDB1A"/>
    <w:rsid w:val="B9C9AFB5"/>
    <w:rsid w:val="B9D2D9B4"/>
    <w:rsid w:val="B9DD8676"/>
    <w:rsid w:val="B9DDDCAC"/>
    <w:rsid w:val="B9EFEE5F"/>
    <w:rsid w:val="B9F23C50"/>
    <w:rsid w:val="B9F75329"/>
    <w:rsid w:val="B9F7AFA9"/>
    <w:rsid w:val="B9F960AF"/>
    <w:rsid w:val="B9FB1435"/>
    <w:rsid w:val="B9FBBB68"/>
    <w:rsid w:val="B9FF0F80"/>
    <w:rsid w:val="B9FF10D7"/>
    <w:rsid w:val="B9FF1EE2"/>
    <w:rsid w:val="B9FF5CD1"/>
    <w:rsid w:val="B9FFFA73"/>
    <w:rsid w:val="BA3A82F5"/>
    <w:rsid w:val="BA3F6FE7"/>
    <w:rsid w:val="BA47836E"/>
    <w:rsid w:val="BA5192A5"/>
    <w:rsid w:val="BA6F09D9"/>
    <w:rsid w:val="BA76DA30"/>
    <w:rsid w:val="BA77D763"/>
    <w:rsid w:val="BA9FB724"/>
    <w:rsid w:val="BAA75103"/>
    <w:rsid w:val="BAB5CAF5"/>
    <w:rsid w:val="BABF0097"/>
    <w:rsid w:val="BAC53E85"/>
    <w:rsid w:val="BACD897A"/>
    <w:rsid w:val="BADB9DCF"/>
    <w:rsid w:val="BADBFB90"/>
    <w:rsid w:val="BADF3D6C"/>
    <w:rsid w:val="BADFFDA9"/>
    <w:rsid w:val="BAE77C54"/>
    <w:rsid w:val="BAF47648"/>
    <w:rsid w:val="BAF7EE8D"/>
    <w:rsid w:val="BAFB30D4"/>
    <w:rsid w:val="BAFD5E5E"/>
    <w:rsid w:val="BAFFAB2B"/>
    <w:rsid w:val="BAFFB7DB"/>
    <w:rsid w:val="BB1DDBC6"/>
    <w:rsid w:val="BB2319D4"/>
    <w:rsid w:val="BB2F1E3A"/>
    <w:rsid w:val="BB3FD74B"/>
    <w:rsid w:val="BB5F0FCE"/>
    <w:rsid w:val="BB732B44"/>
    <w:rsid w:val="BB75E7CA"/>
    <w:rsid w:val="BB7AA8A4"/>
    <w:rsid w:val="BB7B282D"/>
    <w:rsid w:val="BB7E4A38"/>
    <w:rsid w:val="BB7F2143"/>
    <w:rsid w:val="BB7F424C"/>
    <w:rsid w:val="BB8E11F8"/>
    <w:rsid w:val="BB9B2A01"/>
    <w:rsid w:val="BBAAA898"/>
    <w:rsid w:val="BBADEBCC"/>
    <w:rsid w:val="BBB04A91"/>
    <w:rsid w:val="BBBD06BA"/>
    <w:rsid w:val="BBBDCE01"/>
    <w:rsid w:val="BBBDE0F3"/>
    <w:rsid w:val="BBBEF991"/>
    <w:rsid w:val="BBBFDEF5"/>
    <w:rsid w:val="BBCFD531"/>
    <w:rsid w:val="BBD140CA"/>
    <w:rsid w:val="BBD42E29"/>
    <w:rsid w:val="BBD70378"/>
    <w:rsid w:val="BBD7789D"/>
    <w:rsid w:val="BBD79C2E"/>
    <w:rsid w:val="BBDD9286"/>
    <w:rsid w:val="BBDDC122"/>
    <w:rsid w:val="BBDE88DD"/>
    <w:rsid w:val="BBDE9D6A"/>
    <w:rsid w:val="BBDEACC0"/>
    <w:rsid w:val="BBE2C552"/>
    <w:rsid w:val="BBE78744"/>
    <w:rsid w:val="BBEDD8F1"/>
    <w:rsid w:val="BBEDF081"/>
    <w:rsid w:val="BBEF47AD"/>
    <w:rsid w:val="BBEF64D0"/>
    <w:rsid w:val="BBEF7266"/>
    <w:rsid w:val="BBEF96F5"/>
    <w:rsid w:val="BBF344EB"/>
    <w:rsid w:val="BBF48A96"/>
    <w:rsid w:val="BBF73B18"/>
    <w:rsid w:val="BBF765CA"/>
    <w:rsid w:val="BBF78A9A"/>
    <w:rsid w:val="BBF78C53"/>
    <w:rsid w:val="BBF7B734"/>
    <w:rsid w:val="BBF7D7D4"/>
    <w:rsid w:val="BBF99272"/>
    <w:rsid w:val="BBFA0BEB"/>
    <w:rsid w:val="BBFAD6CB"/>
    <w:rsid w:val="BBFB534C"/>
    <w:rsid w:val="BBFB65C9"/>
    <w:rsid w:val="BBFB6AE4"/>
    <w:rsid w:val="BBFB8CBC"/>
    <w:rsid w:val="BBFBA640"/>
    <w:rsid w:val="BBFC1DED"/>
    <w:rsid w:val="BBFC31F0"/>
    <w:rsid w:val="BBFCBB06"/>
    <w:rsid w:val="BBFDE4FD"/>
    <w:rsid w:val="BBFE5047"/>
    <w:rsid w:val="BBFE7704"/>
    <w:rsid w:val="BBFEB244"/>
    <w:rsid w:val="BBFF307E"/>
    <w:rsid w:val="BBFF618D"/>
    <w:rsid w:val="BBFF9CA3"/>
    <w:rsid w:val="BBFFC478"/>
    <w:rsid w:val="BBFFCFF8"/>
    <w:rsid w:val="BBFFD675"/>
    <w:rsid w:val="BBFFDAC4"/>
    <w:rsid w:val="BC25395B"/>
    <w:rsid w:val="BC339704"/>
    <w:rsid w:val="BC3F4B03"/>
    <w:rsid w:val="BC5B8B1B"/>
    <w:rsid w:val="BC5DA310"/>
    <w:rsid w:val="BC5E377C"/>
    <w:rsid w:val="BC5F7886"/>
    <w:rsid w:val="BC698E8C"/>
    <w:rsid w:val="BC7B1C47"/>
    <w:rsid w:val="BC7D5DFD"/>
    <w:rsid w:val="BC7EE7B7"/>
    <w:rsid w:val="BC7F82A7"/>
    <w:rsid w:val="BC97795C"/>
    <w:rsid w:val="BC9B5AD2"/>
    <w:rsid w:val="BCBA4F6D"/>
    <w:rsid w:val="BCBD3BB0"/>
    <w:rsid w:val="BCC3AE6E"/>
    <w:rsid w:val="BCDCCDF5"/>
    <w:rsid w:val="BCDCF79A"/>
    <w:rsid w:val="BCDE9502"/>
    <w:rsid w:val="BCDF5028"/>
    <w:rsid w:val="BCE7BA18"/>
    <w:rsid w:val="BCE82659"/>
    <w:rsid w:val="BCE9FC5B"/>
    <w:rsid w:val="BCEB39EF"/>
    <w:rsid w:val="BCEF74E6"/>
    <w:rsid w:val="BCF51A7B"/>
    <w:rsid w:val="BCFBEAA3"/>
    <w:rsid w:val="BCFE821A"/>
    <w:rsid w:val="BCFF0602"/>
    <w:rsid w:val="BCFF2A0C"/>
    <w:rsid w:val="BCFF5857"/>
    <w:rsid w:val="BCFFCE7E"/>
    <w:rsid w:val="BCFFFF72"/>
    <w:rsid w:val="BD3BA78F"/>
    <w:rsid w:val="BD3CB3D6"/>
    <w:rsid w:val="BD3E7DE6"/>
    <w:rsid w:val="BD3F922C"/>
    <w:rsid w:val="BD572701"/>
    <w:rsid w:val="BD5D588D"/>
    <w:rsid w:val="BD7BB58E"/>
    <w:rsid w:val="BD7E2F56"/>
    <w:rsid w:val="BD7FB632"/>
    <w:rsid w:val="BD9EF691"/>
    <w:rsid w:val="BD9F73BD"/>
    <w:rsid w:val="BDA321FE"/>
    <w:rsid w:val="BDACDFE6"/>
    <w:rsid w:val="BDAEB6C2"/>
    <w:rsid w:val="BDAFA44C"/>
    <w:rsid w:val="BDB74104"/>
    <w:rsid w:val="BDBA9E60"/>
    <w:rsid w:val="BDBB0219"/>
    <w:rsid w:val="BDBB29AB"/>
    <w:rsid w:val="BDBB5B2C"/>
    <w:rsid w:val="BDBBE52F"/>
    <w:rsid w:val="BDBE73EC"/>
    <w:rsid w:val="BDBEC10A"/>
    <w:rsid w:val="BDBF045E"/>
    <w:rsid w:val="BDBF48E9"/>
    <w:rsid w:val="BDBF7626"/>
    <w:rsid w:val="BDBF8B00"/>
    <w:rsid w:val="BDBFABA8"/>
    <w:rsid w:val="BDCF2EC9"/>
    <w:rsid w:val="BDCFC174"/>
    <w:rsid w:val="BDD5853E"/>
    <w:rsid w:val="BDD71E3A"/>
    <w:rsid w:val="BDD9378F"/>
    <w:rsid w:val="BDDBA842"/>
    <w:rsid w:val="BDDF6F01"/>
    <w:rsid w:val="BDE06ADC"/>
    <w:rsid w:val="BDE18B03"/>
    <w:rsid w:val="BDE1A1C5"/>
    <w:rsid w:val="BDEB511A"/>
    <w:rsid w:val="BDEBFCC3"/>
    <w:rsid w:val="BDED3940"/>
    <w:rsid w:val="BDEEAE17"/>
    <w:rsid w:val="BDEF4B7C"/>
    <w:rsid w:val="BDEFB86B"/>
    <w:rsid w:val="BDEFF34A"/>
    <w:rsid w:val="BDF10FC6"/>
    <w:rsid w:val="BDF21ECB"/>
    <w:rsid w:val="BDF72AB0"/>
    <w:rsid w:val="BDF73BE2"/>
    <w:rsid w:val="BDF7445E"/>
    <w:rsid w:val="BDF7FE23"/>
    <w:rsid w:val="BDFAC47C"/>
    <w:rsid w:val="BDFB090A"/>
    <w:rsid w:val="BDFB4D76"/>
    <w:rsid w:val="BDFB62CD"/>
    <w:rsid w:val="BDFC9CA3"/>
    <w:rsid w:val="BDFD19D4"/>
    <w:rsid w:val="BDFD9316"/>
    <w:rsid w:val="BDFDB887"/>
    <w:rsid w:val="BDFEB7C8"/>
    <w:rsid w:val="BDFF2292"/>
    <w:rsid w:val="BDFF294A"/>
    <w:rsid w:val="BDFF869D"/>
    <w:rsid w:val="BDFFAD35"/>
    <w:rsid w:val="BDFFC53A"/>
    <w:rsid w:val="BDFFE5E7"/>
    <w:rsid w:val="BE0F1395"/>
    <w:rsid w:val="BE353906"/>
    <w:rsid w:val="BE3BADD1"/>
    <w:rsid w:val="BE655B4F"/>
    <w:rsid w:val="BE67F31F"/>
    <w:rsid w:val="BE6D5227"/>
    <w:rsid w:val="BE6F90BD"/>
    <w:rsid w:val="BE6FE26E"/>
    <w:rsid w:val="BE7B594C"/>
    <w:rsid w:val="BE7E95B9"/>
    <w:rsid w:val="BE7F314C"/>
    <w:rsid w:val="BE7F7C39"/>
    <w:rsid w:val="BE9E2815"/>
    <w:rsid w:val="BE9F66A4"/>
    <w:rsid w:val="BEAFF729"/>
    <w:rsid w:val="BEB5C872"/>
    <w:rsid w:val="BEB7912F"/>
    <w:rsid w:val="BEBB5644"/>
    <w:rsid w:val="BEBBCB72"/>
    <w:rsid w:val="BEBF60A0"/>
    <w:rsid w:val="BEC51269"/>
    <w:rsid w:val="BED5BDDB"/>
    <w:rsid w:val="BED6CD22"/>
    <w:rsid w:val="BED72506"/>
    <w:rsid w:val="BED9A86D"/>
    <w:rsid w:val="BEDAC644"/>
    <w:rsid w:val="BEDDF998"/>
    <w:rsid w:val="BEDE2626"/>
    <w:rsid w:val="BEDE50B5"/>
    <w:rsid w:val="BEDEE7FD"/>
    <w:rsid w:val="BEDF3468"/>
    <w:rsid w:val="BEDF7B67"/>
    <w:rsid w:val="BEDFD58B"/>
    <w:rsid w:val="BEE9DE0B"/>
    <w:rsid w:val="BEEA30A1"/>
    <w:rsid w:val="BEEF3C25"/>
    <w:rsid w:val="BEEF6A34"/>
    <w:rsid w:val="BEEFC1D1"/>
    <w:rsid w:val="BEEFD2B9"/>
    <w:rsid w:val="BEF5B485"/>
    <w:rsid w:val="BEF7254C"/>
    <w:rsid w:val="BEF74F62"/>
    <w:rsid w:val="BEF77D5A"/>
    <w:rsid w:val="BEFD586A"/>
    <w:rsid w:val="BEFD8DEC"/>
    <w:rsid w:val="BEFD9E58"/>
    <w:rsid w:val="BEFDBA2C"/>
    <w:rsid w:val="BEFDD9E2"/>
    <w:rsid w:val="BEFE63E2"/>
    <w:rsid w:val="BEFEC97F"/>
    <w:rsid w:val="BEFED12F"/>
    <w:rsid w:val="BEFF147B"/>
    <w:rsid w:val="BEFF4C89"/>
    <w:rsid w:val="BEFF7E40"/>
    <w:rsid w:val="BEFF8601"/>
    <w:rsid w:val="BEFFCFDC"/>
    <w:rsid w:val="BEFFE79C"/>
    <w:rsid w:val="BF0E51B6"/>
    <w:rsid w:val="BF14CAE9"/>
    <w:rsid w:val="BF1B5703"/>
    <w:rsid w:val="BF1F8FD8"/>
    <w:rsid w:val="BF2AF861"/>
    <w:rsid w:val="BF2EFEDA"/>
    <w:rsid w:val="BF2F38AC"/>
    <w:rsid w:val="BF32634A"/>
    <w:rsid w:val="BF3FBBB2"/>
    <w:rsid w:val="BF3FC28D"/>
    <w:rsid w:val="BF4D4F89"/>
    <w:rsid w:val="BF4F425C"/>
    <w:rsid w:val="BF536438"/>
    <w:rsid w:val="BF579355"/>
    <w:rsid w:val="BF57CCFB"/>
    <w:rsid w:val="BF5E07F2"/>
    <w:rsid w:val="BF5F0CE9"/>
    <w:rsid w:val="BF638C7A"/>
    <w:rsid w:val="BF64907F"/>
    <w:rsid w:val="BF660AE2"/>
    <w:rsid w:val="BF661A41"/>
    <w:rsid w:val="BF6770C9"/>
    <w:rsid w:val="BF6B36EF"/>
    <w:rsid w:val="BF6D66CB"/>
    <w:rsid w:val="BF6E6AD4"/>
    <w:rsid w:val="BF6F682A"/>
    <w:rsid w:val="BF6FEF49"/>
    <w:rsid w:val="BF73EF55"/>
    <w:rsid w:val="BF74858F"/>
    <w:rsid w:val="BF766F56"/>
    <w:rsid w:val="BF772DF3"/>
    <w:rsid w:val="BF774453"/>
    <w:rsid w:val="BF774822"/>
    <w:rsid w:val="BF779AA4"/>
    <w:rsid w:val="BF77C407"/>
    <w:rsid w:val="BF77CDD6"/>
    <w:rsid w:val="BF7915F1"/>
    <w:rsid w:val="BF79D705"/>
    <w:rsid w:val="BF7B306A"/>
    <w:rsid w:val="BF7B676F"/>
    <w:rsid w:val="BF7B6F05"/>
    <w:rsid w:val="BF7CED6D"/>
    <w:rsid w:val="BF7D53D0"/>
    <w:rsid w:val="BF7DC5B7"/>
    <w:rsid w:val="BF7DE811"/>
    <w:rsid w:val="BF7E17E8"/>
    <w:rsid w:val="BF7E2A20"/>
    <w:rsid w:val="BF7ECB79"/>
    <w:rsid w:val="BF7F38FD"/>
    <w:rsid w:val="BF7F3C8A"/>
    <w:rsid w:val="BF7F5184"/>
    <w:rsid w:val="BF7F5272"/>
    <w:rsid w:val="BF7F6134"/>
    <w:rsid w:val="BF7F7D75"/>
    <w:rsid w:val="BF7FAE79"/>
    <w:rsid w:val="BF7FBBFC"/>
    <w:rsid w:val="BF7FD573"/>
    <w:rsid w:val="BF7FFD15"/>
    <w:rsid w:val="BF8678E7"/>
    <w:rsid w:val="BF8B3227"/>
    <w:rsid w:val="BF8D8A6F"/>
    <w:rsid w:val="BF8F1236"/>
    <w:rsid w:val="BF8FC761"/>
    <w:rsid w:val="BF954CA8"/>
    <w:rsid w:val="BF973C4F"/>
    <w:rsid w:val="BF973F87"/>
    <w:rsid w:val="BF9D7BB9"/>
    <w:rsid w:val="BF9E1719"/>
    <w:rsid w:val="BF9F050D"/>
    <w:rsid w:val="BF9F0C0F"/>
    <w:rsid w:val="BF9F5306"/>
    <w:rsid w:val="BF9FBF71"/>
    <w:rsid w:val="BFA57D27"/>
    <w:rsid w:val="BFB1A9E8"/>
    <w:rsid w:val="BFB2889C"/>
    <w:rsid w:val="BFB3F5CA"/>
    <w:rsid w:val="BFB43D70"/>
    <w:rsid w:val="BFB54065"/>
    <w:rsid w:val="BFB63005"/>
    <w:rsid w:val="BFB77668"/>
    <w:rsid w:val="BFB79F9B"/>
    <w:rsid w:val="BFB8D7E3"/>
    <w:rsid w:val="BFB9AEFD"/>
    <w:rsid w:val="BFBA0C16"/>
    <w:rsid w:val="BFBB70C5"/>
    <w:rsid w:val="BFBD95B9"/>
    <w:rsid w:val="BFBDD6EE"/>
    <w:rsid w:val="BFBE853A"/>
    <w:rsid w:val="BFBF1842"/>
    <w:rsid w:val="BFBF184E"/>
    <w:rsid w:val="BFBF3EEB"/>
    <w:rsid w:val="BFBF925B"/>
    <w:rsid w:val="BFBFD1EB"/>
    <w:rsid w:val="BFBFDD7B"/>
    <w:rsid w:val="BFBFFC6A"/>
    <w:rsid w:val="BFC31F21"/>
    <w:rsid w:val="BFC3E0C5"/>
    <w:rsid w:val="BFCBDDDC"/>
    <w:rsid w:val="BFCEEDF2"/>
    <w:rsid w:val="BFD63E6E"/>
    <w:rsid w:val="BFD6876B"/>
    <w:rsid w:val="BFD69727"/>
    <w:rsid w:val="BFD791CB"/>
    <w:rsid w:val="BFD7BA7E"/>
    <w:rsid w:val="BFDA5611"/>
    <w:rsid w:val="BFDAFA58"/>
    <w:rsid w:val="BFDB7BC0"/>
    <w:rsid w:val="BFDBC739"/>
    <w:rsid w:val="BFDC3F82"/>
    <w:rsid w:val="BFDD046D"/>
    <w:rsid w:val="BFDD2AC4"/>
    <w:rsid w:val="BFDF14F8"/>
    <w:rsid w:val="BFDF45F4"/>
    <w:rsid w:val="BFDF4E3D"/>
    <w:rsid w:val="BFDF741F"/>
    <w:rsid w:val="BFDFF7E0"/>
    <w:rsid w:val="BFE0AD9B"/>
    <w:rsid w:val="BFE1941F"/>
    <w:rsid w:val="BFE5FA63"/>
    <w:rsid w:val="BFE6CEB4"/>
    <w:rsid w:val="BFE7B49C"/>
    <w:rsid w:val="BFE9383F"/>
    <w:rsid w:val="BFEB9B6F"/>
    <w:rsid w:val="BFEE0F84"/>
    <w:rsid w:val="BFEE5331"/>
    <w:rsid w:val="BFEF63EE"/>
    <w:rsid w:val="BFEFA3EF"/>
    <w:rsid w:val="BFEFC030"/>
    <w:rsid w:val="BFEFDB74"/>
    <w:rsid w:val="BFEFF4B9"/>
    <w:rsid w:val="BFF15D27"/>
    <w:rsid w:val="BFF336BC"/>
    <w:rsid w:val="BFF34BE5"/>
    <w:rsid w:val="BFF47DB7"/>
    <w:rsid w:val="BFF51702"/>
    <w:rsid w:val="BFF5BB22"/>
    <w:rsid w:val="BFF64AD0"/>
    <w:rsid w:val="BFF65252"/>
    <w:rsid w:val="BFF69D7D"/>
    <w:rsid w:val="BFF6BE87"/>
    <w:rsid w:val="BFF7114C"/>
    <w:rsid w:val="BFF73FB5"/>
    <w:rsid w:val="BFF73FCD"/>
    <w:rsid w:val="BFF767A2"/>
    <w:rsid w:val="BFF7D18D"/>
    <w:rsid w:val="BFF846A8"/>
    <w:rsid w:val="BFF9826C"/>
    <w:rsid w:val="BFF98D83"/>
    <w:rsid w:val="BFFA6FDB"/>
    <w:rsid w:val="BFFA8A2D"/>
    <w:rsid w:val="BFFAA6D0"/>
    <w:rsid w:val="BFFB3ADD"/>
    <w:rsid w:val="BFFB5AC3"/>
    <w:rsid w:val="BFFBAAB6"/>
    <w:rsid w:val="BFFBAED6"/>
    <w:rsid w:val="BFFBB01A"/>
    <w:rsid w:val="BFFBC83F"/>
    <w:rsid w:val="BFFBDEA3"/>
    <w:rsid w:val="BFFBE27E"/>
    <w:rsid w:val="BFFC3319"/>
    <w:rsid w:val="BFFC364C"/>
    <w:rsid w:val="BFFC8477"/>
    <w:rsid w:val="BFFCDD6F"/>
    <w:rsid w:val="BFFD064C"/>
    <w:rsid w:val="BFFD2A72"/>
    <w:rsid w:val="BFFD31C9"/>
    <w:rsid w:val="BFFD4502"/>
    <w:rsid w:val="BFFD82E5"/>
    <w:rsid w:val="BFFD8F2C"/>
    <w:rsid w:val="BFFD9433"/>
    <w:rsid w:val="BFFDCB2B"/>
    <w:rsid w:val="BFFDEC49"/>
    <w:rsid w:val="BFFE051D"/>
    <w:rsid w:val="BFFE2BA6"/>
    <w:rsid w:val="BFFE4544"/>
    <w:rsid w:val="BFFE5934"/>
    <w:rsid w:val="BFFED6A8"/>
    <w:rsid w:val="BFFF0567"/>
    <w:rsid w:val="BFFF123D"/>
    <w:rsid w:val="BFFF30AD"/>
    <w:rsid w:val="BFFF38B4"/>
    <w:rsid w:val="BFFF3929"/>
    <w:rsid w:val="BFFF3B43"/>
    <w:rsid w:val="BFFF3BDB"/>
    <w:rsid w:val="BFFF484D"/>
    <w:rsid w:val="BFFF4D21"/>
    <w:rsid w:val="BFFF569A"/>
    <w:rsid w:val="BFFF6570"/>
    <w:rsid w:val="BFFF7E96"/>
    <w:rsid w:val="BFFF8685"/>
    <w:rsid w:val="BFFF94B4"/>
    <w:rsid w:val="BFFFB283"/>
    <w:rsid w:val="BFFFB77D"/>
    <w:rsid w:val="BFFFCC7E"/>
    <w:rsid w:val="BFFFD24D"/>
    <w:rsid w:val="BFFFF679"/>
    <w:rsid w:val="BFFFF9EF"/>
    <w:rsid w:val="C1D63788"/>
    <w:rsid w:val="C2F7653A"/>
    <w:rsid w:val="C35F3C9A"/>
    <w:rsid w:val="C39ED568"/>
    <w:rsid w:val="C39F6292"/>
    <w:rsid w:val="C3B6816F"/>
    <w:rsid w:val="C3BF24FD"/>
    <w:rsid w:val="C3E577C2"/>
    <w:rsid w:val="C3EE1141"/>
    <w:rsid w:val="C3FD6014"/>
    <w:rsid w:val="C3FF2A98"/>
    <w:rsid w:val="C4A5FA54"/>
    <w:rsid w:val="C4DFCE75"/>
    <w:rsid w:val="C4FFDFFE"/>
    <w:rsid w:val="C5192231"/>
    <w:rsid w:val="C54B8D9F"/>
    <w:rsid w:val="C57E3421"/>
    <w:rsid w:val="C57E90B9"/>
    <w:rsid w:val="C5DE2ABF"/>
    <w:rsid w:val="C5DE4BCE"/>
    <w:rsid w:val="C5FAD6EE"/>
    <w:rsid w:val="C5FB97C4"/>
    <w:rsid w:val="C5FB9A57"/>
    <w:rsid w:val="C5FFB434"/>
    <w:rsid w:val="C6935B01"/>
    <w:rsid w:val="C6BFAB80"/>
    <w:rsid w:val="C6BFF7E7"/>
    <w:rsid w:val="C6F6E8B5"/>
    <w:rsid w:val="C6FDD7FA"/>
    <w:rsid w:val="C6FF3E42"/>
    <w:rsid w:val="C6FF40D5"/>
    <w:rsid w:val="C75B053B"/>
    <w:rsid w:val="C76F9848"/>
    <w:rsid w:val="C777A063"/>
    <w:rsid w:val="C77BE5EA"/>
    <w:rsid w:val="C77E22CD"/>
    <w:rsid w:val="C77FB080"/>
    <w:rsid w:val="C7BD215E"/>
    <w:rsid w:val="C7BDD2ED"/>
    <w:rsid w:val="C7BF1047"/>
    <w:rsid w:val="C7CD74BB"/>
    <w:rsid w:val="C7D73DF8"/>
    <w:rsid w:val="C7DBB1C8"/>
    <w:rsid w:val="C7E73BB4"/>
    <w:rsid w:val="C7E76B0B"/>
    <w:rsid w:val="C7ED43DD"/>
    <w:rsid w:val="C7EF4F37"/>
    <w:rsid w:val="C7EFD7C1"/>
    <w:rsid w:val="C7F31934"/>
    <w:rsid w:val="C7FB158F"/>
    <w:rsid w:val="C7FBB229"/>
    <w:rsid w:val="C7FF2A86"/>
    <w:rsid w:val="C7FF6DC5"/>
    <w:rsid w:val="C7FF973A"/>
    <w:rsid w:val="C8D742BE"/>
    <w:rsid w:val="C8F95CD5"/>
    <w:rsid w:val="C9777D36"/>
    <w:rsid w:val="C9B4F5DA"/>
    <w:rsid w:val="C9EB540A"/>
    <w:rsid w:val="CABFF3D6"/>
    <w:rsid w:val="CAED5AF2"/>
    <w:rsid w:val="CAFF2912"/>
    <w:rsid w:val="CB0943CF"/>
    <w:rsid w:val="CB270D4F"/>
    <w:rsid w:val="CB2AE21B"/>
    <w:rsid w:val="CB5A7ED1"/>
    <w:rsid w:val="CB5D17FF"/>
    <w:rsid w:val="CB7BE290"/>
    <w:rsid w:val="CB7F9AB7"/>
    <w:rsid w:val="CB9F6DEF"/>
    <w:rsid w:val="CB9FB33A"/>
    <w:rsid w:val="CBD19348"/>
    <w:rsid w:val="CBDD8869"/>
    <w:rsid w:val="CBDF33D8"/>
    <w:rsid w:val="CBEF1009"/>
    <w:rsid w:val="CBF3119E"/>
    <w:rsid w:val="CBF540B3"/>
    <w:rsid w:val="CBFC9DE7"/>
    <w:rsid w:val="CBFD8454"/>
    <w:rsid w:val="CBFF3F28"/>
    <w:rsid w:val="CBFF8176"/>
    <w:rsid w:val="CC6F78FA"/>
    <w:rsid w:val="CC7D38E7"/>
    <w:rsid w:val="CCFEA851"/>
    <w:rsid w:val="CD3E2746"/>
    <w:rsid w:val="CD4F8FB0"/>
    <w:rsid w:val="CD662B49"/>
    <w:rsid w:val="CD6D1826"/>
    <w:rsid w:val="CD6FF706"/>
    <w:rsid w:val="CD7D4017"/>
    <w:rsid w:val="CD7F500E"/>
    <w:rsid w:val="CD8EA440"/>
    <w:rsid w:val="CD9F22CD"/>
    <w:rsid w:val="CD9FCF49"/>
    <w:rsid w:val="CDA5D5F5"/>
    <w:rsid w:val="CDBDD74C"/>
    <w:rsid w:val="CDBDE552"/>
    <w:rsid w:val="CDDF8B22"/>
    <w:rsid w:val="CDE7D8E0"/>
    <w:rsid w:val="CDEAEF70"/>
    <w:rsid w:val="CDEEC0C9"/>
    <w:rsid w:val="CDEF3B66"/>
    <w:rsid w:val="CDF5A464"/>
    <w:rsid w:val="CDF712B3"/>
    <w:rsid w:val="CDFBD5E1"/>
    <w:rsid w:val="CDFF12F9"/>
    <w:rsid w:val="CDFF3DD2"/>
    <w:rsid w:val="CDFF76C6"/>
    <w:rsid w:val="CE6D9DC3"/>
    <w:rsid w:val="CE7FB194"/>
    <w:rsid w:val="CE7FEC1D"/>
    <w:rsid w:val="CE9B74DE"/>
    <w:rsid w:val="CEAB23C6"/>
    <w:rsid w:val="CEBBCB30"/>
    <w:rsid w:val="CEBE2720"/>
    <w:rsid w:val="CECE8FA5"/>
    <w:rsid w:val="CED7B690"/>
    <w:rsid w:val="CEDC2074"/>
    <w:rsid w:val="CEDF1290"/>
    <w:rsid w:val="CEDF298B"/>
    <w:rsid w:val="CEDF2FD3"/>
    <w:rsid w:val="CEDFF444"/>
    <w:rsid w:val="CEE57B91"/>
    <w:rsid w:val="CEEC42AE"/>
    <w:rsid w:val="CEED96D6"/>
    <w:rsid w:val="CEEDCC54"/>
    <w:rsid w:val="CEFA792E"/>
    <w:rsid w:val="CEFC91ED"/>
    <w:rsid w:val="CEFD3C1A"/>
    <w:rsid w:val="CEFD5E6F"/>
    <w:rsid w:val="CEFF003D"/>
    <w:rsid w:val="CEFF24EB"/>
    <w:rsid w:val="CEFF30C8"/>
    <w:rsid w:val="CEFF3311"/>
    <w:rsid w:val="CF08C3DC"/>
    <w:rsid w:val="CF0EC0BD"/>
    <w:rsid w:val="CF0F6402"/>
    <w:rsid w:val="CF1FD870"/>
    <w:rsid w:val="CF3B7921"/>
    <w:rsid w:val="CF488A12"/>
    <w:rsid w:val="CF56BF51"/>
    <w:rsid w:val="CF5B0E12"/>
    <w:rsid w:val="CF5F9DA5"/>
    <w:rsid w:val="CF65BAFF"/>
    <w:rsid w:val="CF75A895"/>
    <w:rsid w:val="CF7B9E57"/>
    <w:rsid w:val="CF7C0820"/>
    <w:rsid w:val="CF7E2F9C"/>
    <w:rsid w:val="CF7F1CEC"/>
    <w:rsid w:val="CF7F6D2C"/>
    <w:rsid w:val="CF7FB5A2"/>
    <w:rsid w:val="CF7FB95E"/>
    <w:rsid w:val="CF7FD4F2"/>
    <w:rsid w:val="CF7FDBF1"/>
    <w:rsid w:val="CF8FCD8F"/>
    <w:rsid w:val="CF97FCD8"/>
    <w:rsid w:val="CF9D0840"/>
    <w:rsid w:val="CF9F07C0"/>
    <w:rsid w:val="CF9F615E"/>
    <w:rsid w:val="CFAEA30C"/>
    <w:rsid w:val="CFAEB7EA"/>
    <w:rsid w:val="CFBB180C"/>
    <w:rsid w:val="CFBD6890"/>
    <w:rsid w:val="CFBF98F8"/>
    <w:rsid w:val="CFBFCCF4"/>
    <w:rsid w:val="CFC700FF"/>
    <w:rsid w:val="CFCD847B"/>
    <w:rsid w:val="CFCECD68"/>
    <w:rsid w:val="CFCFD0F2"/>
    <w:rsid w:val="CFD1C846"/>
    <w:rsid w:val="CFD6F823"/>
    <w:rsid w:val="CFD75511"/>
    <w:rsid w:val="CFDB7821"/>
    <w:rsid w:val="CFDBF1B9"/>
    <w:rsid w:val="CFDE4430"/>
    <w:rsid w:val="CFE38E3F"/>
    <w:rsid w:val="CFEB9D24"/>
    <w:rsid w:val="CFECB46E"/>
    <w:rsid w:val="CFEDE7BE"/>
    <w:rsid w:val="CFEE44AD"/>
    <w:rsid w:val="CFEEA5A0"/>
    <w:rsid w:val="CFEEC8B3"/>
    <w:rsid w:val="CFF3F23A"/>
    <w:rsid w:val="CFF7B1B8"/>
    <w:rsid w:val="CFF7B7A1"/>
    <w:rsid w:val="CFFB1D84"/>
    <w:rsid w:val="CFFB3C87"/>
    <w:rsid w:val="CFFB901A"/>
    <w:rsid w:val="CFFD7825"/>
    <w:rsid w:val="CFFE07B8"/>
    <w:rsid w:val="CFFE5CD4"/>
    <w:rsid w:val="CFFE97FE"/>
    <w:rsid w:val="CFFF3B43"/>
    <w:rsid w:val="CFFF8D1E"/>
    <w:rsid w:val="CFFFBD02"/>
    <w:rsid w:val="CFFFD984"/>
    <w:rsid w:val="D032183F"/>
    <w:rsid w:val="D08FBFF1"/>
    <w:rsid w:val="D0FF47FB"/>
    <w:rsid w:val="D0FF5CB5"/>
    <w:rsid w:val="D17E7984"/>
    <w:rsid w:val="D19F0397"/>
    <w:rsid w:val="D1A4683A"/>
    <w:rsid w:val="D1AD78F2"/>
    <w:rsid w:val="D1BAE50D"/>
    <w:rsid w:val="D1FC379E"/>
    <w:rsid w:val="D1FC7083"/>
    <w:rsid w:val="D1FFD626"/>
    <w:rsid w:val="D217657B"/>
    <w:rsid w:val="D25D76AD"/>
    <w:rsid w:val="D27B3856"/>
    <w:rsid w:val="D27EC324"/>
    <w:rsid w:val="D27FEF3E"/>
    <w:rsid w:val="D2A80363"/>
    <w:rsid w:val="D2B56905"/>
    <w:rsid w:val="D2BF0891"/>
    <w:rsid w:val="D2BF0FAE"/>
    <w:rsid w:val="D2DFC2FE"/>
    <w:rsid w:val="D2E376A3"/>
    <w:rsid w:val="D2EFA788"/>
    <w:rsid w:val="D2F3A7D8"/>
    <w:rsid w:val="D2FC16D0"/>
    <w:rsid w:val="D31F5246"/>
    <w:rsid w:val="D32F651B"/>
    <w:rsid w:val="D337CC39"/>
    <w:rsid w:val="D33AB463"/>
    <w:rsid w:val="D351727A"/>
    <w:rsid w:val="D3795EFB"/>
    <w:rsid w:val="D37F5DF2"/>
    <w:rsid w:val="D37FC2FE"/>
    <w:rsid w:val="D38F2A53"/>
    <w:rsid w:val="D3996052"/>
    <w:rsid w:val="D39D74DD"/>
    <w:rsid w:val="D3A9B476"/>
    <w:rsid w:val="D3AF8546"/>
    <w:rsid w:val="D3BAF066"/>
    <w:rsid w:val="D3BDC5BC"/>
    <w:rsid w:val="D3C7ACAE"/>
    <w:rsid w:val="D3D9E1AF"/>
    <w:rsid w:val="D3DE88FD"/>
    <w:rsid w:val="D3DECD46"/>
    <w:rsid w:val="D3DFD7CF"/>
    <w:rsid w:val="D3E31DEC"/>
    <w:rsid w:val="D3EB6F1C"/>
    <w:rsid w:val="D3EBC8B8"/>
    <w:rsid w:val="D3EFD35A"/>
    <w:rsid w:val="D3F06B16"/>
    <w:rsid w:val="D3F48849"/>
    <w:rsid w:val="D3F786DE"/>
    <w:rsid w:val="D3FB476F"/>
    <w:rsid w:val="D3FD241B"/>
    <w:rsid w:val="D3FF1F91"/>
    <w:rsid w:val="D3FF3A0A"/>
    <w:rsid w:val="D3FFA673"/>
    <w:rsid w:val="D3FFAFE7"/>
    <w:rsid w:val="D4779184"/>
    <w:rsid w:val="D47E10C0"/>
    <w:rsid w:val="D4970E6F"/>
    <w:rsid w:val="D4A77194"/>
    <w:rsid w:val="D4BBACC1"/>
    <w:rsid w:val="D4DA1B49"/>
    <w:rsid w:val="D4DFFB6D"/>
    <w:rsid w:val="D4E3F2A7"/>
    <w:rsid w:val="D4EF2802"/>
    <w:rsid w:val="D4F3EEDC"/>
    <w:rsid w:val="D4FF6202"/>
    <w:rsid w:val="D53B2303"/>
    <w:rsid w:val="D55F056B"/>
    <w:rsid w:val="D55FE98E"/>
    <w:rsid w:val="D578A1CD"/>
    <w:rsid w:val="D57DEFD6"/>
    <w:rsid w:val="D57F8AB6"/>
    <w:rsid w:val="D5972E03"/>
    <w:rsid w:val="D59F584E"/>
    <w:rsid w:val="D5A9EE77"/>
    <w:rsid w:val="D5BD1FB0"/>
    <w:rsid w:val="D5BDCDBA"/>
    <w:rsid w:val="D5DF14C6"/>
    <w:rsid w:val="D5E71562"/>
    <w:rsid w:val="D5EBADE9"/>
    <w:rsid w:val="D5EE77C7"/>
    <w:rsid w:val="D5EF1F3B"/>
    <w:rsid w:val="D5EF405A"/>
    <w:rsid w:val="D5EF5B34"/>
    <w:rsid w:val="D5F3A7B5"/>
    <w:rsid w:val="D5F6BD09"/>
    <w:rsid w:val="D5F6E71F"/>
    <w:rsid w:val="D5F73635"/>
    <w:rsid w:val="D5F7CF8B"/>
    <w:rsid w:val="D5F8A982"/>
    <w:rsid w:val="D5FA72A0"/>
    <w:rsid w:val="D5FFFBC7"/>
    <w:rsid w:val="D65D6313"/>
    <w:rsid w:val="D65FB9C7"/>
    <w:rsid w:val="D67B7B37"/>
    <w:rsid w:val="D67FDCD7"/>
    <w:rsid w:val="D6AF6240"/>
    <w:rsid w:val="D6B6FAC4"/>
    <w:rsid w:val="D6BBEF41"/>
    <w:rsid w:val="D6DCCBD4"/>
    <w:rsid w:val="D6DE14D4"/>
    <w:rsid w:val="D6DF7B83"/>
    <w:rsid w:val="D6DF969B"/>
    <w:rsid w:val="D6EBBA37"/>
    <w:rsid w:val="D6F72B22"/>
    <w:rsid w:val="D6F7E576"/>
    <w:rsid w:val="D6F91309"/>
    <w:rsid w:val="D6FA194C"/>
    <w:rsid w:val="D6FA4B5D"/>
    <w:rsid w:val="D6FAD6EA"/>
    <w:rsid w:val="D6FE87D1"/>
    <w:rsid w:val="D6FF38F2"/>
    <w:rsid w:val="D70F3D52"/>
    <w:rsid w:val="D72FA086"/>
    <w:rsid w:val="D73E2D6F"/>
    <w:rsid w:val="D73F1F29"/>
    <w:rsid w:val="D73F2380"/>
    <w:rsid w:val="D74E6F46"/>
    <w:rsid w:val="D75B8DE0"/>
    <w:rsid w:val="D75E95D1"/>
    <w:rsid w:val="D75FC8D7"/>
    <w:rsid w:val="D76E4607"/>
    <w:rsid w:val="D777F004"/>
    <w:rsid w:val="D77D02EC"/>
    <w:rsid w:val="D77E06CE"/>
    <w:rsid w:val="D77F1A63"/>
    <w:rsid w:val="D77FD221"/>
    <w:rsid w:val="D78FB036"/>
    <w:rsid w:val="D79965E4"/>
    <w:rsid w:val="D7AB5794"/>
    <w:rsid w:val="D7AD1F35"/>
    <w:rsid w:val="D7AD2BA1"/>
    <w:rsid w:val="D7AF9BA6"/>
    <w:rsid w:val="D7B22108"/>
    <w:rsid w:val="D7B5750C"/>
    <w:rsid w:val="D7B58D9B"/>
    <w:rsid w:val="D7B733DB"/>
    <w:rsid w:val="D7BCD1FB"/>
    <w:rsid w:val="D7BFDB4A"/>
    <w:rsid w:val="D7C37500"/>
    <w:rsid w:val="D7C7997B"/>
    <w:rsid w:val="D7CA0BC0"/>
    <w:rsid w:val="D7CF1A74"/>
    <w:rsid w:val="D7CFF9BC"/>
    <w:rsid w:val="D7D3E3E1"/>
    <w:rsid w:val="D7D705D8"/>
    <w:rsid w:val="D7DB1879"/>
    <w:rsid w:val="D7DBF81B"/>
    <w:rsid w:val="D7DCAC2D"/>
    <w:rsid w:val="D7DD7FC1"/>
    <w:rsid w:val="D7DF4BC5"/>
    <w:rsid w:val="D7DFA619"/>
    <w:rsid w:val="D7E2C8FE"/>
    <w:rsid w:val="D7E6182F"/>
    <w:rsid w:val="D7E9A85D"/>
    <w:rsid w:val="D7EB0C27"/>
    <w:rsid w:val="D7EB7FBB"/>
    <w:rsid w:val="D7ED8A97"/>
    <w:rsid w:val="D7EF95FF"/>
    <w:rsid w:val="D7EFAD31"/>
    <w:rsid w:val="D7EFCFB2"/>
    <w:rsid w:val="D7F39539"/>
    <w:rsid w:val="D7F64260"/>
    <w:rsid w:val="D7F7486C"/>
    <w:rsid w:val="D7F7A9B4"/>
    <w:rsid w:val="D7F7B698"/>
    <w:rsid w:val="D7F9F986"/>
    <w:rsid w:val="D7FABA82"/>
    <w:rsid w:val="D7FBC037"/>
    <w:rsid w:val="D7FBE433"/>
    <w:rsid w:val="D7FC23CD"/>
    <w:rsid w:val="D7FCB95E"/>
    <w:rsid w:val="D7FDD176"/>
    <w:rsid w:val="D7FE4A43"/>
    <w:rsid w:val="D7FEA06B"/>
    <w:rsid w:val="D7FF151A"/>
    <w:rsid w:val="D7FF7368"/>
    <w:rsid w:val="D7FFC148"/>
    <w:rsid w:val="D8564A5F"/>
    <w:rsid w:val="D87CA59B"/>
    <w:rsid w:val="D87D1E3B"/>
    <w:rsid w:val="D87FF013"/>
    <w:rsid w:val="D8FFC572"/>
    <w:rsid w:val="D9597670"/>
    <w:rsid w:val="D95E5879"/>
    <w:rsid w:val="D9678E3B"/>
    <w:rsid w:val="D977939F"/>
    <w:rsid w:val="D9B5C898"/>
    <w:rsid w:val="D9BFA871"/>
    <w:rsid w:val="D9CA9CAE"/>
    <w:rsid w:val="D9D7CE79"/>
    <w:rsid w:val="D9DB9F84"/>
    <w:rsid w:val="D9EF5886"/>
    <w:rsid w:val="D9EF7CED"/>
    <w:rsid w:val="D9FB5978"/>
    <w:rsid w:val="D9FBB5E9"/>
    <w:rsid w:val="D9FF15E6"/>
    <w:rsid w:val="D9FF5805"/>
    <w:rsid w:val="D9FFF418"/>
    <w:rsid w:val="DA33875F"/>
    <w:rsid w:val="DA394362"/>
    <w:rsid w:val="DA6F3CAA"/>
    <w:rsid w:val="DA76727E"/>
    <w:rsid w:val="DA7D58B1"/>
    <w:rsid w:val="DA7F3014"/>
    <w:rsid w:val="DA7FEF93"/>
    <w:rsid w:val="DAAF4777"/>
    <w:rsid w:val="DABBB8F0"/>
    <w:rsid w:val="DADF878F"/>
    <w:rsid w:val="DADFC5A1"/>
    <w:rsid w:val="DAE2AF35"/>
    <w:rsid w:val="DAE3BAD8"/>
    <w:rsid w:val="DAE79289"/>
    <w:rsid w:val="DAEDBEF9"/>
    <w:rsid w:val="DAEF0EB8"/>
    <w:rsid w:val="DAEFA0C4"/>
    <w:rsid w:val="DAEFB553"/>
    <w:rsid w:val="DAF7557E"/>
    <w:rsid w:val="DAF97993"/>
    <w:rsid w:val="DAFB5A04"/>
    <w:rsid w:val="DAFB7DB7"/>
    <w:rsid w:val="DAFC42AE"/>
    <w:rsid w:val="DAFC6BB3"/>
    <w:rsid w:val="DAFD9728"/>
    <w:rsid w:val="DAFE6CEA"/>
    <w:rsid w:val="DAFF52CF"/>
    <w:rsid w:val="DB3FB8E0"/>
    <w:rsid w:val="DB493C7A"/>
    <w:rsid w:val="DB4B52DE"/>
    <w:rsid w:val="DB5F3D84"/>
    <w:rsid w:val="DB5FD53C"/>
    <w:rsid w:val="DB6AF8EE"/>
    <w:rsid w:val="DB77B978"/>
    <w:rsid w:val="DB77CD3A"/>
    <w:rsid w:val="DB782E19"/>
    <w:rsid w:val="DB7C297D"/>
    <w:rsid w:val="DB7DFDD1"/>
    <w:rsid w:val="DB7EDC18"/>
    <w:rsid w:val="DB7F691C"/>
    <w:rsid w:val="DB9EC9CD"/>
    <w:rsid w:val="DB9F4119"/>
    <w:rsid w:val="DBA51170"/>
    <w:rsid w:val="DBA79BE4"/>
    <w:rsid w:val="DBAF77A8"/>
    <w:rsid w:val="DBB3F38C"/>
    <w:rsid w:val="DBBA8579"/>
    <w:rsid w:val="DBBB336B"/>
    <w:rsid w:val="DBBC11AD"/>
    <w:rsid w:val="DBBCAD65"/>
    <w:rsid w:val="DBBE553F"/>
    <w:rsid w:val="DBBEA0E4"/>
    <w:rsid w:val="DBBF7ECD"/>
    <w:rsid w:val="DBBFFB4E"/>
    <w:rsid w:val="DBC536B9"/>
    <w:rsid w:val="DBCD446B"/>
    <w:rsid w:val="DBD0088D"/>
    <w:rsid w:val="DBD31130"/>
    <w:rsid w:val="DBD94428"/>
    <w:rsid w:val="DBD9A8CE"/>
    <w:rsid w:val="DBDA65A6"/>
    <w:rsid w:val="DBDB4C62"/>
    <w:rsid w:val="DBDD4EA2"/>
    <w:rsid w:val="DBDFFBB2"/>
    <w:rsid w:val="DBE2280D"/>
    <w:rsid w:val="DBE92090"/>
    <w:rsid w:val="DBEB44B9"/>
    <w:rsid w:val="DBEB5BAC"/>
    <w:rsid w:val="DBEBC470"/>
    <w:rsid w:val="DBEDCFFF"/>
    <w:rsid w:val="DBF5A3CF"/>
    <w:rsid w:val="DBF610EE"/>
    <w:rsid w:val="DBF7639B"/>
    <w:rsid w:val="DBF7CB27"/>
    <w:rsid w:val="DBF7F03B"/>
    <w:rsid w:val="DBF92FF1"/>
    <w:rsid w:val="DBFB1001"/>
    <w:rsid w:val="DBFB9120"/>
    <w:rsid w:val="DBFD25BC"/>
    <w:rsid w:val="DBFDAF7B"/>
    <w:rsid w:val="DBFF008F"/>
    <w:rsid w:val="DBFF22D5"/>
    <w:rsid w:val="DBFF4BC2"/>
    <w:rsid w:val="DBFF8386"/>
    <w:rsid w:val="DBFFA61D"/>
    <w:rsid w:val="DBFFF8F0"/>
    <w:rsid w:val="DC0F37BB"/>
    <w:rsid w:val="DC150FA7"/>
    <w:rsid w:val="DC4D8BE1"/>
    <w:rsid w:val="DC752A75"/>
    <w:rsid w:val="DC7D8671"/>
    <w:rsid w:val="DC7F68B3"/>
    <w:rsid w:val="DC9726DA"/>
    <w:rsid w:val="DC9B4F53"/>
    <w:rsid w:val="DCA70B0A"/>
    <w:rsid w:val="DCB8F542"/>
    <w:rsid w:val="DCBB7AC2"/>
    <w:rsid w:val="DCBBBA6F"/>
    <w:rsid w:val="DCBE5716"/>
    <w:rsid w:val="DCBFCF8F"/>
    <w:rsid w:val="DCDBA5F1"/>
    <w:rsid w:val="DCDD3389"/>
    <w:rsid w:val="DCDE6C99"/>
    <w:rsid w:val="DCED5201"/>
    <w:rsid w:val="DCF7288B"/>
    <w:rsid w:val="DCF78C2C"/>
    <w:rsid w:val="DCF7FF04"/>
    <w:rsid w:val="DCF8967B"/>
    <w:rsid w:val="DCF99883"/>
    <w:rsid w:val="DCFB3AD6"/>
    <w:rsid w:val="DCFB77F6"/>
    <w:rsid w:val="DCFDEB8E"/>
    <w:rsid w:val="DCFE3B72"/>
    <w:rsid w:val="DCFE6DA6"/>
    <w:rsid w:val="DD3B7C73"/>
    <w:rsid w:val="DD3F7AA0"/>
    <w:rsid w:val="DD4FBE13"/>
    <w:rsid w:val="DD5BA363"/>
    <w:rsid w:val="DD67B346"/>
    <w:rsid w:val="DD6BA843"/>
    <w:rsid w:val="DD758119"/>
    <w:rsid w:val="DD7E3C93"/>
    <w:rsid w:val="DD7FC450"/>
    <w:rsid w:val="DD8BF332"/>
    <w:rsid w:val="DD8F85F2"/>
    <w:rsid w:val="DD934592"/>
    <w:rsid w:val="DDA75302"/>
    <w:rsid w:val="DDAD9A4B"/>
    <w:rsid w:val="DDAF804F"/>
    <w:rsid w:val="DDB72313"/>
    <w:rsid w:val="DDB72C4A"/>
    <w:rsid w:val="DDB7D211"/>
    <w:rsid w:val="DDBE13B5"/>
    <w:rsid w:val="DDBF0B20"/>
    <w:rsid w:val="DDBF1C02"/>
    <w:rsid w:val="DDBF8E4E"/>
    <w:rsid w:val="DDBF93BE"/>
    <w:rsid w:val="DDCE8C40"/>
    <w:rsid w:val="DDD1EE38"/>
    <w:rsid w:val="DDD5DAAA"/>
    <w:rsid w:val="DDDB6D9E"/>
    <w:rsid w:val="DDDF0642"/>
    <w:rsid w:val="DDDF5EFB"/>
    <w:rsid w:val="DDE7D307"/>
    <w:rsid w:val="DDE7D5FB"/>
    <w:rsid w:val="DDEADBCE"/>
    <w:rsid w:val="DDEF8956"/>
    <w:rsid w:val="DDF3ABFE"/>
    <w:rsid w:val="DDF3BA98"/>
    <w:rsid w:val="DDF5055C"/>
    <w:rsid w:val="DDF52A56"/>
    <w:rsid w:val="DDF54C32"/>
    <w:rsid w:val="DDF56BAF"/>
    <w:rsid w:val="DDF7ECAF"/>
    <w:rsid w:val="DDF90A80"/>
    <w:rsid w:val="DDFBB77A"/>
    <w:rsid w:val="DDFEDC46"/>
    <w:rsid w:val="DDFF01B7"/>
    <w:rsid w:val="DDFF180B"/>
    <w:rsid w:val="DDFF54F4"/>
    <w:rsid w:val="DDFF8531"/>
    <w:rsid w:val="DDFF9843"/>
    <w:rsid w:val="DDFFCCFC"/>
    <w:rsid w:val="DE0F8EF2"/>
    <w:rsid w:val="DE355D0C"/>
    <w:rsid w:val="DE3FDCA7"/>
    <w:rsid w:val="DE3FFEE6"/>
    <w:rsid w:val="DE4EEFEC"/>
    <w:rsid w:val="DE4F2669"/>
    <w:rsid w:val="DE5F47D8"/>
    <w:rsid w:val="DE5F76B2"/>
    <w:rsid w:val="DE6768C6"/>
    <w:rsid w:val="DE751933"/>
    <w:rsid w:val="DE7583EF"/>
    <w:rsid w:val="DE775ED8"/>
    <w:rsid w:val="DE7F4A8A"/>
    <w:rsid w:val="DE7F755E"/>
    <w:rsid w:val="DE7F7C65"/>
    <w:rsid w:val="DE7F9D4B"/>
    <w:rsid w:val="DE7FD251"/>
    <w:rsid w:val="DE9A3D3D"/>
    <w:rsid w:val="DE9BB855"/>
    <w:rsid w:val="DE9BE658"/>
    <w:rsid w:val="DE9D244B"/>
    <w:rsid w:val="DE9F1F24"/>
    <w:rsid w:val="DEA314C6"/>
    <w:rsid w:val="DEBE6066"/>
    <w:rsid w:val="DEBEDA9D"/>
    <w:rsid w:val="DEBF218C"/>
    <w:rsid w:val="DEBF2B55"/>
    <w:rsid w:val="DEBF6F9D"/>
    <w:rsid w:val="DEBF7969"/>
    <w:rsid w:val="DEBFB5FC"/>
    <w:rsid w:val="DECF6DD5"/>
    <w:rsid w:val="DED1B8ED"/>
    <w:rsid w:val="DEDB332D"/>
    <w:rsid w:val="DEDEFDD9"/>
    <w:rsid w:val="DEDF9E5F"/>
    <w:rsid w:val="DEDFE5D0"/>
    <w:rsid w:val="DEE3B708"/>
    <w:rsid w:val="DEE5D09C"/>
    <w:rsid w:val="DEE9036F"/>
    <w:rsid w:val="DEED4CA0"/>
    <w:rsid w:val="DEEE2A7A"/>
    <w:rsid w:val="DEF13FA6"/>
    <w:rsid w:val="DEF3CA1B"/>
    <w:rsid w:val="DEF6AA9B"/>
    <w:rsid w:val="DEF72D85"/>
    <w:rsid w:val="DEF75579"/>
    <w:rsid w:val="DEF902EB"/>
    <w:rsid w:val="DEF9C360"/>
    <w:rsid w:val="DEFB1549"/>
    <w:rsid w:val="DEFBB5D4"/>
    <w:rsid w:val="DEFBF8D2"/>
    <w:rsid w:val="DEFD47B0"/>
    <w:rsid w:val="DEFF16C7"/>
    <w:rsid w:val="DEFF1EAC"/>
    <w:rsid w:val="DEFF288A"/>
    <w:rsid w:val="DEFF40A7"/>
    <w:rsid w:val="DEFF4BED"/>
    <w:rsid w:val="DEFF63CB"/>
    <w:rsid w:val="DEFF7DBC"/>
    <w:rsid w:val="DEFFB5BA"/>
    <w:rsid w:val="DEFFCBA9"/>
    <w:rsid w:val="DF07429B"/>
    <w:rsid w:val="DF0F500E"/>
    <w:rsid w:val="DF0F530E"/>
    <w:rsid w:val="DF1FD623"/>
    <w:rsid w:val="DF27C736"/>
    <w:rsid w:val="DF2E1B80"/>
    <w:rsid w:val="DF2E7A76"/>
    <w:rsid w:val="DF2E9092"/>
    <w:rsid w:val="DF3AF361"/>
    <w:rsid w:val="DF3D56A9"/>
    <w:rsid w:val="DF3DDE5C"/>
    <w:rsid w:val="DF45E24E"/>
    <w:rsid w:val="DF478627"/>
    <w:rsid w:val="DF4A3CAE"/>
    <w:rsid w:val="DF573AE2"/>
    <w:rsid w:val="DF5B2795"/>
    <w:rsid w:val="DF65C872"/>
    <w:rsid w:val="DF67F8B3"/>
    <w:rsid w:val="DF6AA09D"/>
    <w:rsid w:val="DF6D28F8"/>
    <w:rsid w:val="DF6D3FCD"/>
    <w:rsid w:val="DF6FCC54"/>
    <w:rsid w:val="DF72C5AF"/>
    <w:rsid w:val="DF75067B"/>
    <w:rsid w:val="DF751637"/>
    <w:rsid w:val="DF770162"/>
    <w:rsid w:val="DF7735AC"/>
    <w:rsid w:val="DF773A94"/>
    <w:rsid w:val="DF7748B5"/>
    <w:rsid w:val="DF77E0F4"/>
    <w:rsid w:val="DF7B12E5"/>
    <w:rsid w:val="DF7B1760"/>
    <w:rsid w:val="DF7C1D9E"/>
    <w:rsid w:val="DF7C2980"/>
    <w:rsid w:val="DF7DAEE2"/>
    <w:rsid w:val="DF7DEF07"/>
    <w:rsid w:val="DF7E9CF9"/>
    <w:rsid w:val="DF7F41A1"/>
    <w:rsid w:val="DF7F5B5F"/>
    <w:rsid w:val="DF7F5B7D"/>
    <w:rsid w:val="DF7FACC0"/>
    <w:rsid w:val="DF7FD65A"/>
    <w:rsid w:val="DF83C45C"/>
    <w:rsid w:val="DF870E1E"/>
    <w:rsid w:val="DF8798E3"/>
    <w:rsid w:val="DF8ECAA4"/>
    <w:rsid w:val="DF8FFFEA"/>
    <w:rsid w:val="DF966835"/>
    <w:rsid w:val="DF9B386E"/>
    <w:rsid w:val="DFA15ADD"/>
    <w:rsid w:val="DFA7B53C"/>
    <w:rsid w:val="DFAD2D5A"/>
    <w:rsid w:val="DFAE8C30"/>
    <w:rsid w:val="DFAF2B8A"/>
    <w:rsid w:val="DFAFBE2A"/>
    <w:rsid w:val="DFAFD429"/>
    <w:rsid w:val="DFB315BE"/>
    <w:rsid w:val="DFB4C931"/>
    <w:rsid w:val="DFB58DE9"/>
    <w:rsid w:val="DFB654BB"/>
    <w:rsid w:val="DFB71F21"/>
    <w:rsid w:val="DFB77D0C"/>
    <w:rsid w:val="DFB86760"/>
    <w:rsid w:val="DFBA2258"/>
    <w:rsid w:val="DFBA9BC4"/>
    <w:rsid w:val="DFBB40A0"/>
    <w:rsid w:val="DFBC8810"/>
    <w:rsid w:val="DFBD14ED"/>
    <w:rsid w:val="DFBD3999"/>
    <w:rsid w:val="DFBD5C0A"/>
    <w:rsid w:val="DFBE344D"/>
    <w:rsid w:val="DFBE5164"/>
    <w:rsid w:val="DFBE5CF1"/>
    <w:rsid w:val="DFBE7AF1"/>
    <w:rsid w:val="DFBF3E99"/>
    <w:rsid w:val="DFBF57A4"/>
    <w:rsid w:val="DFBF6196"/>
    <w:rsid w:val="DFBF6706"/>
    <w:rsid w:val="DFBF7A9F"/>
    <w:rsid w:val="DFBF80C0"/>
    <w:rsid w:val="DFBF80DF"/>
    <w:rsid w:val="DFBF8705"/>
    <w:rsid w:val="DFBF92B0"/>
    <w:rsid w:val="DFBFD9B3"/>
    <w:rsid w:val="DFBFDAE7"/>
    <w:rsid w:val="DFBFDBE2"/>
    <w:rsid w:val="DFC8742A"/>
    <w:rsid w:val="DFC92C5E"/>
    <w:rsid w:val="DFCB8620"/>
    <w:rsid w:val="DFCBA3E4"/>
    <w:rsid w:val="DFCD397F"/>
    <w:rsid w:val="DFCD6762"/>
    <w:rsid w:val="DFCD6DD1"/>
    <w:rsid w:val="DFCE338E"/>
    <w:rsid w:val="DFCE768B"/>
    <w:rsid w:val="DFCF5741"/>
    <w:rsid w:val="DFD63D94"/>
    <w:rsid w:val="DFD65E5E"/>
    <w:rsid w:val="DFD71DFD"/>
    <w:rsid w:val="DFD74264"/>
    <w:rsid w:val="DFD77640"/>
    <w:rsid w:val="DFD785BB"/>
    <w:rsid w:val="DFD9D3F6"/>
    <w:rsid w:val="DFDC2B60"/>
    <w:rsid w:val="DFDC5F22"/>
    <w:rsid w:val="DFDCF29B"/>
    <w:rsid w:val="DFDD5916"/>
    <w:rsid w:val="DFDDB447"/>
    <w:rsid w:val="DFDE2A53"/>
    <w:rsid w:val="DFDEC2C7"/>
    <w:rsid w:val="DFDEFB71"/>
    <w:rsid w:val="DFDF0C4A"/>
    <w:rsid w:val="DFDF200F"/>
    <w:rsid w:val="DFDF2597"/>
    <w:rsid w:val="DFDF510A"/>
    <w:rsid w:val="DFDF8800"/>
    <w:rsid w:val="DFDFA10B"/>
    <w:rsid w:val="DFDFC88A"/>
    <w:rsid w:val="DFE48323"/>
    <w:rsid w:val="DFE6726B"/>
    <w:rsid w:val="DFE68D1E"/>
    <w:rsid w:val="DFE7185E"/>
    <w:rsid w:val="DFE73C4B"/>
    <w:rsid w:val="DFE7680F"/>
    <w:rsid w:val="DFE86C04"/>
    <w:rsid w:val="DFE9F7A2"/>
    <w:rsid w:val="DFEB2240"/>
    <w:rsid w:val="DFECA22B"/>
    <w:rsid w:val="DFECB8EF"/>
    <w:rsid w:val="DFED9BE9"/>
    <w:rsid w:val="DFEEED04"/>
    <w:rsid w:val="DFEF10C4"/>
    <w:rsid w:val="DFEF3643"/>
    <w:rsid w:val="DFEF401F"/>
    <w:rsid w:val="DFEF719C"/>
    <w:rsid w:val="DFF36594"/>
    <w:rsid w:val="DFF37F2A"/>
    <w:rsid w:val="DFF3A62B"/>
    <w:rsid w:val="DFF40F65"/>
    <w:rsid w:val="DFF4164A"/>
    <w:rsid w:val="DFF5D5E5"/>
    <w:rsid w:val="DFF63D83"/>
    <w:rsid w:val="DFF6BEEC"/>
    <w:rsid w:val="DFF71AB2"/>
    <w:rsid w:val="DFF71F50"/>
    <w:rsid w:val="DFF72839"/>
    <w:rsid w:val="DFF728B6"/>
    <w:rsid w:val="DFF737DA"/>
    <w:rsid w:val="DFF742DD"/>
    <w:rsid w:val="DFF77B29"/>
    <w:rsid w:val="DFF791F9"/>
    <w:rsid w:val="DFF7D54D"/>
    <w:rsid w:val="DFF7D5E5"/>
    <w:rsid w:val="DFF82FA4"/>
    <w:rsid w:val="DFF90596"/>
    <w:rsid w:val="DFF92FDD"/>
    <w:rsid w:val="DFF931AB"/>
    <w:rsid w:val="DFFA4AB9"/>
    <w:rsid w:val="DFFB0674"/>
    <w:rsid w:val="DFFB11C9"/>
    <w:rsid w:val="DFFB2B93"/>
    <w:rsid w:val="DFFB6137"/>
    <w:rsid w:val="DFFBD270"/>
    <w:rsid w:val="DFFBE0A2"/>
    <w:rsid w:val="DFFCAEBC"/>
    <w:rsid w:val="DFFCD477"/>
    <w:rsid w:val="DFFD22E4"/>
    <w:rsid w:val="DFFD3D3E"/>
    <w:rsid w:val="DFFD3F5B"/>
    <w:rsid w:val="DFFD4C0B"/>
    <w:rsid w:val="DFFD5047"/>
    <w:rsid w:val="DFFD5123"/>
    <w:rsid w:val="DFFD7B92"/>
    <w:rsid w:val="DFFD83EE"/>
    <w:rsid w:val="DFFDAC24"/>
    <w:rsid w:val="DFFDAE43"/>
    <w:rsid w:val="DFFDB0C6"/>
    <w:rsid w:val="DFFE88DD"/>
    <w:rsid w:val="DFFE8D59"/>
    <w:rsid w:val="DFFE8FE4"/>
    <w:rsid w:val="DFFE90CE"/>
    <w:rsid w:val="DFFEAAC5"/>
    <w:rsid w:val="DFFEB7C8"/>
    <w:rsid w:val="DFFF1A70"/>
    <w:rsid w:val="DFFF1FFB"/>
    <w:rsid w:val="DFFF2F98"/>
    <w:rsid w:val="DFFF3793"/>
    <w:rsid w:val="DFFF4085"/>
    <w:rsid w:val="DFFF4EA2"/>
    <w:rsid w:val="DFFF5DE9"/>
    <w:rsid w:val="DFFF5F60"/>
    <w:rsid w:val="DFFF606E"/>
    <w:rsid w:val="DFFF8787"/>
    <w:rsid w:val="DFFF87A5"/>
    <w:rsid w:val="DFFF9E9B"/>
    <w:rsid w:val="DFFFB405"/>
    <w:rsid w:val="DFFFB8F0"/>
    <w:rsid w:val="DFFFB946"/>
    <w:rsid w:val="DFFFC159"/>
    <w:rsid w:val="DFFFD12C"/>
    <w:rsid w:val="E03EDDC4"/>
    <w:rsid w:val="E0CA5C2D"/>
    <w:rsid w:val="E127018C"/>
    <w:rsid w:val="E16EDE1B"/>
    <w:rsid w:val="E17F11D0"/>
    <w:rsid w:val="E1B7063D"/>
    <w:rsid w:val="E1BF30C1"/>
    <w:rsid w:val="E1D75DCE"/>
    <w:rsid w:val="E1DF9A84"/>
    <w:rsid w:val="E1EEEE56"/>
    <w:rsid w:val="E1F4C96B"/>
    <w:rsid w:val="E1F5CDE1"/>
    <w:rsid w:val="E1FC36D9"/>
    <w:rsid w:val="E1FF90AE"/>
    <w:rsid w:val="E2170A11"/>
    <w:rsid w:val="E2AF7DBB"/>
    <w:rsid w:val="E2FF6865"/>
    <w:rsid w:val="E2FFB926"/>
    <w:rsid w:val="E33E081A"/>
    <w:rsid w:val="E36FD574"/>
    <w:rsid w:val="E37444BB"/>
    <w:rsid w:val="E37795B6"/>
    <w:rsid w:val="E37CA91C"/>
    <w:rsid w:val="E37DFFF6"/>
    <w:rsid w:val="E37ECFC5"/>
    <w:rsid w:val="E3B5F62B"/>
    <w:rsid w:val="E3BF08F6"/>
    <w:rsid w:val="E3CF1135"/>
    <w:rsid w:val="E3DB0A07"/>
    <w:rsid w:val="E3DC2822"/>
    <w:rsid w:val="E3E73803"/>
    <w:rsid w:val="E3E9F246"/>
    <w:rsid w:val="E3F63BF3"/>
    <w:rsid w:val="E3FD3F0E"/>
    <w:rsid w:val="E49F4418"/>
    <w:rsid w:val="E4A3366F"/>
    <w:rsid w:val="E4F84A6F"/>
    <w:rsid w:val="E4FDBDA0"/>
    <w:rsid w:val="E555F7A6"/>
    <w:rsid w:val="E55FD989"/>
    <w:rsid w:val="E56EF5C1"/>
    <w:rsid w:val="E5ABA528"/>
    <w:rsid w:val="E5BE6BF6"/>
    <w:rsid w:val="E5BF45E8"/>
    <w:rsid w:val="E5DF8F29"/>
    <w:rsid w:val="E5F7F584"/>
    <w:rsid w:val="E5FD6140"/>
    <w:rsid w:val="E5FE874F"/>
    <w:rsid w:val="E5FE8E85"/>
    <w:rsid w:val="E5FEE509"/>
    <w:rsid w:val="E5FF1C92"/>
    <w:rsid w:val="E5FF657C"/>
    <w:rsid w:val="E5FFB32E"/>
    <w:rsid w:val="E5FFCF8E"/>
    <w:rsid w:val="E617D1BC"/>
    <w:rsid w:val="E638AFF4"/>
    <w:rsid w:val="E63B3246"/>
    <w:rsid w:val="E6554737"/>
    <w:rsid w:val="E65B9306"/>
    <w:rsid w:val="E66F0629"/>
    <w:rsid w:val="E677993A"/>
    <w:rsid w:val="E67D9BFF"/>
    <w:rsid w:val="E67DF327"/>
    <w:rsid w:val="E67F7063"/>
    <w:rsid w:val="E6B7DD9E"/>
    <w:rsid w:val="E6BCB06C"/>
    <w:rsid w:val="E6BFADD6"/>
    <w:rsid w:val="E6DD6EFE"/>
    <w:rsid w:val="E6DE446D"/>
    <w:rsid w:val="E6DEB017"/>
    <w:rsid w:val="E6DF2118"/>
    <w:rsid w:val="E6DF7EF3"/>
    <w:rsid w:val="E6DFE156"/>
    <w:rsid w:val="E6E174B2"/>
    <w:rsid w:val="E6EACECC"/>
    <w:rsid w:val="E6F93F4B"/>
    <w:rsid w:val="E6FA46A0"/>
    <w:rsid w:val="E6FA9369"/>
    <w:rsid w:val="E6FD5BCF"/>
    <w:rsid w:val="E6FDBD19"/>
    <w:rsid w:val="E6FEA6C8"/>
    <w:rsid w:val="E6FED7E0"/>
    <w:rsid w:val="E71A23B6"/>
    <w:rsid w:val="E733043F"/>
    <w:rsid w:val="E73CB14B"/>
    <w:rsid w:val="E73FDC43"/>
    <w:rsid w:val="E74F15FC"/>
    <w:rsid w:val="E751D447"/>
    <w:rsid w:val="E755754F"/>
    <w:rsid w:val="E756E2FF"/>
    <w:rsid w:val="E7575C26"/>
    <w:rsid w:val="E757C9E0"/>
    <w:rsid w:val="E75F0B8D"/>
    <w:rsid w:val="E75F0FA8"/>
    <w:rsid w:val="E75FE951"/>
    <w:rsid w:val="E75FF77B"/>
    <w:rsid w:val="E76B5794"/>
    <w:rsid w:val="E777D610"/>
    <w:rsid w:val="E779BCCB"/>
    <w:rsid w:val="E779DD83"/>
    <w:rsid w:val="E77B1A48"/>
    <w:rsid w:val="E77C54E1"/>
    <w:rsid w:val="E77E897D"/>
    <w:rsid w:val="E77F1611"/>
    <w:rsid w:val="E77FBFFA"/>
    <w:rsid w:val="E77FC2A9"/>
    <w:rsid w:val="E77FE929"/>
    <w:rsid w:val="E78E6140"/>
    <w:rsid w:val="E7A79B51"/>
    <w:rsid w:val="E7AF6695"/>
    <w:rsid w:val="E7B3ABB4"/>
    <w:rsid w:val="E7B76500"/>
    <w:rsid w:val="E7B772D8"/>
    <w:rsid w:val="E7B7A448"/>
    <w:rsid w:val="E7BB2BEC"/>
    <w:rsid w:val="E7BCEBD8"/>
    <w:rsid w:val="E7BFE45A"/>
    <w:rsid w:val="E7CA4308"/>
    <w:rsid w:val="E7CF7AE7"/>
    <w:rsid w:val="E7CF7BD1"/>
    <w:rsid w:val="E7CFAD9C"/>
    <w:rsid w:val="E7D53D81"/>
    <w:rsid w:val="E7D5B6DB"/>
    <w:rsid w:val="E7D717E9"/>
    <w:rsid w:val="E7DB3C87"/>
    <w:rsid w:val="E7DD64D0"/>
    <w:rsid w:val="E7DE5F7B"/>
    <w:rsid w:val="E7DEFB1F"/>
    <w:rsid w:val="E7DF27BF"/>
    <w:rsid w:val="E7E3BD7F"/>
    <w:rsid w:val="E7E72387"/>
    <w:rsid w:val="E7E7328C"/>
    <w:rsid w:val="E7E77DAF"/>
    <w:rsid w:val="E7E866A1"/>
    <w:rsid w:val="E7EBEC7C"/>
    <w:rsid w:val="E7ED0785"/>
    <w:rsid w:val="E7ED3808"/>
    <w:rsid w:val="E7EDCB82"/>
    <w:rsid w:val="E7F23E33"/>
    <w:rsid w:val="E7F49368"/>
    <w:rsid w:val="E7F5176C"/>
    <w:rsid w:val="E7F5A619"/>
    <w:rsid w:val="E7F5E275"/>
    <w:rsid w:val="E7F659DD"/>
    <w:rsid w:val="E7F73086"/>
    <w:rsid w:val="E7F76FFE"/>
    <w:rsid w:val="E7F7E5FB"/>
    <w:rsid w:val="E7F85960"/>
    <w:rsid w:val="E7FA0A18"/>
    <w:rsid w:val="E7FB80C3"/>
    <w:rsid w:val="E7FD5470"/>
    <w:rsid w:val="E7FDBEAF"/>
    <w:rsid w:val="E7FE6D2A"/>
    <w:rsid w:val="E7FED467"/>
    <w:rsid w:val="E7FEF70A"/>
    <w:rsid w:val="E7FEFF4A"/>
    <w:rsid w:val="E7FF058E"/>
    <w:rsid w:val="E7FF0AA3"/>
    <w:rsid w:val="E7FF0CF9"/>
    <w:rsid w:val="E7FF38D0"/>
    <w:rsid w:val="E7FF46F5"/>
    <w:rsid w:val="E7FF634A"/>
    <w:rsid w:val="E7FF704F"/>
    <w:rsid w:val="E7FF876B"/>
    <w:rsid w:val="E7FFE885"/>
    <w:rsid w:val="E7FFF0D3"/>
    <w:rsid w:val="E7FFF523"/>
    <w:rsid w:val="E83E3FF8"/>
    <w:rsid w:val="E89D42B1"/>
    <w:rsid w:val="E8BC9A72"/>
    <w:rsid w:val="E8DE8728"/>
    <w:rsid w:val="E8E3393D"/>
    <w:rsid w:val="E8EE3DC7"/>
    <w:rsid w:val="E8FB8D0A"/>
    <w:rsid w:val="E8FF68F4"/>
    <w:rsid w:val="E8FFC74A"/>
    <w:rsid w:val="E8FFD2AB"/>
    <w:rsid w:val="E9371753"/>
    <w:rsid w:val="E96B78CB"/>
    <w:rsid w:val="E96CC6B4"/>
    <w:rsid w:val="E96F5050"/>
    <w:rsid w:val="E9893AD9"/>
    <w:rsid w:val="E9B722B4"/>
    <w:rsid w:val="E9B73B7D"/>
    <w:rsid w:val="E9CBABA9"/>
    <w:rsid w:val="E9CFF296"/>
    <w:rsid w:val="E9D17F4C"/>
    <w:rsid w:val="E9D50BFB"/>
    <w:rsid w:val="E9DE76E5"/>
    <w:rsid w:val="E9E363CF"/>
    <w:rsid w:val="E9E5A1D8"/>
    <w:rsid w:val="E9E7A4C9"/>
    <w:rsid w:val="E9EB7ABB"/>
    <w:rsid w:val="E9FD4DFA"/>
    <w:rsid w:val="E9FDFD55"/>
    <w:rsid w:val="E9FEBEAB"/>
    <w:rsid w:val="E9FEF850"/>
    <w:rsid w:val="E9FF5501"/>
    <w:rsid w:val="E9FFBEBD"/>
    <w:rsid w:val="EA3DEFB6"/>
    <w:rsid w:val="EA591ADA"/>
    <w:rsid w:val="EA63E9BE"/>
    <w:rsid w:val="EA6BDE88"/>
    <w:rsid w:val="EA6DACCF"/>
    <w:rsid w:val="EA771B6E"/>
    <w:rsid w:val="EA7FB4F2"/>
    <w:rsid w:val="EA8FB0C5"/>
    <w:rsid w:val="EA9FCBC0"/>
    <w:rsid w:val="EAACB580"/>
    <w:rsid w:val="EAAEFEF2"/>
    <w:rsid w:val="EAB1517D"/>
    <w:rsid w:val="EAD7C7C6"/>
    <w:rsid w:val="EAD7FD48"/>
    <w:rsid w:val="EADE3C58"/>
    <w:rsid w:val="EADF3BCC"/>
    <w:rsid w:val="EAE779DE"/>
    <w:rsid w:val="EAEB304C"/>
    <w:rsid w:val="EAEB64B9"/>
    <w:rsid w:val="EAEF4C76"/>
    <w:rsid w:val="EAEF584F"/>
    <w:rsid w:val="EAEF8328"/>
    <w:rsid w:val="EAF55B33"/>
    <w:rsid w:val="EAF7A4E5"/>
    <w:rsid w:val="EAF93915"/>
    <w:rsid w:val="EAFF2C7D"/>
    <w:rsid w:val="EAFF6CE7"/>
    <w:rsid w:val="EAFF879D"/>
    <w:rsid w:val="EAFF96BA"/>
    <w:rsid w:val="EB3D234C"/>
    <w:rsid w:val="EB3F3D37"/>
    <w:rsid w:val="EB3F40A8"/>
    <w:rsid w:val="EB3FEED0"/>
    <w:rsid w:val="EB3FFAD9"/>
    <w:rsid w:val="EB494735"/>
    <w:rsid w:val="EB5F19B5"/>
    <w:rsid w:val="EB5FAD0B"/>
    <w:rsid w:val="EB67195E"/>
    <w:rsid w:val="EB67E58E"/>
    <w:rsid w:val="EB68914B"/>
    <w:rsid w:val="EB6F11B2"/>
    <w:rsid w:val="EB6F9281"/>
    <w:rsid w:val="EB734DE3"/>
    <w:rsid w:val="EB7D3F63"/>
    <w:rsid w:val="EB7DD747"/>
    <w:rsid w:val="EB7E6294"/>
    <w:rsid w:val="EB7F0833"/>
    <w:rsid w:val="EB7F4244"/>
    <w:rsid w:val="EB9E927B"/>
    <w:rsid w:val="EBA2D22A"/>
    <w:rsid w:val="EBA70534"/>
    <w:rsid w:val="EBADFD36"/>
    <w:rsid w:val="EBAFAC7E"/>
    <w:rsid w:val="EBB20505"/>
    <w:rsid w:val="EBB7E676"/>
    <w:rsid w:val="EBBD9583"/>
    <w:rsid w:val="EBBDFC5B"/>
    <w:rsid w:val="EBBF3A8C"/>
    <w:rsid w:val="EBBFDE94"/>
    <w:rsid w:val="EBD59987"/>
    <w:rsid w:val="EBDD5B38"/>
    <w:rsid w:val="EBDD653E"/>
    <w:rsid w:val="EBDE68E2"/>
    <w:rsid w:val="EBDED733"/>
    <w:rsid w:val="EBDF0979"/>
    <w:rsid w:val="EBDF691C"/>
    <w:rsid w:val="EBE5DAE3"/>
    <w:rsid w:val="EBE60C5D"/>
    <w:rsid w:val="EBE7FE66"/>
    <w:rsid w:val="EBE94B78"/>
    <w:rsid w:val="EBED3FE1"/>
    <w:rsid w:val="EBEEAD6D"/>
    <w:rsid w:val="EBEF3EDC"/>
    <w:rsid w:val="EBEFDE49"/>
    <w:rsid w:val="EBF2770F"/>
    <w:rsid w:val="EBF5030A"/>
    <w:rsid w:val="EBF7646A"/>
    <w:rsid w:val="EBF784A5"/>
    <w:rsid w:val="EBFAF594"/>
    <w:rsid w:val="EBFB8B79"/>
    <w:rsid w:val="EBFBBA9E"/>
    <w:rsid w:val="EBFBC1A6"/>
    <w:rsid w:val="EBFBD120"/>
    <w:rsid w:val="EBFC2023"/>
    <w:rsid w:val="EBFD4908"/>
    <w:rsid w:val="EBFDD206"/>
    <w:rsid w:val="EBFEEEAA"/>
    <w:rsid w:val="EBFF20B2"/>
    <w:rsid w:val="EBFF3AF2"/>
    <w:rsid w:val="EBFF3D27"/>
    <w:rsid w:val="EBFF904A"/>
    <w:rsid w:val="EBFFA252"/>
    <w:rsid w:val="EBFFC11A"/>
    <w:rsid w:val="EC4DBF53"/>
    <w:rsid w:val="EC5E5A71"/>
    <w:rsid w:val="EC677AE9"/>
    <w:rsid w:val="EC767174"/>
    <w:rsid w:val="EC7F5CFD"/>
    <w:rsid w:val="EC7F87BD"/>
    <w:rsid w:val="EC9E6FCB"/>
    <w:rsid w:val="ECB8EAEE"/>
    <w:rsid w:val="ECBF030F"/>
    <w:rsid w:val="ECD7DD2D"/>
    <w:rsid w:val="ECDD9DD3"/>
    <w:rsid w:val="ECEB8F92"/>
    <w:rsid w:val="ECEBA78A"/>
    <w:rsid w:val="ECF406F1"/>
    <w:rsid w:val="ECFB1F86"/>
    <w:rsid w:val="ECFB46E7"/>
    <w:rsid w:val="ECFF147A"/>
    <w:rsid w:val="ECFFAA46"/>
    <w:rsid w:val="ECFFB52C"/>
    <w:rsid w:val="ED3E6C15"/>
    <w:rsid w:val="ED3F21A3"/>
    <w:rsid w:val="ED4F9C78"/>
    <w:rsid w:val="ED5590BF"/>
    <w:rsid w:val="ED592701"/>
    <w:rsid w:val="ED5F3103"/>
    <w:rsid w:val="ED5FF2F1"/>
    <w:rsid w:val="ED6C5C6C"/>
    <w:rsid w:val="ED732B2A"/>
    <w:rsid w:val="ED736EE2"/>
    <w:rsid w:val="ED73AD75"/>
    <w:rsid w:val="ED77C253"/>
    <w:rsid w:val="ED77DF40"/>
    <w:rsid w:val="ED7B9417"/>
    <w:rsid w:val="ED7BD57F"/>
    <w:rsid w:val="ED7D0E9F"/>
    <w:rsid w:val="ED7D2481"/>
    <w:rsid w:val="ED7D856C"/>
    <w:rsid w:val="EDA6DE4A"/>
    <w:rsid w:val="EDB967E8"/>
    <w:rsid w:val="EDBAC044"/>
    <w:rsid w:val="EDBC2FE7"/>
    <w:rsid w:val="EDBD9FAF"/>
    <w:rsid w:val="EDBDEA90"/>
    <w:rsid w:val="EDBED77A"/>
    <w:rsid w:val="EDBF48CC"/>
    <w:rsid w:val="EDBF56BD"/>
    <w:rsid w:val="EDCF7BE7"/>
    <w:rsid w:val="EDCF9A9D"/>
    <w:rsid w:val="EDD1597C"/>
    <w:rsid w:val="EDD76162"/>
    <w:rsid w:val="EDD8CEE8"/>
    <w:rsid w:val="EDDB0DBC"/>
    <w:rsid w:val="EDDB10C8"/>
    <w:rsid w:val="EDDB12FA"/>
    <w:rsid w:val="EDDD5B3C"/>
    <w:rsid w:val="EDDF5FC9"/>
    <w:rsid w:val="EDDFCA6C"/>
    <w:rsid w:val="EDDFDA76"/>
    <w:rsid w:val="EDDFE594"/>
    <w:rsid w:val="EDE91A26"/>
    <w:rsid w:val="EDE923D6"/>
    <w:rsid w:val="EDEBE8C0"/>
    <w:rsid w:val="EDECD3FE"/>
    <w:rsid w:val="EDED31CD"/>
    <w:rsid w:val="EDEDA687"/>
    <w:rsid w:val="EDEE495D"/>
    <w:rsid w:val="EDEF26E6"/>
    <w:rsid w:val="EDEF6AB1"/>
    <w:rsid w:val="EDEF73C2"/>
    <w:rsid w:val="EDF70AF3"/>
    <w:rsid w:val="EDF70F4D"/>
    <w:rsid w:val="EDF7198E"/>
    <w:rsid w:val="EDF75471"/>
    <w:rsid w:val="EDF769B5"/>
    <w:rsid w:val="EDF7AE6E"/>
    <w:rsid w:val="EDF7C61E"/>
    <w:rsid w:val="EDF8E25E"/>
    <w:rsid w:val="EDF99BF1"/>
    <w:rsid w:val="EDFA151C"/>
    <w:rsid w:val="EDFA7AB3"/>
    <w:rsid w:val="EDFC6770"/>
    <w:rsid w:val="EDFDA4D2"/>
    <w:rsid w:val="EDFDC7E5"/>
    <w:rsid w:val="EDFE05F4"/>
    <w:rsid w:val="EDFE5DF1"/>
    <w:rsid w:val="EDFF05EF"/>
    <w:rsid w:val="EDFF3B47"/>
    <w:rsid w:val="EDFFA9E0"/>
    <w:rsid w:val="EDFFB516"/>
    <w:rsid w:val="EDFFE40B"/>
    <w:rsid w:val="EDFFEF4E"/>
    <w:rsid w:val="EE17FFA5"/>
    <w:rsid w:val="EE3F9EE7"/>
    <w:rsid w:val="EE5AF581"/>
    <w:rsid w:val="EE5C730A"/>
    <w:rsid w:val="EE5FC6EC"/>
    <w:rsid w:val="EE5FD854"/>
    <w:rsid w:val="EE6DAF54"/>
    <w:rsid w:val="EE6F9D7A"/>
    <w:rsid w:val="EE6FAF9B"/>
    <w:rsid w:val="EE73E165"/>
    <w:rsid w:val="EE749BBC"/>
    <w:rsid w:val="EE77FBA4"/>
    <w:rsid w:val="EE7B1AC2"/>
    <w:rsid w:val="EE7B92AD"/>
    <w:rsid w:val="EE7D2824"/>
    <w:rsid w:val="EE7F476F"/>
    <w:rsid w:val="EE7FD662"/>
    <w:rsid w:val="EE87659E"/>
    <w:rsid w:val="EE8B19BD"/>
    <w:rsid w:val="EE8F478D"/>
    <w:rsid w:val="EE936EDA"/>
    <w:rsid w:val="EE97BFA1"/>
    <w:rsid w:val="EE9AD29A"/>
    <w:rsid w:val="EE9F4C0D"/>
    <w:rsid w:val="EEB59926"/>
    <w:rsid w:val="EEB711BE"/>
    <w:rsid w:val="EEBB3EFF"/>
    <w:rsid w:val="EEBC3A4E"/>
    <w:rsid w:val="EEBEFCFF"/>
    <w:rsid w:val="EEBFE2FB"/>
    <w:rsid w:val="EEBFEB38"/>
    <w:rsid w:val="EED53601"/>
    <w:rsid w:val="EED6692C"/>
    <w:rsid w:val="EED7E408"/>
    <w:rsid w:val="EEDB24A4"/>
    <w:rsid w:val="EEDB8C48"/>
    <w:rsid w:val="EEDBFB1F"/>
    <w:rsid w:val="EEDD6B8C"/>
    <w:rsid w:val="EEDD7EF0"/>
    <w:rsid w:val="EEDE7E8A"/>
    <w:rsid w:val="EEDF0969"/>
    <w:rsid w:val="EEDF4304"/>
    <w:rsid w:val="EEDF87E3"/>
    <w:rsid w:val="EEDFA3AD"/>
    <w:rsid w:val="EEDFAF44"/>
    <w:rsid w:val="EEDFC5A4"/>
    <w:rsid w:val="EEE7A12D"/>
    <w:rsid w:val="EEEF6737"/>
    <w:rsid w:val="EEEFAA7C"/>
    <w:rsid w:val="EEF399A4"/>
    <w:rsid w:val="EEF599C5"/>
    <w:rsid w:val="EEF66E74"/>
    <w:rsid w:val="EEF71C21"/>
    <w:rsid w:val="EEF7CED0"/>
    <w:rsid w:val="EEF90B5F"/>
    <w:rsid w:val="EEFE5742"/>
    <w:rsid w:val="EEFE5AE2"/>
    <w:rsid w:val="EEFEE180"/>
    <w:rsid w:val="EEFF1B8C"/>
    <w:rsid w:val="EEFF39AA"/>
    <w:rsid w:val="EEFF5A2E"/>
    <w:rsid w:val="EEFFA46F"/>
    <w:rsid w:val="EEFFAF12"/>
    <w:rsid w:val="EEFFF03F"/>
    <w:rsid w:val="EF13B3ED"/>
    <w:rsid w:val="EF171FF7"/>
    <w:rsid w:val="EF174F07"/>
    <w:rsid w:val="EF19798B"/>
    <w:rsid w:val="EF1EF5E6"/>
    <w:rsid w:val="EF1FB974"/>
    <w:rsid w:val="EF1FCD2B"/>
    <w:rsid w:val="EF27B0EE"/>
    <w:rsid w:val="EF2FE0BD"/>
    <w:rsid w:val="EF37F661"/>
    <w:rsid w:val="EF3B1419"/>
    <w:rsid w:val="EF3E991F"/>
    <w:rsid w:val="EF46BA9D"/>
    <w:rsid w:val="EF47F246"/>
    <w:rsid w:val="EF4DCD45"/>
    <w:rsid w:val="EF5655A0"/>
    <w:rsid w:val="EF56ACDB"/>
    <w:rsid w:val="EF570713"/>
    <w:rsid w:val="EF5B0E0D"/>
    <w:rsid w:val="EF5BDB70"/>
    <w:rsid w:val="EF5EA413"/>
    <w:rsid w:val="EF5F7BF6"/>
    <w:rsid w:val="EF5FE2CB"/>
    <w:rsid w:val="EF632440"/>
    <w:rsid w:val="EF6773F5"/>
    <w:rsid w:val="EF6894FD"/>
    <w:rsid w:val="EF68C445"/>
    <w:rsid w:val="EF6B62F9"/>
    <w:rsid w:val="EF6E2F3E"/>
    <w:rsid w:val="EF6FB2AA"/>
    <w:rsid w:val="EF6FB908"/>
    <w:rsid w:val="EF6FCBA1"/>
    <w:rsid w:val="EF74659F"/>
    <w:rsid w:val="EF758F40"/>
    <w:rsid w:val="EF770D42"/>
    <w:rsid w:val="EF77AD84"/>
    <w:rsid w:val="EF77DA6C"/>
    <w:rsid w:val="EF77EEBC"/>
    <w:rsid w:val="EF77FC08"/>
    <w:rsid w:val="EF798464"/>
    <w:rsid w:val="EF7B3752"/>
    <w:rsid w:val="EF7BB58F"/>
    <w:rsid w:val="EF7BE84A"/>
    <w:rsid w:val="EF7C9B5B"/>
    <w:rsid w:val="EF7D46E1"/>
    <w:rsid w:val="EF7D4EB9"/>
    <w:rsid w:val="EF7DD15E"/>
    <w:rsid w:val="EF7DF287"/>
    <w:rsid w:val="EF7E4410"/>
    <w:rsid w:val="EF7F0FEE"/>
    <w:rsid w:val="EF7F228D"/>
    <w:rsid w:val="EF7F4F9B"/>
    <w:rsid w:val="EF7F84D1"/>
    <w:rsid w:val="EF7F9438"/>
    <w:rsid w:val="EF7F9B95"/>
    <w:rsid w:val="EF7FA27C"/>
    <w:rsid w:val="EF7FD905"/>
    <w:rsid w:val="EF7FF057"/>
    <w:rsid w:val="EF7FF078"/>
    <w:rsid w:val="EF7FF58B"/>
    <w:rsid w:val="EF7FFCEF"/>
    <w:rsid w:val="EF8794DB"/>
    <w:rsid w:val="EF88C6DF"/>
    <w:rsid w:val="EF8F09F9"/>
    <w:rsid w:val="EF9946FC"/>
    <w:rsid w:val="EF9C367B"/>
    <w:rsid w:val="EF9CE9CD"/>
    <w:rsid w:val="EF9FC867"/>
    <w:rsid w:val="EF9FF213"/>
    <w:rsid w:val="EFA662F1"/>
    <w:rsid w:val="EFAB6609"/>
    <w:rsid w:val="EFAF1B14"/>
    <w:rsid w:val="EFAF2ED0"/>
    <w:rsid w:val="EFAF3D2B"/>
    <w:rsid w:val="EFAF93CE"/>
    <w:rsid w:val="EFB10A3E"/>
    <w:rsid w:val="EFB18549"/>
    <w:rsid w:val="EFB7BB96"/>
    <w:rsid w:val="EFB89BDD"/>
    <w:rsid w:val="EFBAC859"/>
    <w:rsid w:val="EFBB95E8"/>
    <w:rsid w:val="EFBBB7B4"/>
    <w:rsid w:val="EFBBE838"/>
    <w:rsid w:val="EFBD8FFF"/>
    <w:rsid w:val="EFBE2059"/>
    <w:rsid w:val="EFBE5A1C"/>
    <w:rsid w:val="EFBF172E"/>
    <w:rsid w:val="EFBF45DA"/>
    <w:rsid w:val="EFBF809D"/>
    <w:rsid w:val="EFBF9172"/>
    <w:rsid w:val="EFBFB462"/>
    <w:rsid w:val="EFBFCB82"/>
    <w:rsid w:val="EFBFDC8E"/>
    <w:rsid w:val="EFBFEB87"/>
    <w:rsid w:val="EFC2FAE9"/>
    <w:rsid w:val="EFC5B7DA"/>
    <w:rsid w:val="EFCB56A9"/>
    <w:rsid w:val="EFCBDC8A"/>
    <w:rsid w:val="EFCE88C6"/>
    <w:rsid w:val="EFCF3D26"/>
    <w:rsid w:val="EFCF5412"/>
    <w:rsid w:val="EFD3010C"/>
    <w:rsid w:val="EFD53AC5"/>
    <w:rsid w:val="EFD5773E"/>
    <w:rsid w:val="EFD5DF75"/>
    <w:rsid w:val="EFD6A279"/>
    <w:rsid w:val="EFD7A9DC"/>
    <w:rsid w:val="EFDB1C50"/>
    <w:rsid w:val="EFDB4CC8"/>
    <w:rsid w:val="EFDB7F73"/>
    <w:rsid w:val="EFDBE10B"/>
    <w:rsid w:val="EFDD94C2"/>
    <w:rsid w:val="EFDDC45D"/>
    <w:rsid w:val="EFDDD9CC"/>
    <w:rsid w:val="EFDECFF1"/>
    <w:rsid w:val="EFDF6B06"/>
    <w:rsid w:val="EFDF6F11"/>
    <w:rsid w:val="EFDF7585"/>
    <w:rsid w:val="EFDF7FF5"/>
    <w:rsid w:val="EFDFA073"/>
    <w:rsid w:val="EFDFDE88"/>
    <w:rsid w:val="EFE6319B"/>
    <w:rsid w:val="EFE7A275"/>
    <w:rsid w:val="EFEC3B42"/>
    <w:rsid w:val="EFED723C"/>
    <w:rsid w:val="EFEE1AA6"/>
    <w:rsid w:val="EFEE296D"/>
    <w:rsid w:val="EFEF1AAA"/>
    <w:rsid w:val="EFEFC22F"/>
    <w:rsid w:val="EFEFD5AA"/>
    <w:rsid w:val="EFEFDDDB"/>
    <w:rsid w:val="EFF26D72"/>
    <w:rsid w:val="EFF3CC22"/>
    <w:rsid w:val="EFF3D2B9"/>
    <w:rsid w:val="EFF506F8"/>
    <w:rsid w:val="EFF521DA"/>
    <w:rsid w:val="EFF56869"/>
    <w:rsid w:val="EFF61C53"/>
    <w:rsid w:val="EFF620D1"/>
    <w:rsid w:val="EFF638CB"/>
    <w:rsid w:val="EFF6472D"/>
    <w:rsid w:val="EFF654D3"/>
    <w:rsid w:val="EFF685A2"/>
    <w:rsid w:val="EFF71EA1"/>
    <w:rsid w:val="EFF71FA9"/>
    <w:rsid w:val="EFF756B1"/>
    <w:rsid w:val="EFF7A9FC"/>
    <w:rsid w:val="EFF7AB9F"/>
    <w:rsid w:val="EFF7FAB5"/>
    <w:rsid w:val="EFF7FCA8"/>
    <w:rsid w:val="EFF8C80B"/>
    <w:rsid w:val="EFF8E988"/>
    <w:rsid w:val="EFF9225C"/>
    <w:rsid w:val="EFF99225"/>
    <w:rsid w:val="EFF9F852"/>
    <w:rsid w:val="EFFA568A"/>
    <w:rsid w:val="EFFAA105"/>
    <w:rsid w:val="EFFB01CF"/>
    <w:rsid w:val="EFFB22F4"/>
    <w:rsid w:val="EFFBC814"/>
    <w:rsid w:val="EFFBCBC4"/>
    <w:rsid w:val="EFFC30E4"/>
    <w:rsid w:val="EFFC4F51"/>
    <w:rsid w:val="EFFD3F2E"/>
    <w:rsid w:val="EFFD5D07"/>
    <w:rsid w:val="EFFD9B68"/>
    <w:rsid w:val="EFFDAF64"/>
    <w:rsid w:val="EFFDB2A2"/>
    <w:rsid w:val="EFFDB6F8"/>
    <w:rsid w:val="EFFE141D"/>
    <w:rsid w:val="EFFE2CC7"/>
    <w:rsid w:val="EFFEAC48"/>
    <w:rsid w:val="EFFF048D"/>
    <w:rsid w:val="EFFF1AE5"/>
    <w:rsid w:val="EFFF1F0C"/>
    <w:rsid w:val="EFFF2979"/>
    <w:rsid w:val="EFFF2BA1"/>
    <w:rsid w:val="EFFF2C83"/>
    <w:rsid w:val="EFFF3630"/>
    <w:rsid w:val="EFFF3902"/>
    <w:rsid w:val="EFFF428B"/>
    <w:rsid w:val="EFFF5951"/>
    <w:rsid w:val="EFFF5B15"/>
    <w:rsid w:val="EFFF60DF"/>
    <w:rsid w:val="EFFF6397"/>
    <w:rsid w:val="EFFF76A2"/>
    <w:rsid w:val="EFFF7A04"/>
    <w:rsid w:val="EFFF8812"/>
    <w:rsid w:val="EFFF8D80"/>
    <w:rsid w:val="EFFF97B4"/>
    <w:rsid w:val="EFFF9942"/>
    <w:rsid w:val="EFFF9FF6"/>
    <w:rsid w:val="EFFFA431"/>
    <w:rsid w:val="EFFFAEE3"/>
    <w:rsid w:val="EFFFB023"/>
    <w:rsid w:val="EFFFB76A"/>
    <w:rsid w:val="EFFFBDCB"/>
    <w:rsid w:val="EFFFF556"/>
    <w:rsid w:val="F0AFD721"/>
    <w:rsid w:val="F0EAFFFB"/>
    <w:rsid w:val="F0FFCF39"/>
    <w:rsid w:val="F15772DB"/>
    <w:rsid w:val="F15D3BC3"/>
    <w:rsid w:val="F1673C50"/>
    <w:rsid w:val="F171E1C7"/>
    <w:rsid w:val="F177D464"/>
    <w:rsid w:val="F17D60F6"/>
    <w:rsid w:val="F19CE844"/>
    <w:rsid w:val="F1BD9459"/>
    <w:rsid w:val="F1BFB516"/>
    <w:rsid w:val="F1DE8E51"/>
    <w:rsid w:val="F1E7BE16"/>
    <w:rsid w:val="F1EF56FF"/>
    <w:rsid w:val="F1EFE80A"/>
    <w:rsid w:val="F1EFE844"/>
    <w:rsid w:val="F1F703F8"/>
    <w:rsid w:val="F1F7E988"/>
    <w:rsid w:val="F1F7F9B9"/>
    <w:rsid w:val="F1FB689A"/>
    <w:rsid w:val="F1FD2100"/>
    <w:rsid w:val="F1FD84B6"/>
    <w:rsid w:val="F1FE46C0"/>
    <w:rsid w:val="F1FFD69F"/>
    <w:rsid w:val="F1FFEDE7"/>
    <w:rsid w:val="F23FCFC2"/>
    <w:rsid w:val="F25542B5"/>
    <w:rsid w:val="F263C4D1"/>
    <w:rsid w:val="F27E5834"/>
    <w:rsid w:val="F2ADD720"/>
    <w:rsid w:val="F2AFB31F"/>
    <w:rsid w:val="F2B95D43"/>
    <w:rsid w:val="F2BACCF1"/>
    <w:rsid w:val="F2BD85A8"/>
    <w:rsid w:val="F2C9F000"/>
    <w:rsid w:val="F2D56F44"/>
    <w:rsid w:val="F2DC5869"/>
    <w:rsid w:val="F2E73C7C"/>
    <w:rsid w:val="F2EAAA74"/>
    <w:rsid w:val="F2EBF7FC"/>
    <w:rsid w:val="F2EF74E5"/>
    <w:rsid w:val="F2EFCD2F"/>
    <w:rsid w:val="F2EFDFC0"/>
    <w:rsid w:val="F2FFC66E"/>
    <w:rsid w:val="F316CC51"/>
    <w:rsid w:val="F31C3325"/>
    <w:rsid w:val="F31F5B86"/>
    <w:rsid w:val="F337878B"/>
    <w:rsid w:val="F33F913F"/>
    <w:rsid w:val="F363DFCB"/>
    <w:rsid w:val="F36DF2D1"/>
    <w:rsid w:val="F36F244F"/>
    <w:rsid w:val="F36FB883"/>
    <w:rsid w:val="F371FE72"/>
    <w:rsid w:val="F376AC7F"/>
    <w:rsid w:val="F37A0409"/>
    <w:rsid w:val="F37A6AA6"/>
    <w:rsid w:val="F37B4267"/>
    <w:rsid w:val="F37CE498"/>
    <w:rsid w:val="F37D8B83"/>
    <w:rsid w:val="F37E7031"/>
    <w:rsid w:val="F37E81F3"/>
    <w:rsid w:val="F37F0F26"/>
    <w:rsid w:val="F37F95EC"/>
    <w:rsid w:val="F3A6921A"/>
    <w:rsid w:val="F3AFE59A"/>
    <w:rsid w:val="F3BADA19"/>
    <w:rsid w:val="F3BEED2A"/>
    <w:rsid w:val="F3BFA05B"/>
    <w:rsid w:val="F3BFAAA6"/>
    <w:rsid w:val="F3CB1285"/>
    <w:rsid w:val="F3CFB31E"/>
    <w:rsid w:val="F3D1C39D"/>
    <w:rsid w:val="F3D3ABEB"/>
    <w:rsid w:val="F3D77CA7"/>
    <w:rsid w:val="F3DB3288"/>
    <w:rsid w:val="F3DB80CC"/>
    <w:rsid w:val="F3DF8C0D"/>
    <w:rsid w:val="F3E131F3"/>
    <w:rsid w:val="F3E3A953"/>
    <w:rsid w:val="F3EAB027"/>
    <w:rsid w:val="F3ED35A9"/>
    <w:rsid w:val="F3F3E2D7"/>
    <w:rsid w:val="F3F5E42A"/>
    <w:rsid w:val="F3F707A8"/>
    <w:rsid w:val="F3F7149E"/>
    <w:rsid w:val="F3F73836"/>
    <w:rsid w:val="F3F7B266"/>
    <w:rsid w:val="F3F9CF73"/>
    <w:rsid w:val="F3FB9DD8"/>
    <w:rsid w:val="F3FBEB3F"/>
    <w:rsid w:val="F3FBF897"/>
    <w:rsid w:val="F3FD3AD6"/>
    <w:rsid w:val="F3FD6D2E"/>
    <w:rsid w:val="F3FD7084"/>
    <w:rsid w:val="F3FEA4E2"/>
    <w:rsid w:val="F3FF0515"/>
    <w:rsid w:val="F3FF0FC6"/>
    <w:rsid w:val="F3FF3D98"/>
    <w:rsid w:val="F3FF4A33"/>
    <w:rsid w:val="F3FF817F"/>
    <w:rsid w:val="F3FF8CD8"/>
    <w:rsid w:val="F3FF9E22"/>
    <w:rsid w:val="F3FFB727"/>
    <w:rsid w:val="F3FFD3E5"/>
    <w:rsid w:val="F3FFDC67"/>
    <w:rsid w:val="F3FFF346"/>
    <w:rsid w:val="F45BF05A"/>
    <w:rsid w:val="F45C948D"/>
    <w:rsid w:val="F4775335"/>
    <w:rsid w:val="F47F64A0"/>
    <w:rsid w:val="F4951A7B"/>
    <w:rsid w:val="F4B3F5B7"/>
    <w:rsid w:val="F4BF0A89"/>
    <w:rsid w:val="F4CF01AF"/>
    <w:rsid w:val="F4CF25AA"/>
    <w:rsid w:val="F4DF4F00"/>
    <w:rsid w:val="F4DF9B73"/>
    <w:rsid w:val="F4E5E0B5"/>
    <w:rsid w:val="F4EC6517"/>
    <w:rsid w:val="F4EE5DE5"/>
    <w:rsid w:val="F4EEE955"/>
    <w:rsid w:val="F4EF2851"/>
    <w:rsid w:val="F4EF5F2E"/>
    <w:rsid w:val="F4F31D26"/>
    <w:rsid w:val="F4F75E02"/>
    <w:rsid w:val="F4F8067B"/>
    <w:rsid w:val="F4FB8CFF"/>
    <w:rsid w:val="F4FED783"/>
    <w:rsid w:val="F4FF4BB2"/>
    <w:rsid w:val="F4FF60FE"/>
    <w:rsid w:val="F4FF784E"/>
    <w:rsid w:val="F4FFD10E"/>
    <w:rsid w:val="F4FFD378"/>
    <w:rsid w:val="F4FFFE49"/>
    <w:rsid w:val="F50B430C"/>
    <w:rsid w:val="F52FB2F1"/>
    <w:rsid w:val="F5376EE5"/>
    <w:rsid w:val="F537E8C9"/>
    <w:rsid w:val="F53F815F"/>
    <w:rsid w:val="F54115C6"/>
    <w:rsid w:val="F54FDD87"/>
    <w:rsid w:val="F55F719C"/>
    <w:rsid w:val="F56988AF"/>
    <w:rsid w:val="F56F503D"/>
    <w:rsid w:val="F56F5B04"/>
    <w:rsid w:val="F5735D1C"/>
    <w:rsid w:val="F577670A"/>
    <w:rsid w:val="F577E657"/>
    <w:rsid w:val="F58A4AFF"/>
    <w:rsid w:val="F59C2FB4"/>
    <w:rsid w:val="F5AF0C64"/>
    <w:rsid w:val="F5AF3BA0"/>
    <w:rsid w:val="F5AFC81B"/>
    <w:rsid w:val="F5AFC82F"/>
    <w:rsid w:val="F5AFD8CA"/>
    <w:rsid w:val="F5B951E1"/>
    <w:rsid w:val="F5BD9589"/>
    <w:rsid w:val="F5BDB28E"/>
    <w:rsid w:val="F5BF0D79"/>
    <w:rsid w:val="F5BF24DA"/>
    <w:rsid w:val="F5BF3DD5"/>
    <w:rsid w:val="F5BFD5C6"/>
    <w:rsid w:val="F5C6816C"/>
    <w:rsid w:val="F5C8BEDA"/>
    <w:rsid w:val="F5CF11D9"/>
    <w:rsid w:val="F5CF6842"/>
    <w:rsid w:val="F5CF8C21"/>
    <w:rsid w:val="F5D63CBD"/>
    <w:rsid w:val="F5D79EB9"/>
    <w:rsid w:val="F5D7A889"/>
    <w:rsid w:val="F5D7B32F"/>
    <w:rsid w:val="F5DA9E6F"/>
    <w:rsid w:val="F5E7D39C"/>
    <w:rsid w:val="F5ED0942"/>
    <w:rsid w:val="F5EEC33F"/>
    <w:rsid w:val="F5F49428"/>
    <w:rsid w:val="F5F609F6"/>
    <w:rsid w:val="F5F64056"/>
    <w:rsid w:val="F5F65A20"/>
    <w:rsid w:val="F5F736F2"/>
    <w:rsid w:val="F5F7B64E"/>
    <w:rsid w:val="F5F81430"/>
    <w:rsid w:val="F5FA4B90"/>
    <w:rsid w:val="F5FBA178"/>
    <w:rsid w:val="F5FBDC15"/>
    <w:rsid w:val="F5FD3B43"/>
    <w:rsid w:val="F5FD4458"/>
    <w:rsid w:val="F5FECD04"/>
    <w:rsid w:val="F5FF5780"/>
    <w:rsid w:val="F5FF6FCB"/>
    <w:rsid w:val="F5FF9C0A"/>
    <w:rsid w:val="F5FFAF3C"/>
    <w:rsid w:val="F5FFE7E2"/>
    <w:rsid w:val="F6125B91"/>
    <w:rsid w:val="F65768F1"/>
    <w:rsid w:val="F65F2F88"/>
    <w:rsid w:val="F65F648E"/>
    <w:rsid w:val="F66B75FF"/>
    <w:rsid w:val="F66BBB5D"/>
    <w:rsid w:val="F66C7B12"/>
    <w:rsid w:val="F676DEC7"/>
    <w:rsid w:val="F67B3826"/>
    <w:rsid w:val="F67B8CCB"/>
    <w:rsid w:val="F67B9AA7"/>
    <w:rsid w:val="F67C2D4C"/>
    <w:rsid w:val="F67FD15C"/>
    <w:rsid w:val="F67FE2BF"/>
    <w:rsid w:val="F68F5605"/>
    <w:rsid w:val="F6970C04"/>
    <w:rsid w:val="F6978A64"/>
    <w:rsid w:val="F6AB1AF8"/>
    <w:rsid w:val="F6B78AD8"/>
    <w:rsid w:val="F6BE81A6"/>
    <w:rsid w:val="F6BF9558"/>
    <w:rsid w:val="F6BFF68A"/>
    <w:rsid w:val="F6CB884B"/>
    <w:rsid w:val="F6CCB9D2"/>
    <w:rsid w:val="F6CF80DC"/>
    <w:rsid w:val="F6D76283"/>
    <w:rsid w:val="F6DDB199"/>
    <w:rsid w:val="F6DED6BA"/>
    <w:rsid w:val="F6DF2BD1"/>
    <w:rsid w:val="F6E5B56B"/>
    <w:rsid w:val="F6E7234D"/>
    <w:rsid w:val="F6EB5A03"/>
    <w:rsid w:val="F6EE0684"/>
    <w:rsid w:val="F6EE19AD"/>
    <w:rsid w:val="F6EF0AC0"/>
    <w:rsid w:val="F6EF3A75"/>
    <w:rsid w:val="F6EF44E3"/>
    <w:rsid w:val="F6EFAF6C"/>
    <w:rsid w:val="F6EFCAAB"/>
    <w:rsid w:val="F6EFE3CE"/>
    <w:rsid w:val="F6F54DEB"/>
    <w:rsid w:val="F6F55BEC"/>
    <w:rsid w:val="F6F69B38"/>
    <w:rsid w:val="F6F789BB"/>
    <w:rsid w:val="F6F9FBA3"/>
    <w:rsid w:val="F6FA016D"/>
    <w:rsid w:val="F6FA2400"/>
    <w:rsid w:val="F6FBE1D2"/>
    <w:rsid w:val="F6FC1164"/>
    <w:rsid w:val="F6FDA7B6"/>
    <w:rsid w:val="F6FDEF71"/>
    <w:rsid w:val="F6FDF20C"/>
    <w:rsid w:val="F6FE9B53"/>
    <w:rsid w:val="F6FEB83C"/>
    <w:rsid w:val="F6FF1E14"/>
    <w:rsid w:val="F6FF314D"/>
    <w:rsid w:val="F6FF64A5"/>
    <w:rsid w:val="F6FF918F"/>
    <w:rsid w:val="F6FFA7B5"/>
    <w:rsid w:val="F6FFA929"/>
    <w:rsid w:val="F6FFC5ED"/>
    <w:rsid w:val="F6FFD99D"/>
    <w:rsid w:val="F701B371"/>
    <w:rsid w:val="F71786C8"/>
    <w:rsid w:val="F727CD1C"/>
    <w:rsid w:val="F7377240"/>
    <w:rsid w:val="F73D52D0"/>
    <w:rsid w:val="F73EB595"/>
    <w:rsid w:val="F73F5C49"/>
    <w:rsid w:val="F73FFDDC"/>
    <w:rsid w:val="F74E23FD"/>
    <w:rsid w:val="F74FED84"/>
    <w:rsid w:val="F75DB8D4"/>
    <w:rsid w:val="F75E0540"/>
    <w:rsid w:val="F75F4D58"/>
    <w:rsid w:val="F765D270"/>
    <w:rsid w:val="F7673A22"/>
    <w:rsid w:val="F767DF10"/>
    <w:rsid w:val="F76B1255"/>
    <w:rsid w:val="F76BC382"/>
    <w:rsid w:val="F76E1E2E"/>
    <w:rsid w:val="F76E4BFC"/>
    <w:rsid w:val="F7735BA6"/>
    <w:rsid w:val="F775BF76"/>
    <w:rsid w:val="F7766972"/>
    <w:rsid w:val="F77A4576"/>
    <w:rsid w:val="F77B8D57"/>
    <w:rsid w:val="F77B917A"/>
    <w:rsid w:val="F77DBA99"/>
    <w:rsid w:val="F77E8FEC"/>
    <w:rsid w:val="F77EB58B"/>
    <w:rsid w:val="F77F0F71"/>
    <w:rsid w:val="F77F513E"/>
    <w:rsid w:val="F77F89FA"/>
    <w:rsid w:val="F77F8A73"/>
    <w:rsid w:val="F77FADE8"/>
    <w:rsid w:val="F77FAFBE"/>
    <w:rsid w:val="F77FC977"/>
    <w:rsid w:val="F77FCAE1"/>
    <w:rsid w:val="F788B92B"/>
    <w:rsid w:val="F78FAA90"/>
    <w:rsid w:val="F79300D9"/>
    <w:rsid w:val="F7943ECB"/>
    <w:rsid w:val="F79536BE"/>
    <w:rsid w:val="F7966DC9"/>
    <w:rsid w:val="F7976575"/>
    <w:rsid w:val="F79B5180"/>
    <w:rsid w:val="F79C7A6A"/>
    <w:rsid w:val="F79E3083"/>
    <w:rsid w:val="F79F2B05"/>
    <w:rsid w:val="F79F4EBD"/>
    <w:rsid w:val="F79F5D75"/>
    <w:rsid w:val="F79F69A3"/>
    <w:rsid w:val="F79F6D92"/>
    <w:rsid w:val="F7A1A395"/>
    <w:rsid w:val="F7A752CB"/>
    <w:rsid w:val="F7A8B7B1"/>
    <w:rsid w:val="F7A99CC5"/>
    <w:rsid w:val="F7ABAF5C"/>
    <w:rsid w:val="F7ABC3FF"/>
    <w:rsid w:val="F7AD6130"/>
    <w:rsid w:val="F7ADB62D"/>
    <w:rsid w:val="F7AE613D"/>
    <w:rsid w:val="F7B70E60"/>
    <w:rsid w:val="F7B7AC92"/>
    <w:rsid w:val="F7B913D6"/>
    <w:rsid w:val="F7B96869"/>
    <w:rsid w:val="F7B9CFB9"/>
    <w:rsid w:val="F7BB375D"/>
    <w:rsid w:val="F7BDD1B8"/>
    <w:rsid w:val="F7BE7BD5"/>
    <w:rsid w:val="F7BEFB20"/>
    <w:rsid w:val="F7BF092B"/>
    <w:rsid w:val="F7BF2B65"/>
    <w:rsid w:val="F7BF71F0"/>
    <w:rsid w:val="F7BF8537"/>
    <w:rsid w:val="F7BF8F81"/>
    <w:rsid w:val="F7BFB09C"/>
    <w:rsid w:val="F7BFCC82"/>
    <w:rsid w:val="F7BFE90B"/>
    <w:rsid w:val="F7BFFBDD"/>
    <w:rsid w:val="F7C737E4"/>
    <w:rsid w:val="F7C7DAF0"/>
    <w:rsid w:val="F7C7F8BB"/>
    <w:rsid w:val="F7C933D0"/>
    <w:rsid w:val="F7CDCB05"/>
    <w:rsid w:val="F7CE12E6"/>
    <w:rsid w:val="F7CF2B73"/>
    <w:rsid w:val="F7CF2ED2"/>
    <w:rsid w:val="F7CF6A39"/>
    <w:rsid w:val="F7CF7502"/>
    <w:rsid w:val="F7CF798E"/>
    <w:rsid w:val="F7CFB94A"/>
    <w:rsid w:val="F7CFC291"/>
    <w:rsid w:val="F7D2D232"/>
    <w:rsid w:val="F7D3EEC0"/>
    <w:rsid w:val="F7D75E35"/>
    <w:rsid w:val="F7DB53C5"/>
    <w:rsid w:val="F7DB7548"/>
    <w:rsid w:val="F7DC744B"/>
    <w:rsid w:val="F7DCD169"/>
    <w:rsid w:val="F7DD0660"/>
    <w:rsid w:val="F7DD3882"/>
    <w:rsid w:val="F7DD5BDC"/>
    <w:rsid w:val="F7DD9E07"/>
    <w:rsid w:val="F7DE3BE3"/>
    <w:rsid w:val="F7DE8008"/>
    <w:rsid w:val="F7DEA6FA"/>
    <w:rsid w:val="F7DEEC59"/>
    <w:rsid w:val="F7DF4FD4"/>
    <w:rsid w:val="F7DF8290"/>
    <w:rsid w:val="F7DFB3D7"/>
    <w:rsid w:val="F7DFBFD2"/>
    <w:rsid w:val="F7DFCE29"/>
    <w:rsid w:val="F7E20026"/>
    <w:rsid w:val="F7E2CE76"/>
    <w:rsid w:val="F7E5F774"/>
    <w:rsid w:val="F7E7BCF6"/>
    <w:rsid w:val="F7E7E794"/>
    <w:rsid w:val="F7E9FE7C"/>
    <w:rsid w:val="F7EB36DF"/>
    <w:rsid w:val="F7EB51EC"/>
    <w:rsid w:val="F7EB5993"/>
    <w:rsid w:val="F7EBBD30"/>
    <w:rsid w:val="F7EBDC5B"/>
    <w:rsid w:val="F7ED18AB"/>
    <w:rsid w:val="F7ED8B00"/>
    <w:rsid w:val="F7EDA18A"/>
    <w:rsid w:val="F7EDC951"/>
    <w:rsid w:val="F7EDF1B2"/>
    <w:rsid w:val="F7EE339E"/>
    <w:rsid w:val="F7EEDCD8"/>
    <w:rsid w:val="F7EF1116"/>
    <w:rsid w:val="F7EF28DC"/>
    <w:rsid w:val="F7EF5A5A"/>
    <w:rsid w:val="F7EF739B"/>
    <w:rsid w:val="F7EF8D92"/>
    <w:rsid w:val="F7EF9C4E"/>
    <w:rsid w:val="F7EFD93E"/>
    <w:rsid w:val="F7EFFF02"/>
    <w:rsid w:val="F7F27998"/>
    <w:rsid w:val="F7F2C658"/>
    <w:rsid w:val="F7F39249"/>
    <w:rsid w:val="F7F3A505"/>
    <w:rsid w:val="F7F567E1"/>
    <w:rsid w:val="F7F56FE3"/>
    <w:rsid w:val="F7F5B888"/>
    <w:rsid w:val="F7F6910C"/>
    <w:rsid w:val="F7F6BDEC"/>
    <w:rsid w:val="F7F6E7B0"/>
    <w:rsid w:val="F7F70583"/>
    <w:rsid w:val="F7F77AC7"/>
    <w:rsid w:val="F7F783BD"/>
    <w:rsid w:val="F7F7BE64"/>
    <w:rsid w:val="F7F7CBA9"/>
    <w:rsid w:val="F7F7E0AE"/>
    <w:rsid w:val="F7F7F17E"/>
    <w:rsid w:val="F7F9C7D2"/>
    <w:rsid w:val="F7FA3639"/>
    <w:rsid w:val="F7FA4643"/>
    <w:rsid w:val="F7FA5625"/>
    <w:rsid w:val="F7FAA04F"/>
    <w:rsid w:val="F7FB0ACC"/>
    <w:rsid w:val="F7FB1149"/>
    <w:rsid w:val="F7FB187A"/>
    <w:rsid w:val="F7FB1A29"/>
    <w:rsid w:val="F7FB2191"/>
    <w:rsid w:val="F7FB3D0E"/>
    <w:rsid w:val="F7FB906D"/>
    <w:rsid w:val="F7FB993F"/>
    <w:rsid w:val="F7FBDF15"/>
    <w:rsid w:val="F7FC82B7"/>
    <w:rsid w:val="F7FCCC0D"/>
    <w:rsid w:val="F7FCE4D3"/>
    <w:rsid w:val="F7FD6F15"/>
    <w:rsid w:val="F7FD8C04"/>
    <w:rsid w:val="F7FD9DCC"/>
    <w:rsid w:val="F7FD9FC3"/>
    <w:rsid w:val="F7FDCBDA"/>
    <w:rsid w:val="F7FDCEEF"/>
    <w:rsid w:val="F7FDCF54"/>
    <w:rsid w:val="F7FDCF8C"/>
    <w:rsid w:val="F7FDD191"/>
    <w:rsid w:val="F7FE08AA"/>
    <w:rsid w:val="F7FE247A"/>
    <w:rsid w:val="F7FE624C"/>
    <w:rsid w:val="F7FE8116"/>
    <w:rsid w:val="F7FE926E"/>
    <w:rsid w:val="F7FEB771"/>
    <w:rsid w:val="F7FEB90C"/>
    <w:rsid w:val="F7FEBA2B"/>
    <w:rsid w:val="F7FF2169"/>
    <w:rsid w:val="F7FF2826"/>
    <w:rsid w:val="F7FF3672"/>
    <w:rsid w:val="F7FF3AC2"/>
    <w:rsid w:val="F7FF3F03"/>
    <w:rsid w:val="F7FF4270"/>
    <w:rsid w:val="F7FF4748"/>
    <w:rsid w:val="F7FF5BB8"/>
    <w:rsid w:val="F7FF6782"/>
    <w:rsid w:val="F7FF74BC"/>
    <w:rsid w:val="F7FF7733"/>
    <w:rsid w:val="F7FF7E96"/>
    <w:rsid w:val="F7FF8122"/>
    <w:rsid w:val="F7FF839C"/>
    <w:rsid w:val="F7FF9CC2"/>
    <w:rsid w:val="F7FFB0A0"/>
    <w:rsid w:val="F7FFB636"/>
    <w:rsid w:val="F7FFC282"/>
    <w:rsid w:val="F7FFC452"/>
    <w:rsid w:val="F7FFC576"/>
    <w:rsid w:val="F7FFE7F9"/>
    <w:rsid w:val="F81E7060"/>
    <w:rsid w:val="F827E531"/>
    <w:rsid w:val="F8472E31"/>
    <w:rsid w:val="F87D815C"/>
    <w:rsid w:val="F897A21C"/>
    <w:rsid w:val="F89B0C3A"/>
    <w:rsid w:val="F8A73AEE"/>
    <w:rsid w:val="F8AEEA0F"/>
    <w:rsid w:val="F8BFB146"/>
    <w:rsid w:val="F8DAF378"/>
    <w:rsid w:val="F8DE3E01"/>
    <w:rsid w:val="F8DF5261"/>
    <w:rsid w:val="F8E3F163"/>
    <w:rsid w:val="F8E40557"/>
    <w:rsid w:val="F8F05E75"/>
    <w:rsid w:val="F8F744FB"/>
    <w:rsid w:val="F8FB110A"/>
    <w:rsid w:val="F8FBB0F2"/>
    <w:rsid w:val="F8FF938B"/>
    <w:rsid w:val="F8FFD846"/>
    <w:rsid w:val="F90DABDC"/>
    <w:rsid w:val="F917B8E0"/>
    <w:rsid w:val="F91B7334"/>
    <w:rsid w:val="F93E8F7A"/>
    <w:rsid w:val="F93F1C52"/>
    <w:rsid w:val="F93F93D9"/>
    <w:rsid w:val="F94CE113"/>
    <w:rsid w:val="F94EE1EE"/>
    <w:rsid w:val="F9568A8F"/>
    <w:rsid w:val="F95F675B"/>
    <w:rsid w:val="F95FC3AE"/>
    <w:rsid w:val="F9661A1E"/>
    <w:rsid w:val="F9693E53"/>
    <w:rsid w:val="F96A6A9F"/>
    <w:rsid w:val="F96E4A25"/>
    <w:rsid w:val="F96FC5F3"/>
    <w:rsid w:val="F96FF8B3"/>
    <w:rsid w:val="F9757619"/>
    <w:rsid w:val="F97BAA8B"/>
    <w:rsid w:val="F97BB961"/>
    <w:rsid w:val="F97F3EA0"/>
    <w:rsid w:val="F97F4570"/>
    <w:rsid w:val="F98F1E36"/>
    <w:rsid w:val="F99DFC67"/>
    <w:rsid w:val="F99FBE58"/>
    <w:rsid w:val="F9ACF208"/>
    <w:rsid w:val="F9AFD7B5"/>
    <w:rsid w:val="F9B3D699"/>
    <w:rsid w:val="F9B72E49"/>
    <w:rsid w:val="F9B765DA"/>
    <w:rsid w:val="F9B7CC4D"/>
    <w:rsid w:val="F9B90DE0"/>
    <w:rsid w:val="F9B9EB4F"/>
    <w:rsid w:val="F9BDCD22"/>
    <w:rsid w:val="F9BE36FB"/>
    <w:rsid w:val="F9BE6849"/>
    <w:rsid w:val="F9C20A66"/>
    <w:rsid w:val="F9C84245"/>
    <w:rsid w:val="F9CBECBB"/>
    <w:rsid w:val="F9CFF72D"/>
    <w:rsid w:val="F9D57E7A"/>
    <w:rsid w:val="F9D88712"/>
    <w:rsid w:val="F9DB012F"/>
    <w:rsid w:val="F9DB3E08"/>
    <w:rsid w:val="F9DE812A"/>
    <w:rsid w:val="F9DF4FE7"/>
    <w:rsid w:val="F9DF7677"/>
    <w:rsid w:val="F9DFD530"/>
    <w:rsid w:val="F9E328F5"/>
    <w:rsid w:val="F9E56B26"/>
    <w:rsid w:val="F9EBEE99"/>
    <w:rsid w:val="F9ED13D4"/>
    <w:rsid w:val="F9EFE23B"/>
    <w:rsid w:val="F9F056B9"/>
    <w:rsid w:val="F9F184E1"/>
    <w:rsid w:val="F9F2915B"/>
    <w:rsid w:val="F9F318C6"/>
    <w:rsid w:val="F9F38245"/>
    <w:rsid w:val="F9F73408"/>
    <w:rsid w:val="F9F79E6C"/>
    <w:rsid w:val="F9F7A76C"/>
    <w:rsid w:val="F9F9B592"/>
    <w:rsid w:val="F9FB7D79"/>
    <w:rsid w:val="F9FB8DFF"/>
    <w:rsid w:val="F9FBC6FF"/>
    <w:rsid w:val="F9FC580A"/>
    <w:rsid w:val="F9FC9186"/>
    <w:rsid w:val="F9FD4B87"/>
    <w:rsid w:val="F9FD4BAE"/>
    <w:rsid w:val="F9FF2AD4"/>
    <w:rsid w:val="F9FF496D"/>
    <w:rsid w:val="F9FF5B47"/>
    <w:rsid w:val="F9FFA2B4"/>
    <w:rsid w:val="F9FFAD9C"/>
    <w:rsid w:val="FA3D33C4"/>
    <w:rsid w:val="FA3E2DDB"/>
    <w:rsid w:val="FA53881E"/>
    <w:rsid w:val="FA5F73D4"/>
    <w:rsid w:val="FA756B62"/>
    <w:rsid w:val="FA7EEA3E"/>
    <w:rsid w:val="FA7F3FD0"/>
    <w:rsid w:val="FA7F46D7"/>
    <w:rsid w:val="FA7F5C51"/>
    <w:rsid w:val="FA7FBB90"/>
    <w:rsid w:val="FA7FF554"/>
    <w:rsid w:val="FA94C948"/>
    <w:rsid w:val="FA9F1C58"/>
    <w:rsid w:val="FA9FF52A"/>
    <w:rsid w:val="FAA6F1EC"/>
    <w:rsid w:val="FAA7169D"/>
    <w:rsid w:val="FAB77E9D"/>
    <w:rsid w:val="FAB8EDAF"/>
    <w:rsid w:val="FABBFCF7"/>
    <w:rsid w:val="FABC0973"/>
    <w:rsid w:val="FABDE3AF"/>
    <w:rsid w:val="FABE5316"/>
    <w:rsid w:val="FABFCCC2"/>
    <w:rsid w:val="FACA1E9D"/>
    <w:rsid w:val="FACE6D02"/>
    <w:rsid w:val="FAD55F22"/>
    <w:rsid w:val="FAD6FD76"/>
    <w:rsid w:val="FAD7F0FF"/>
    <w:rsid w:val="FADDDCB3"/>
    <w:rsid w:val="FADF19A2"/>
    <w:rsid w:val="FADF8B56"/>
    <w:rsid w:val="FAE5A8F9"/>
    <w:rsid w:val="FAEECD0C"/>
    <w:rsid w:val="FAF3A5D3"/>
    <w:rsid w:val="FAF5F652"/>
    <w:rsid w:val="FAF6DACD"/>
    <w:rsid w:val="FAF888FD"/>
    <w:rsid w:val="FAFAE2BF"/>
    <w:rsid w:val="FAFB0710"/>
    <w:rsid w:val="FAFB0A18"/>
    <w:rsid w:val="FAFB1928"/>
    <w:rsid w:val="FAFB2B30"/>
    <w:rsid w:val="FAFB51BA"/>
    <w:rsid w:val="FAFB5B2D"/>
    <w:rsid w:val="FAFD30A5"/>
    <w:rsid w:val="FAFDD540"/>
    <w:rsid w:val="FAFE3E10"/>
    <w:rsid w:val="FAFE9AA4"/>
    <w:rsid w:val="FAFF0198"/>
    <w:rsid w:val="FAFF0BEC"/>
    <w:rsid w:val="FAFFCA3E"/>
    <w:rsid w:val="FAFFE71A"/>
    <w:rsid w:val="FB16C6AA"/>
    <w:rsid w:val="FB1D836F"/>
    <w:rsid w:val="FB1DB26C"/>
    <w:rsid w:val="FB1DDAAA"/>
    <w:rsid w:val="FB23DDAD"/>
    <w:rsid w:val="FB29E39E"/>
    <w:rsid w:val="FB2A9645"/>
    <w:rsid w:val="FB2B9E41"/>
    <w:rsid w:val="FB2BED65"/>
    <w:rsid w:val="FB2E5751"/>
    <w:rsid w:val="FB35AD9F"/>
    <w:rsid w:val="FB36F486"/>
    <w:rsid w:val="FB393139"/>
    <w:rsid w:val="FB3F2F07"/>
    <w:rsid w:val="FB3F4FC3"/>
    <w:rsid w:val="FB46401B"/>
    <w:rsid w:val="FB493598"/>
    <w:rsid w:val="FB49BDCC"/>
    <w:rsid w:val="FB4F7E8F"/>
    <w:rsid w:val="FB4FAFD5"/>
    <w:rsid w:val="FB4FFD41"/>
    <w:rsid w:val="FB5750DF"/>
    <w:rsid w:val="FB57588C"/>
    <w:rsid w:val="FB5B7CBD"/>
    <w:rsid w:val="FB5B8B10"/>
    <w:rsid w:val="FB5EA7F0"/>
    <w:rsid w:val="FB5F0E3C"/>
    <w:rsid w:val="FB5F10AC"/>
    <w:rsid w:val="FB5F4AA9"/>
    <w:rsid w:val="FB5FC8E6"/>
    <w:rsid w:val="FB6B64D5"/>
    <w:rsid w:val="FB6BCB47"/>
    <w:rsid w:val="FB6D3335"/>
    <w:rsid w:val="FB6E4773"/>
    <w:rsid w:val="FB6F5ED9"/>
    <w:rsid w:val="FB6F6F0C"/>
    <w:rsid w:val="FB6F8855"/>
    <w:rsid w:val="FB6FAAEC"/>
    <w:rsid w:val="FB6FB004"/>
    <w:rsid w:val="FB6FCE88"/>
    <w:rsid w:val="FB6FF09C"/>
    <w:rsid w:val="FB7209F4"/>
    <w:rsid w:val="FB75C4C5"/>
    <w:rsid w:val="FB76FC7F"/>
    <w:rsid w:val="FB77EC7B"/>
    <w:rsid w:val="FB79B1E8"/>
    <w:rsid w:val="FB7A2A31"/>
    <w:rsid w:val="FB7B0156"/>
    <w:rsid w:val="FB7B8D2D"/>
    <w:rsid w:val="FB7C31F1"/>
    <w:rsid w:val="FB7D133B"/>
    <w:rsid w:val="FB7D1CA2"/>
    <w:rsid w:val="FB7D3A50"/>
    <w:rsid w:val="FB7D4C81"/>
    <w:rsid w:val="FB7D549F"/>
    <w:rsid w:val="FB7DE8EF"/>
    <w:rsid w:val="FB7F03DD"/>
    <w:rsid w:val="FB7F088E"/>
    <w:rsid w:val="FB7F2414"/>
    <w:rsid w:val="FB7F28DD"/>
    <w:rsid w:val="FB7F5208"/>
    <w:rsid w:val="FB7F7A98"/>
    <w:rsid w:val="FB7FBD0D"/>
    <w:rsid w:val="FB7FDEFD"/>
    <w:rsid w:val="FB7FF884"/>
    <w:rsid w:val="FB8FB558"/>
    <w:rsid w:val="FB8FF95F"/>
    <w:rsid w:val="FB965C40"/>
    <w:rsid w:val="FB97103A"/>
    <w:rsid w:val="FB9BAA1A"/>
    <w:rsid w:val="FB9D62B2"/>
    <w:rsid w:val="FB9D8A2E"/>
    <w:rsid w:val="FB9DC500"/>
    <w:rsid w:val="FB9F61EC"/>
    <w:rsid w:val="FBA5B31B"/>
    <w:rsid w:val="FBABE5A9"/>
    <w:rsid w:val="FBABF038"/>
    <w:rsid w:val="FBAC2074"/>
    <w:rsid w:val="FBAE5A27"/>
    <w:rsid w:val="FBAEC485"/>
    <w:rsid w:val="FBAF6B4C"/>
    <w:rsid w:val="FBAFA65C"/>
    <w:rsid w:val="FBB38A50"/>
    <w:rsid w:val="FBB4BECE"/>
    <w:rsid w:val="FBB646BF"/>
    <w:rsid w:val="FBB73CC0"/>
    <w:rsid w:val="FBBAC57A"/>
    <w:rsid w:val="FBBB368E"/>
    <w:rsid w:val="FBBB447E"/>
    <w:rsid w:val="FBBBBEA2"/>
    <w:rsid w:val="FBBBEE7E"/>
    <w:rsid w:val="FBBD31F1"/>
    <w:rsid w:val="FBBE4BC5"/>
    <w:rsid w:val="FBBE6B5D"/>
    <w:rsid w:val="FBBF0FCE"/>
    <w:rsid w:val="FBBF469C"/>
    <w:rsid w:val="FBBF4C66"/>
    <w:rsid w:val="FBBF66FE"/>
    <w:rsid w:val="FBBF67A5"/>
    <w:rsid w:val="FBBF8F4B"/>
    <w:rsid w:val="FBBF8FBD"/>
    <w:rsid w:val="FBBF941F"/>
    <w:rsid w:val="FBBFAA36"/>
    <w:rsid w:val="FBBFC4D9"/>
    <w:rsid w:val="FBBFEDF6"/>
    <w:rsid w:val="FBBFFEF9"/>
    <w:rsid w:val="FBC21EEB"/>
    <w:rsid w:val="FBC75F6F"/>
    <w:rsid w:val="FBCB45BE"/>
    <w:rsid w:val="FBCDA121"/>
    <w:rsid w:val="FBCE6B2A"/>
    <w:rsid w:val="FBCF396B"/>
    <w:rsid w:val="FBCF3D37"/>
    <w:rsid w:val="FBD07EF4"/>
    <w:rsid w:val="FBD50069"/>
    <w:rsid w:val="FBD654AA"/>
    <w:rsid w:val="FBD6B7AD"/>
    <w:rsid w:val="FBD7BD15"/>
    <w:rsid w:val="FBDAC33F"/>
    <w:rsid w:val="FBDACDB8"/>
    <w:rsid w:val="FBDB2825"/>
    <w:rsid w:val="FBDB74AA"/>
    <w:rsid w:val="FBDBB417"/>
    <w:rsid w:val="FBDC0576"/>
    <w:rsid w:val="FBDD23AA"/>
    <w:rsid w:val="FBDD747D"/>
    <w:rsid w:val="FBDE29A3"/>
    <w:rsid w:val="FBDE2F62"/>
    <w:rsid w:val="FBDE56B9"/>
    <w:rsid w:val="FBDEACD0"/>
    <w:rsid w:val="FBDF2600"/>
    <w:rsid w:val="FBDF31AE"/>
    <w:rsid w:val="FBDF3761"/>
    <w:rsid w:val="FBDF4A5F"/>
    <w:rsid w:val="FBDF50D1"/>
    <w:rsid w:val="FBDF95F3"/>
    <w:rsid w:val="FBDFCAC6"/>
    <w:rsid w:val="FBDFEDB3"/>
    <w:rsid w:val="FBE11843"/>
    <w:rsid w:val="FBE31EC4"/>
    <w:rsid w:val="FBE69463"/>
    <w:rsid w:val="FBE75373"/>
    <w:rsid w:val="FBE7F65E"/>
    <w:rsid w:val="FBE88F50"/>
    <w:rsid w:val="FBE9CD46"/>
    <w:rsid w:val="FBEA8898"/>
    <w:rsid w:val="FBEB096D"/>
    <w:rsid w:val="FBEB22F8"/>
    <w:rsid w:val="FBEC5703"/>
    <w:rsid w:val="FBED5D85"/>
    <w:rsid w:val="FBED6B50"/>
    <w:rsid w:val="FBEDEDCC"/>
    <w:rsid w:val="FBEE070B"/>
    <w:rsid w:val="FBEF1366"/>
    <w:rsid w:val="FBEFADEC"/>
    <w:rsid w:val="FBEFDABC"/>
    <w:rsid w:val="FBEFF96B"/>
    <w:rsid w:val="FBF111AF"/>
    <w:rsid w:val="FBF17D3F"/>
    <w:rsid w:val="FBF357EE"/>
    <w:rsid w:val="FBF39042"/>
    <w:rsid w:val="FBF3E49F"/>
    <w:rsid w:val="FBF3ED3E"/>
    <w:rsid w:val="FBF4E011"/>
    <w:rsid w:val="FBF52B83"/>
    <w:rsid w:val="FBF549BE"/>
    <w:rsid w:val="FBF6BD7E"/>
    <w:rsid w:val="FBF7217A"/>
    <w:rsid w:val="FBF73DA6"/>
    <w:rsid w:val="FBF7885A"/>
    <w:rsid w:val="FBF7AF68"/>
    <w:rsid w:val="FBF7E60F"/>
    <w:rsid w:val="FBF7F812"/>
    <w:rsid w:val="FBF8D58E"/>
    <w:rsid w:val="FBFA3BEE"/>
    <w:rsid w:val="FBFA4E27"/>
    <w:rsid w:val="FBFA6042"/>
    <w:rsid w:val="FBFA97BF"/>
    <w:rsid w:val="FBFAC3F0"/>
    <w:rsid w:val="FBFB0D9D"/>
    <w:rsid w:val="FBFB3B0B"/>
    <w:rsid w:val="FBFB56FF"/>
    <w:rsid w:val="FBFBE25B"/>
    <w:rsid w:val="FBFBF3CC"/>
    <w:rsid w:val="FBFC44A8"/>
    <w:rsid w:val="FBFC8627"/>
    <w:rsid w:val="FBFD4046"/>
    <w:rsid w:val="FBFDD0CE"/>
    <w:rsid w:val="FBFE3A8B"/>
    <w:rsid w:val="FBFE7F0C"/>
    <w:rsid w:val="FBFE9A8A"/>
    <w:rsid w:val="FBFE9F80"/>
    <w:rsid w:val="FBFEBA85"/>
    <w:rsid w:val="FBFEBADC"/>
    <w:rsid w:val="FBFED909"/>
    <w:rsid w:val="FBFF1B66"/>
    <w:rsid w:val="FBFF3BD0"/>
    <w:rsid w:val="FBFF44EE"/>
    <w:rsid w:val="FBFF4A6B"/>
    <w:rsid w:val="FBFF53B6"/>
    <w:rsid w:val="FBFF7902"/>
    <w:rsid w:val="FBFF9851"/>
    <w:rsid w:val="FBFF9B8A"/>
    <w:rsid w:val="FBFF9D6F"/>
    <w:rsid w:val="FBFFA109"/>
    <w:rsid w:val="FBFFA2F5"/>
    <w:rsid w:val="FBFFC86A"/>
    <w:rsid w:val="FBFFC9D4"/>
    <w:rsid w:val="FBFFD5D2"/>
    <w:rsid w:val="FBFFE0B9"/>
    <w:rsid w:val="FBFFEC5D"/>
    <w:rsid w:val="FBFFFBF1"/>
    <w:rsid w:val="FC1D6419"/>
    <w:rsid w:val="FC1F6BF6"/>
    <w:rsid w:val="FC2BAD68"/>
    <w:rsid w:val="FC54447F"/>
    <w:rsid w:val="FC55BB2E"/>
    <w:rsid w:val="FC597C0C"/>
    <w:rsid w:val="FC5C80E7"/>
    <w:rsid w:val="FC5DAB66"/>
    <w:rsid w:val="FC5FCEB7"/>
    <w:rsid w:val="FC5FDEF9"/>
    <w:rsid w:val="FC6C01BC"/>
    <w:rsid w:val="FC6F288E"/>
    <w:rsid w:val="FC755B8A"/>
    <w:rsid w:val="FC764CC7"/>
    <w:rsid w:val="FC773745"/>
    <w:rsid w:val="FC7F2BB9"/>
    <w:rsid w:val="FC7FA6F6"/>
    <w:rsid w:val="FC875553"/>
    <w:rsid w:val="FC998CF7"/>
    <w:rsid w:val="FC9F00C1"/>
    <w:rsid w:val="FC9F1F57"/>
    <w:rsid w:val="FC9F6CCC"/>
    <w:rsid w:val="FCA18663"/>
    <w:rsid w:val="FCAEF536"/>
    <w:rsid w:val="FCB66C01"/>
    <w:rsid w:val="FCBA2C5D"/>
    <w:rsid w:val="FCBB45EC"/>
    <w:rsid w:val="FCBB479A"/>
    <w:rsid w:val="FCBF5D10"/>
    <w:rsid w:val="FCBFD6C3"/>
    <w:rsid w:val="FCBFDC7C"/>
    <w:rsid w:val="FCBFEF5D"/>
    <w:rsid w:val="FCD47E28"/>
    <w:rsid w:val="FCD63620"/>
    <w:rsid w:val="FCD65901"/>
    <w:rsid w:val="FCDC5491"/>
    <w:rsid w:val="FCDF2B88"/>
    <w:rsid w:val="FCDF5029"/>
    <w:rsid w:val="FCDFD23A"/>
    <w:rsid w:val="FCE229B3"/>
    <w:rsid w:val="FCE6C48C"/>
    <w:rsid w:val="FCE7E896"/>
    <w:rsid w:val="FCEBA5BE"/>
    <w:rsid w:val="FCEC874C"/>
    <w:rsid w:val="FCEDE427"/>
    <w:rsid w:val="FCEEF46C"/>
    <w:rsid w:val="FCEF17BD"/>
    <w:rsid w:val="FCEF2A0A"/>
    <w:rsid w:val="FCF425D5"/>
    <w:rsid w:val="FCF61532"/>
    <w:rsid w:val="FCF6AEA5"/>
    <w:rsid w:val="FCF702EC"/>
    <w:rsid w:val="FCF73158"/>
    <w:rsid w:val="FCF73D27"/>
    <w:rsid w:val="FCF7892D"/>
    <w:rsid w:val="FCF81C54"/>
    <w:rsid w:val="FCF93C72"/>
    <w:rsid w:val="FCFACCE8"/>
    <w:rsid w:val="FCFB42F8"/>
    <w:rsid w:val="FCFB5BF8"/>
    <w:rsid w:val="FCFB8DB2"/>
    <w:rsid w:val="FCFCBADC"/>
    <w:rsid w:val="FCFD4111"/>
    <w:rsid w:val="FCFDBB50"/>
    <w:rsid w:val="FCFE29DE"/>
    <w:rsid w:val="FCFE67C4"/>
    <w:rsid w:val="FCFF1C9D"/>
    <w:rsid w:val="FCFF2EF9"/>
    <w:rsid w:val="FCFF8236"/>
    <w:rsid w:val="FCFFB239"/>
    <w:rsid w:val="FCFFB3A0"/>
    <w:rsid w:val="FD16E548"/>
    <w:rsid w:val="FD19C10B"/>
    <w:rsid w:val="FD1F926B"/>
    <w:rsid w:val="FD2E23BF"/>
    <w:rsid w:val="FD370A05"/>
    <w:rsid w:val="FD38E2A8"/>
    <w:rsid w:val="FD3B8B1B"/>
    <w:rsid w:val="FD3B929D"/>
    <w:rsid w:val="FD3C648D"/>
    <w:rsid w:val="FD3E8565"/>
    <w:rsid w:val="FD3EAFDC"/>
    <w:rsid w:val="FD4B32AC"/>
    <w:rsid w:val="FD4D9688"/>
    <w:rsid w:val="FD53F41A"/>
    <w:rsid w:val="FD556270"/>
    <w:rsid w:val="FD570FE5"/>
    <w:rsid w:val="FD58EA43"/>
    <w:rsid w:val="FD5E6B27"/>
    <w:rsid w:val="FD5FC33F"/>
    <w:rsid w:val="FD637319"/>
    <w:rsid w:val="FD66A7CA"/>
    <w:rsid w:val="FD68E9AA"/>
    <w:rsid w:val="FD6A240D"/>
    <w:rsid w:val="FD6D3F50"/>
    <w:rsid w:val="FD6D5840"/>
    <w:rsid w:val="FD6DD498"/>
    <w:rsid w:val="FD6F5FAA"/>
    <w:rsid w:val="FD6F9D24"/>
    <w:rsid w:val="FD733474"/>
    <w:rsid w:val="FD7400F7"/>
    <w:rsid w:val="FD7707FE"/>
    <w:rsid w:val="FD777696"/>
    <w:rsid w:val="FD77910F"/>
    <w:rsid w:val="FD77E930"/>
    <w:rsid w:val="FD77F8F6"/>
    <w:rsid w:val="FD7853DD"/>
    <w:rsid w:val="FD78BC81"/>
    <w:rsid w:val="FD7B6E7C"/>
    <w:rsid w:val="FD7BBB22"/>
    <w:rsid w:val="FD7BD787"/>
    <w:rsid w:val="FD7D4725"/>
    <w:rsid w:val="FD7D5F9F"/>
    <w:rsid w:val="FD7D69CC"/>
    <w:rsid w:val="FD7DC2DA"/>
    <w:rsid w:val="FD7E64FB"/>
    <w:rsid w:val="FD7EB6B8"/>
    <w:rsid w:val="FD7F5408"/>
    <w:rsid w:val="FD7F5CAD"/>
    <w:rsid w:val="FD7F84D0"/>
    <w:rsid w:val="FD7F8B1B"/>
    <w:rsid w:val="FD7F9355"/>
    <w:rsid w:val="FD7FA291"/>
    <w:rsid w:val="FD7FB13F"/>
    <w:rsid w:val="FD7FDD0E"/>
    <w:rsid w:val="FD7FF850"/>
    <w:rsid w:val="FD87CFC2"/>
    <w:rsid w:val="FD8949DE"/>
    <w:rsid w:val="FD8F53AA"/>
    <w:rsid w:val="FD8F71F8"/>
    <w:rsid w:val="FD975279"/>
    <w:rsid w:val="FD97E23F"/>
    <w:rsid w:val="FD987237"/>
    <w:rsid w:val="FD9B9171"/>
    <w:rsid w:val="FD9BD7CD"/>
    <w:rsid w:val="FD9E2B5F"/>
    <w:rsid w:val="FD9E5F49"/>
    <w:rsid w:val="FD9EF0A7"/>
    <w:rsid w:val="FD9F00CE"/>
    <w:rsid w:val="FD9F126A"/>
    <w:rsid w:val="FD9F276A"/>
    <w:rsid w:val="FD9F7F42"/>
    <w:rsid w:val="FDA1CE6E"/>
    <w:rsid w:val="FDA2B3C6"/>
    <w:rsid w:val="FDA60E3D"/>
    <w:rsid w:val="FDA6D544"/>
    <w:rsid w:val="FDA722E7"/>
    <w:rsid w:val="FDA7413C"/>
    <w:rsid w:val="FDAB5752"/>
    <w:rsid w:val="FDABD7D3"/>
    <w:rsid w:val="FDAD7FA4"/>
    <w:rsid w:val="FDADA742"/>
    <w:rsid w:val="FDAE3543"/>
    <w:rsid w:val="FDAE640D"/>
    <w:rsid w:val="FDAE998D"/>
    <w:rsid w:val="FDAF601C"/>
    <w:rsid w:val="FDB59B28"/>
    <w:rsid w:val="FDB5BFDF"/>
    <w:rsid w:val="FDB6430F"/>
    <w:rsid w:val="FDB7171B"/>
    <w:rsid w:val="FDB73528"/>
    <w:rsid w:val="FDB7799F"/>
    <w:rsid w:val="FDB9239C"/>
    <w:rsid w:val="FDB9BC6E"/>
    <w:rsid w:val="FDBA18CF"/>
    <w:rsid w:val="FDBB33EA"/>
    <w:rsid w:val="FDBC7785"/>
    <w:rsid w:val="FDBD05B1"/>
    <w:rsid w:val="FDBD65CF"/>
    <w:rsid w:val="FDBE039A"/>
    <w:rsid w:val="FDBE04B6"/>
    <w:rsid w:val="FDBE738F"/>
    <w:rsid w:val="FDBEAB7A"/>
    <w:rsid w:val="FDBEB817"/>
    <w:rsid w:val="FDBF2E4D"/>
    <w:rsid w:val="FDBF75B9"/>
    <w:rsid w:val="FDBFBADF"/>
    <w:rsid w:val="FDBFBF61"/>
    <w:rsid w:val="FDBFEF64"/>
    <w:rsid w:val="FDBFF06E"/>
    <w:rsid w:val="FDC77718"/>
    <w:rsid w:val="FDC7D6B8"/>
    <w:rsid w:val="FDCB1021"/>
    <w:rsid w:val="FDCB5967"/>
    <w:rsid w:val="FDCD3B00"/>
    <w:rsid w:val="FDCD40DF"/>
    <w:rsid w:val="FDCF6004"/>
    <w:rsid w:val="FDCF7C4A"/>
    <w:rsid w:val="FDD2E0A7"/>
    <w:rsid w:val="FDD39794"/>
    <w:rsid w:val="FDD49A24"/>
    <w:rsid w:val="FDD4A241"/>
    <w:rsid w:val="FDD799E6"/>
    <w:rsid w:val="FDDB8E3F"/>
    <w:rsid w:val="FDDC3847"/>
    <w:rsid w:val="FDDD2705"/>
    <w:rsid w:val="FDDD6867"/>
    <w:rsid w:val="FDDDADA3"/>
    <w:rsid w:val="FDDDF9D4"/>
    <w:rsid w:val="FDDE4216"/>
    <w:rsid w:val="FDDF0873"/>
    <w:rsid w:val="FDDF3B08"/>
    <w:rsid w:val="FDDFAD17"/>
    <w:rsid w:val="FDDFBA31"/>
    <w:rsid w:val="FDE62230"/>
    <w:rsid w:val="FDE71526"/>
    <w:rsid w:val="FDE7D5F4"/>
    <w:rsid w:val="FDE93C99"/>
    <w:rsid w:val="FDEAB529"/>
    <w:rsid w:val="FDEACAFE"/>
    <w:rsid w:val="FDEB08C0"/>
    <w:rsid w:val="FDEB7DAB"/>
    <w:rsid w:val="FDEB8C63"/>
    <w:rsid w:val="FDEBF08E"/>
    <w:rsid w:val="FDED012A"/>
    <w:rsid w:val="FDED1C24"/>
    <w:rsid w:val="FDED98B4"/>
    <w:rsid w:val="FDEDB869"/>
    <w:rsid w:val="FDEDFC9D"/>
    <w:rsid w:val="FDEF11DD"/>
    <w:rsid w:val="FDEF12F9"/>
    <w:rsid w:val="FDEF1D3D"/>
    <w:rsid w:val="FDEF546D"/>
    <w:rsid w:val="FDEF601E"/>
    <w:rsid w:val="FDEF6BE8"/>
    <w:rsid w:val="FDEF8D59"/>
    <w:rsid w:val="FDEF960C"/>
    <w:rsid w:val="FDEF9E22"/>
    <w:rsid w:val="FDEFA403"/>
    <w:rsid w:val="FDEFABBF"/>
    <w:rsid w:val="FDEFB17A"/>
    <w:rsid w:val="FDEFBD92"/>
    <w:rsid w:val="FDEFD974"/>
    <w:rsid w:val="FDEFE185"/>
    <w:rsid w:val="FDF13BAF"/>
    <w:rsid w:val="FDF1B75F"/>
    <w:rsid w:val="FDF2BC66"/>
    <w:rsid w:val="FDF33AEA"/>
    <w:rsid w:val="FDF3A5FD"/>
    <w:rsid w:val="FDF3EB38"/>
    <w:rsid w:val="FDF44066"/>
    <w:rsid w:val="FDF46450"/>
    <w:rsid w:val="FDF4D1B7"/>
    <w:rsid w:val="FDF5B0BA"/>
    <w:rsid w:val="FDF5B943"/>
    <w:rsid w:val="FDF6EB0C"/>
    <w:rsid w:val="FDF6F80B"/>
    <w:rsid w:val="FDF71BA4"/>
    <w:rsid w:val="FDF72772"/>
    <w:rsid w:val="FDF767C9"/>
    <w:rsid w:val="FDF7DBF9"/>
    <w:rsid w:val="FDF7F386"/>
    <w:rsid w:val="FDF94BB1"/>
    <w:rsid w:val="FDF964A5"/>
    <w:rsid w:val="FDFA4B61"/>
    <w:rsid w:val="FDFAA019"/>
    <w:rsid w:val="FDFAED14"/>
    <w:rsid w:val="FDFAEF04"/>
    <w:rsid w:val="FDFAF036"/>
    <w:rsid w:val="FDFAFD9E"/>
    <w:rsid w:val="FDFB077C"/>
    <w:rsid w:val="FDFB1DF9"/>
    <w:rsid w:val="FDFB5DCE"/>
    <w:rsid w:val="FDFB913A"/>
    <w:rsid w:val="FDFBAFBC"/>
    <w:rsid w:val="FDFBEEC1"/>
    <w:rsid w:val="FDFBF57D"/>
    <w:rsid w:val="FDFCE0F0"/>
    <w:rsid w:val="FDFD1318"/>
    <w:rsid w:val="FDFD2C56"/>
    <w:rsid w:val="FDFD4BB6"/>
    <w:rsid w:val="FDFDA2EB"/>
    <w:rsid w:val="FDFDECFD"/>
    <w:rsid w:val="FDFE060F"/>
    <w:rsid w:val="FDFE3E57"/>
    <w:rsid w:val="FDFE4ED2"/>
    <w:rsid w:val="FDFE52E4"/>
    <w:rsid w:val="FDFE706B"/>
    <w:rsid w:val="FDFE9599"/>
    <w:rsid w:val="FDFEEBD1"/>
    <w:rsid w:val="FDFF36E0"/>
    <w:rsid w:val="FDFF4049"/>
    <w:rsid w:val="FDFF459B"/>
    <w:rsid w:val="FDFF7573"/>
    <w:rsid w:val="FDFF7730"/>
    <w:rsid w:val="FDFF7E09"/>
    <w:rsid w:val="FDFF8236"/>
    <w:rsid w:val="FDFF9A5A"/>
    <w:rsid w:val="FDFF9EB9"/>
    <w:rsid w:val="FDFF9EEF"/>
    <w:rsid w:val="FDFFB8BE"/>
    <w:rsid w:val="FDFFBCDE"/>
    <w:rsid w:val="FDFFBD54"/>
    <w:rsid w:val="FDFFBF03"/>
    <w:rsid w:val="FDFFC0C4"/>
    <w:rsid w:val="FDFFCF7B"/>
    <w:rsid w:val="FDFFF8E9"/>
    <w:rsid w:val="FDFFFA92"/>
    <w:rsid w:val="FE1FDFF6"/>
    <w:rsid w:val="FE27EC84"/>
    <w:rsid w:val="FE2EEE4B"/>
    <w:rsid w:val="FE2F274C"/>
    <w:rsid w:val="FE2F5BB0"/>
    <w:rsid w:val="FE333A70"/>
    <w:rsid w:val="FE372ABF"/>
    <w:rsid w:val="FE3BB715"/>
    <w:rsid w:val="FE3DE838"/>
    <w:rsid w:val="FE3E5D81"/>
    <w:rsid w:val="FE3F82BB"/>
    <w:rsid w:val="FE3FCC25"/>
    <w:rsid w:val="FE47BE8B"/>
    <w:rsid w:val="FE4A41BC"/>
    <w:rsid w:val="FE4E689F"/>
    <w:rsid w:val="FE4EDE4C"/>
    <w:rsid w:val="FE4F0AC4"/>
    <w:rsid w:val="FE59DE9B"/>
    <w:rsid w:val="FE5ABA63"/>
    <w:rsid w:val="FE5D02A8"/>
    <w:rsid w:val="FE5D436C"/>
    <w:rsid w:val="FE5EDD35"/>
    <w:rsid w:val="FE5F2B64"/>
    <w:rsid w:val="FE5FB333"/>
    <w:rsid w:val="FE68AF6E"/>
    <w:rsid w:val="FE6F246E"/>
    <w:rsid w:val="FE71BD5C"/>
    <w:rsid w:val="FE73B31F"/>
    <w:rsid w:val="FE755639"/>
    <w:rsid w:val="FE7665F5"/>
    <w:rsid w:val="FE772CEA"/>
    <w:rsid w:val="FE772DDC"/>
    <w:rsid w:val="FE7758EC"/>
    <w:rsid w:val="FE779D5F"/>
    <w:rsid w:val="FE77D9F6"/>
    <w:rsid w:val="FE77F78B"/>
    <w:rsid w:val="FE790818"/>
    <w:rsid w:val="FE790A38"/>
    <w:rsid w:val="FE7D66B3"/>
    <w:rsid w:val="FE7DDD15"/>
    <w:rsid w:val="FE7DE673"/>
    <w:rsid w:val="FE7E1082"/>
    <w:rsid w:val="FE7E596B"/>
    <w:rsid w:val="FE7E691D"/>
    <w:rsid w:val="FE7E7A4F"/>
    <w:rsid w:val="FE7F0BAA"/>
    <w:rsid w:val="FE7F107A"/>
    <w:rsid w:val="FE7F3C57"/>
    <w:rsid w:val="FE7F9273"/>
    <w:rsid w:val="FE7FDA77"/>
    <w:rsid w:val="FE7FEE9E"/>
    <w:rsid w:val="FE8DEFCD"/>
    <w:rsid w:val="FE8F2B32"/>
    <w:rsid w:val="FE9A42C2"/>
    <w:rsid w:val="FE9DF95E"/>
    <w:rsid w:val="FE9F19EF"/>
    <w:rsid w:val="FEA51D3D"/>
    <w:rsid w:val="FEA68A36"/>
    <w:rsid w:val="FEA76042"/>
    <w:rsid w:val="FEA7C901"/>
    <w:rsid w:val="FEAB4085"/>
    <w:rsid w:val="FEACA276"/>
    <w:rsid w:val="FEAD5E29"/>
    <w:rsid w:val="FEAD9887"/>
    <w:rsid w:val="FEAF4D05"/>
    <w:rsid w:val="FEAFFB90"/>
    <w:rsid w:val="FEB1CB7A"/>
    <w:rsid w:val="FEB4A0F7"/>
    <w:rsid w:val="FEB78149"/>
    <w:rsid w:val="FEB7D00C"/>
    <w:rsid w:val="FEBA0A9D"/>
    <w:rsid w:val="FEBA1436"/>
    <w:rsid w:val="FEBAB8B2"/>
    <w:rsid w:val="FEBAEADF"/>
    <w:rsid w:val="FEBB38EA"/>
    <w:rsid w:val="FEBB8116"/>
    <w:rsid w:val="FEBBFC3B"/>
    <w:rsid w:val="FEBD713A"/>
    <w:rsid w:val="FEBD7BA6"/>
    <w:rsid w:val="FEBDC869"/>
    <w:rsid w:val="FEBE1D16"/>
    <w:rsid w:val="FEBEBD19"/>
    <w:rsid w:val="FEBF436A"/>
    <w:rsid w:val="FEBF7857"/>
    <w:rsid w:val="FEBF7A59"/>
    <w:rsid w:val="FEBFB4A4"/>
    <w:rsid w:val="FEBFB7D3"/>
    <w:rsid w:val="FEBFCAAA"/>
    <w:rsid w:val="FEC74BCA"/>
    <w:rsid w:val="FECA3581"/>
    <w:rsid w:val="FECB21DE"/>
    <w:rsid w:val="FECBCC3D"/>
    <w:rsid w:val="FECBFD20"/>
    <w:rsid w:val="FECD18B3"/>
    <w:rsid w:val="FECD954F"/>
    <w:rsid w:val="FECD972B"/>
    <w:rsid w:val="FECDC2B1"/>
    <w:rsid w:val="FECF1690"/>
    <w:rsid w:val="FECFB97D"/>
    <w:rsid w:val="FED384D1"/>
    <w:rsid w:val="FED3EB34"/>
    <w:rsid w:val="FED71581"/>
    <w:rsid w:val="FED890F1"/>
    <w:rsid w:val="FEDB4F28"/>
    <w:rsid w:val="FEDB8470"/>
    <w:rsid w:val="FEDBB997"/>
    <w:rsid w:val="FEDC8369"/>
    <w:rsid w:val="FEDDAC83"/>
    <w:rsid w:val="FEDE5AAF"/>
    <w:rsid w:val="FEDE8986"/>
    <w:rsid w:val="FEDEBA2B"/>
    <w:rsid w:val="FEDF2FAF"/>
    <w:rsid w:val="FEDF3FF8"/>
    <w:rsid w:val="FEDF58B0"/>
    <w:rsid w:val="FEDF6603"/>
    <w:rsid w:val="FEDF90ED"/>
    <w:rsid w:val="FEDFA1ED"/>
    <w:rsid w:val="FEDFABD4"/>
    <w:rsid w:val="FEDFB6CA"/>
    <w:rsid w:val="FEDFB946"/>
    <w:rsid w:val="FEDFC987"/>
    <w:rsid w:val="FEDFE670"/>
    <w:rsid w:val="FEDFFE52"/>
    <w:rsid w:val="FEE33A10"/>
    <w:rsid w:val="FEE733E3"/>
    <w:rsid w:val="FEE73E37"/>
    <w:rsid w:val="FEE7C4AE"/>
    <w:rsid w:val="FEE7DD3C"/>
    <w:rsid w:val="FEE96D12"/>
    <w:rsid w:val="FEED9B31"/>
    <w:rsid w:val="FEEE33E7"/>
    <w:rsid w:val="FEEE3AEA"/>
    <w:rsid w:val="FEEEE2BC"/>
    <w:rsid w:val="FEEEE6E9"/>
    <w:rsid w:val="FEEEEB96"/>
    <w:rsid w:val="FEEF0291"/>
    <w:rsid w:val="FEEF4DA2"/>
    <w:rsid w:val="FEEF70A9"/>
    <w:rsid w:val="FEEF8015"/>
    <w:rsid w:val="FEEF83EF"/>
    <w:rsid w:val="FEEF9371"/>
    <w:rsid w:val="FEEF96EC"/>
    <w:rsid w:val="FEEFAC7B"/>
    <w:rsid w:val="FEEFCA1E"/>
    <w:rsid w:val="FEF0A930"/>
    <w:rsid w:val="FEF0BDE4"/>
    <w:rsid w:val="FEF3E028"/>
    <w:rsid w:val="FEF4AEB0"/>
    <w:rsid w:val="FEF519C9"/>
    <w:rsid w:val="FEF5A1B6"/>
    <w:rsid w:val="FEF60CB7"/>
    <w:rsid w:val="FEF6BDC9"/>
    <w:rsid w:val="FEF7E5C8"/>
    <w:rsid w:val="FEF7F3EB"/>
    <w:rsid w:val="FEF7F73D"/>
    <w:rsid w:val="FEF7FC1D"/>
    <w:rsid w:val="FEF90424"/>
    <w:rsid w:val="FEF92D00"/>
    <w:rsid w:val="FEF940D9"/>
    <w:rsid w:val="FEFA0EA1"/>
    <w:rsid w:val="FEFB5368"/>
    <w:rsid w:val="FEFB69C4"/>
    <w:rsid w:val="FEFB7FF8"/>
    <w:rsid w:val="FEFB9661"/>
    <w:rsid w:val="FEFBD173"/>
    <w:rsid w:val="FEFBD2B5"/>
    <w:rsid w:val="FEFC8C05"/>
    <w:rsid w:val="FEFCA3F6"/>
    <w:rsid w:val="FEFCB62F"/>
    <w:rsid w:val="FEFCC06B"/>
    <w:rsid w:val="FEFCE332"/>
    <w:rsid w:val="FEFD0231"/>
    <w:rsid w:val="FEFD6B0A"/>
    <w:rsid w:val="FEFD906F"/>
    <w:rsid w:val="FEFDAAE2"/>
    <w:rsid w:val="FEFDE67F"/>
    <w:rsid w:val="FEFDEAD6"/>
    <w:rsid w:val="FEFE2CAC"/>
    <w:rsid w:val="FEFE2CCA"/>
    <w:rsid w:val="FEFE725E"/>
    <w:rsid w:val="FEFE96B3"/>
    <w:rsid w:val="FEFF1E81"/>
    <w:rsid w:val="FEFF2D38"/>
    <w:rsid w:val="FEFF3556"/>
    <w:rsid w:val="FEFF4757"/>
    <w:rsid w:val="FEFF47D4"/>
    <w:rsid w:val="FEFF49E3"/>
    <w:rsid w:val="FEFF52BC"/>
    <w:rsid w:val="FEFF53AA"/>
    <w:rsid w:val="FEFF6559"/>
    <w:rsid w:val="FEFF7485"/>
    <w:rsid w:val="FEFF8580"/>
    <w:rsid w:val="FEFF8A68"/>
    <w:rsid w:val="FEFF8E6E"/>
    <w:rsid w:val="FEFFC8EA"/>
    <w:rsid w:val="FEFFD522"/>
    <w:rsid w:val="FEFFD5F5"/>
    <w:rsid w:val="FEFFDCB8"/>
    <w:rsid w:val="FEFFE755"/>
    <w:rsid w:val="FEFFF29E"/>
    <w:rsid w:val="FF031A58"/>
    <w:rsid w:val="FF0FEFA7"/>
    <w:rsid w:val="FF0FFB23"/>
    <w:rsid w:val="FF17C141"/>
    <w:rsid w:val="FF1B03D6"/>
    <w:rsid w:val="FF1D0306"/>
    <w:rsid w:val="FF1D22DD"/>
    <w:rsid w:val="FF1DCA2B"/>
    <w:rsid w:val="FF1E5E7E"/>
    <w:rsid w:val="FF1F123B"/>
    <w:rsid w:val="FF1F5E5E"/>
    <w:rsid w:val="FF1F8561"/>
    <w:rsid w:val="FF1FB411"/>
    <w:rsid w:val="FF2AB9A8"/>
    <w:rsid w:val="FF2B8D67"/>
    <w:rsid w:val="FF2F8ED6"/>
    <w:rsid w:val="FF343014"/>
    <w:rsid w:val="FF35B725"/>
    <w:rsid w:val="FF38CAA0"/>
    <w:rsid w:val="FF3A09E9"/>
    <w:rsid w:val="FF3AD482"/>
    <w:rsid w:val="FF3B0577"/>
    <w:rsid w:val="FF3B0E39"/>
    <w:rsid w:val="FF3B0EE1"/>
    <w:rsid w:val="FF3B61B5"/>
    <w:rsid w:val="FF3BC2BB"/>
    <w:rsid w:val="FF3BC712"/>
    <w:rsid w:val="FF3BD956"/>
    <w:rsid w:val="FF3C1D49"/>
    <w:rsid w:val="FF3D151C"/>
    <w:rsid w:val="FF3D34C9"/>
    <w:rsid w:val="FF3D5723"/>
    <w:rsid w:val="FF3D71D2"/>
    <w:rsid w:val="FF3DB41F"/>
    <w:rsid w:val="FF3F4379"/>
    <w:rsid w:val="FF3F44A6"/>
    <w:rsid w:val="FF3F6F17"/>
    <w:rsid w:val="FF3F9198"/>
    <w:rsid w:val="FF3F9CE6"/>
    <w:rsid w:val="FF3F9F07"/>
    <w:rsid w:val="FF3FB258"/>
    <w:rsid w:val="FF4719CC"/>
    <w:rsid w:val="FF47D9E3"/>
    <w:rsid w:val="FF4BEFBF"/>
    <w:rsid w:val="FF4D2C61"/>
    <w:rsid w:val="FF4FA905"/>
    <w:rsid w:val="FF4FCC45"/>
    <w:rsid w:val="FF51313D"/>
    <w:rsid w:val="FF53CE7E"/>
    <w:rsid w:val="FF54B9BF"/>
    <w:rsid w:val="FF54E2D4"/>
    <w:rsid w:val="FF56EABB"/>
    <w:rsid w:val="FF57517F"/>
    <w:rsid w:val="FF57CD1C"/>
    <w:rsid w:val="FF5B2880"/>
    <w:rsid w:val="FF5B8F67"/>
    <w:rsid w:val="FF5BD5E2"/>
    <w:rsid w:val="FF5DAA32"/>
    <w:rsid w:val="FF5DDC82"/>
    <w:rsid w:val="FF5E594C"/>
    <w:rsid w:val="FF5EC31C"/>
    <w:rsid w:val="FF5F79C3"/>
    <w:rsid w:val="FF5F8149"/>
    <w:rsid w:val="FF5F92B2"/>
    <w:rsid w:val="FF5F9730"/>
    <w:rsid w:val="FF5FBD39"/>
    <w:rsid w:val="FF5FD4A9"/>
    <w:rsid w:val="FF5FE724"/>
    <w:rsid w:val="FF61F1D0"/>
    <w:rsid w:val="FF631E6E"/>
    <w:rsid w:val="FF65EDCC"/>
    <w:rsid w:val="FF675214"/>
    <w:rsid w:val="FF678D05"/>
    <w:rsid w:val="FF6A00D9"/>
    <w:rsid w:val="FF6A8C50"/>
    <w:rsid w:val="FF6B0B1A"/>
    <w:rsid w:val="FF6B25AE"/>
    <w:rsid w:val="FF6CB7FF"/>
    <w:rsid w:val="FF6F29C3"/>
    <w:rsid w:val="FF6F3610"/>
    <w:rsid w:val="FF6FAA59"/>
    <w:rsid w:val="FF6FBC5E"/>
    <w:rsid w:val="FF719E21"/>
    <w:rsid w:val="FF73BEC6"/>
    <w:rsid w:val="FF760D53"/>
    <w:rsid w:val="FF760F64"/>
    <w:rsid w:val="FF7634ED"/>
    <w:rsid w:val="FF7674A4"/>
    <w:rsid w:val="FF7706F9"/>
    <w:rsid w:val="FF770D79"/>
    <w:rsid w:val="FF7714E1"/>
    <w:rsid w:val="FF772C24"/>
    <w:rsid w:val="FF774A0A"/>
    <w:rsid w:val="FF777CC5"/>
    <w:rsid w:val="FF778EC2"/>
    <w:rsid w:val="FF77F78A"/>
    <w:rsid w:val="FF78FDCA"/>
    <w:rsid w:val="FF7AF12C"/>
    <w:rsid w:val="FF7B41DF"/>
    <w:rsid w:val="FF7B98E5"/>
    <w:rsid w:val="FF7BC996"/>
    <w:rsid w:val="FF7BD1C9"/>
    <w:rsid w:val="FF7BE5C7"/>
    <w:rsid w:val="FF7BEC16"/>
    <w:rsid w:val="FF7D40EA"/>
    <w:rsid w:val="FF7D43A3"/>
    <w:rsid w:val="FF7D89A2"/>
    <w:rsid w:val="FF7D99D6"/>
    <w:rsid w:val="FF7DB3CA"/>
    <w:rsid w:val="FF7DD74B"/>
    <w:rsid w:val="FF7DE238"/>
    <w:rsid w:val="FF7E900A"/>
    <w:rsid w:val="FF7E9C24"/>
    <w:rsid w:val="FF7EA582"/>
    <w:rsid w:val="FF7EB0DB"/>
    <w:rsid w:val="FF7ED093"/>
    <w:rsid w:val="FF7EE778"/>
    <w:rsid w:val="FF7EEA65"/>
    <w:rsid w:val="FF7F0120"/>
    <w:rsid w:val="FF7F0845"/>
    <w:rsid w:val="FF7F2CAF"/>
    <w:rsid w:val="FF7F2FE2"/>
    <w:rsid w:val="FF7F3224"/>
    <w:rsid w:val="FF7F3A6B"/>
    <w:rsid w:val="FF7F4A3C"/>
    <w:rsid w:val="FF7F5256"/>
    <w:rsid w:val="FF7F5F2A"/>
    <w:rsid w:val="FF7F7F1D"/>
    <w:rsid w:val="FF7F85AE"/>
    <w:rsid w:val="FF7FB659"/>
    <w:rsid w:val="FF7FC301"/>
    <w:rsid w:val="FF7FCA6D"/>
    <w:rsid w:val="FF7FF2AF"/>
    <w:rsid w:val="FF7FF561"/>
    <w:rsid w:val="FF8B0C4E"/>
    <w:rsid w:val="FF8F58E8"/>
    <w:rsid w:val="FF8F664E"/>
    <w:rsid w:val="FF9731A2"/>
    <w:rsid w:val="FF975FC6"/>
    <w:rsid w:val="FF977E91"/>
    <w:rsid w:val="FF97EFEA"/>
    <w:rsid w:val="FF9BCE19"/>
    <w:rsid w:val="FF9CCC8B"/>
    <w:rsid w:val="FF9D8751"/>
    <w:rsid w:val="FF9DF6A0"/>
    <w:rsid w:val="FF9E7B26"/>
    <w:rsid w:val="FF9EC2FB"/>
    <w:rsid w:val="FF9F2F2C"/>
    <w:rsid w:val="FF9F3924"/>
    <w:rsid w:val="FF9F5CE8"/>
    <w:rsid w:val="FF9F895F"/>
    <w:rsid w:val="FF9F8BB8"/>
    <w:rsid w:val="FFA1537E"/>
    <w:rsid w:val="FFA3C737"/>
    <w:rsid w:val="FFA46DE9"/>
    <w:rsid w:val="FFA5E5AC"/>
    <w:rsid w:val="FFA76744"/>
    <w:rsid w:val="FFA953A1"/>
    <w:rsid w:val="FFAB3A84"/>
    <w:rsid w:val="FFADA7ED"/>
    <w:rsid w:val="FFADDB68"/>
    <w:rsid w:val="FFAE1837"/>
    <w:rsid w:val="FFAE71C7"/>
    <w:rsid w:val="FFAF1F92"/>
    <w:rsid w:val="FFAFB2F1"/>
    <w:rsid w:val="FFAFC7EA"/>
    <w:rsid w:val="FFAFD793"/>
    <w:rsid w:val="FFAFF5A4"/>
    <w:rsid w:val="FFAFF814"/>
    <w:rsid w:val="FFB1CD32"/>
    <w:rsid w:val="FFB5024F"/>
    <w:rsid w:val="FFB51A07"/>
    <w:rsid w:val="FFB53C44"/>
    <w:rsid w:val="FFB593C9"/>
    <w:rsid w:val="FFB5943B"/>
    <w:rsid w:val="FFB632B7"/>
    <w:rsid w:val="FFB639E5"/>
    <w:rsid w:val="FFB72D4B"/>
    <w:rsid w:val="FFB74EBF"/>
    <w:rsid w:val="FFB75FBF"/>
    <w:rsid w:val="FFB76772"/>
    <w:rsid w:val="FFB77828"/>
    <w:rsid w:val="FFB7BB35"/>
    <w:rsid w:val="FFB7F60C"/>
    <w:rsid w:val="FFB8A6AD"/>
    <w:rsid w:val="FFB912C3"/>
    <w:rsid w:val="FFB9C37A"/>
    <w:rsid w:val="FFBA94F5"/>
    <w:rsid w:val="FFBAC59C"/>
    <w:rsid w:val="FFBAD34F"/>
    <w:rsid w:val="FFBB0F39"/>
    <w:rsid w:val="FFBB15C2"/>
    <w:rsid w:val="FFBB1FF7"/>
    <w:rsid w:val="FFBB451A"/>
    <w:rsid w:val="FFBB4E00"/>
    <w:rsid w:val="FFBB7558"/>
    <w:rsid w:val="FFBBF3D4"/>
    <w:rsid w:val="FFBC109A"/>
    <w:rsid w:val="FFBC371A"/>
    <w:rsid w:val="FFBD20A0"/>
    <w:rsid w:val="FFBD3451"/>
    <w:rsid w:val="FFBD3B4F"/>
    <w:rsid w:val="FFBDA576"/>
    <w:rsid w:val="FFBDA97B"/>
    <w:rsid w:val="FFBDC6E7"/>
    <w:rsid w:val="FFBDD499"/>
    <w:rsid w:val="FFBDEB60"/>
    <w:rsid w:val="FFBDFD01"/>
    <w:rsid w:val="FFBE1C9C"/>
    <w:rsid w:val="FFBE35FA"/>
    <w:rsid w:val="FFBE5B09"/>
    <w:rsid w:val="FFBE6DE8"/>
    <w:rsid w:val="FFBE8549"/>
    <w:rsid w:val="FFBED437"/>
    <w:rsid w:val="FFBEDEDA"/>
    <w:rsid w:val="FFBEF098"/>
    <w:rsid w:val="FFBF01A5"/>
    <w:rsid w:val="FFBF03F1"/>
    <w:rsid w:val="FFBF04AB"/>
    <w:rsid w:val="FFBF1B75"/>
    <w:rsid w:val="FFBF32AD"/>
    <w:rsid w:val="FFBF3AC9"/>
    <w:rsid w:val="FFBF4D86"/>
    <w:rsid w:val="FFBF523F"/>
    <w:rsid w:val="FFBF5D88"/>
    <w:rsid w:val="FFBF68E5"/>
    <w:rsid w:val="FFBF6D21"/>
    <w:rsid w:val="FFBF6FD4"/>
    <w:rsid w:val="FFBF7030"/>
    <w:rsid w:val="FFBF7C90"/>
    <w:rsid w:val="FFBF7E45"/>
    <w:rsid w:val="FFBF9002"/>
    <w:rsid w:val="FFBF9664"/>
    <w:rsid w:val="FFBFA2AB"/>
    <w:rsid w:val="FFBFA66F"/>
    <w:rsid w:val="FFBFC4FC"/>
    <w:rsid w:val="FFBFD991"/>
    <w:rsid w:val="FFBFE11C"/>
    <w:rsid w:val="FFBFF24C"/>
    <w:rsid w:val="FFC3CF24"/>
    <w:rsid w:val="FFC53FAE"/>
    <w:rsid w:val="FFC712B4"/>
    <w:rsid w:val="FFC726BE"/>
    <w:rsid w:val="FFC78522"/>
    <w:rsid w:val="FFC7D171"/>
    <w:rsid w:val="FFC7F5A0"/>
    <w:rsid w:val="FFCA59D1"/>
    <w:rsid w:val="FFCB3377"/>
    <w:rsid w:val="FFCB70CE"/>
    <w:rsid w:val="FFCCD34A"/>
    <w:rsid w:val="FFCD033E"/>
    <w:rsid w:val="FFCD07FD"/>
    <w:rsid w:val="FFCD120C"/>
    <w:rsid w:val="FFCDF32B"/>
    <w:rsid w:val="FFCE345D"/>
    <w:rsid w:val="FFCE89EB"/>
    <w:rsid w:val="FFCE9078"/>
    <w:rsid w:val="FFCF122E"/>
    <w:rsid w:val="FFCF1B2A"/>
    <w:rsid w:val="FFCF1BAB"/>
    <w:rsid w:val="FFCFA775"/>
    <w:rsid w:val="FFCFCF70"/>
    <w:rsid w:val="FFD20830"/>
    <w:rsid w:val="FFD2514E"/>
    <w:rsid w:val="FFD314E8"/>
    <w:rsid w:val="FFD326F1"/>
    <w:rsid w:val="FFD32B9E"/>
    <w:rsid w:val="FFD37FCA"/>
    <w:rsid w:val="FFD3C605"/>
    <w:rsid w:val="FFD726FE"/>
    <w:rsid w:val="FFD731B6"/>
    <w:rsid w:val="FFD7543D"/>
    <w:rsid w:val="FFD76311"/>
    <w:rsid w:val="FFD79B0E"/>
    <w:rsid w:val="FFD7A66E"/>
    <w:rsid w:val="FFD7ACEF"/>
    <w:rsid w:val="FFD7DDC4"/>
    <w:rsid w:val="FFD7FAD0"/>
    <w:rsid w:val="FFD7FF79"/>
    <w:rsid w:val="FFD99CB3"/>
    <w:rsid w:val="FFD9C012"/>
    <w:rsid w:val="FFD9C586"/>
    <w:rsid w:val="FFD9D793"/>
    <w:rsid w:val="FFDA744A"/>
    <w:rsid w:val="FFDA752D"/>
    <w:rsid w:val="FFDA7FAE"/>
    <w:rsid w:val="FFDAAD9E"/>
    <w:rsid w:val="FFDB2231"/>
    <w:rsid w:val="FFDB2B4C"/>
    <w:rsid w:val="FFDB60C7"/>
    <w:rsid w:val="FFDB7862"/>
    <w:rsid w:val="FFDB7B57"/>
    <w:rsid w:val="FFDB9BCC"/>
    <w:rsid w:val="FFDBB8B7"/>
    <w:rsid w:val="FFDBDEE2"/>
    <w:rsid w:val="FFDBDF21"/>
    <w:rsid w:val="FFDC1FF4"/>
    <w:rsid w:val="FFDC3572"/>
    <w:rsid w:val="FFDC6E33"/>
    <w:rsid w:val="FFDCC7B7"/>
    <w:rsid w:val="FFDCF0FE"/>
    <w:rsid w:val="FFDD1D07"/>
    <w:rsid w:val="FFDD2333"/>
    <w:rsid w:val="FFDD89C1"/>
    <w:rsid w:val="FFDDB95A"/>
    <w:rsid w:val="FFDDC9A2"/>
    <w:rsid w:val="FFDDE2D3"/>
    <w:rsid w:val="FFDDE906"/>
    <w:rsid w:val="FFDE63FF"/>
    <w:rsid w:val="FFDE7E7D"/>
    <w:rsid w:val="FFDE8F21"/>
    <w:rsid w:val="FFDE93BB"/>
    <w:rsid w:val="FFDEFC86"/>
    <w:rsid w:val="FFDF1FF4"/>
    <w:rsid w:val="FFDF20CD"/>
    <w:rsid w:val="FFDF3288"/>
    <w:rsid w:val="FFDF3CDD"/>
    <w:rsid w:val="FFDF3FA6"/>
    <w:rsid w:val="FFDF4502"/>
    <w:rsid w:val="FFDF45B3"/>
    <w:rsid w:val="FFDF5ADB"/>
    <w:rsid w:val="FFDF5FD5"/>
    <w:rsid w:val="FFDF6216"/>
    <w:rsid w:val="FFDF63B8"/>
    <w:rsid w:val="FFDF756B"/>
    <w:rsid w:val="FFDF78A1"/>
    <w:rsid w:val="FFDF8879"/>
    <w:rsid w:val="FFDFA5DB"/>
    <w:rsid w:val="FFDFBFB0"/>
    <w:rsid w:val="FFDFCD1E"/>
    <w:rsid w:val="FFE230DF"/>
    <w:rsid w:val="FFE2D3C3"/>
    <w:rsid w:val="FFE3A5C2"/>
    <w:rsid w:val="FFE3DC57"/>
    <w:rsid w:val="FFE41B01"/>
    <w:rsid w:val="FFE4F41D"/>
    <w:rsid w:val="FFE5295A"/>
    <w:rsid w:val="FFE6D2A3"/>
    <w:rsid w:val="FFE74743"/>
    <w:rsid w:val="FFE74EAF"/>
    <w:rsid w:val="FFE76684"/>
    <w:rsid w:val="FFE771D5"/>
    <w:rsid w:val="FFE7E733"/>
    <w:rsid w:val="FFE7EFDE"/>
    <w:rsid w:val="FFEA0786"/>
    <w:rsid w:val="FFEA4091"/>
    <w:rsid w:val="FFEA4A29"/>
    <w:rsid w:val="FFEA6C82"/>
    <w:rsid w:val="FFEA7EA5"/>
    <w:rsid w:val="FFEA961B"/>
    <w:rsid w:val="FFEAAFE4"/>
    <w:rsid w:val="FFEB164E"/>
    <w:rsid w:val="FFEB9FFE"/>
    <w:rsid w:val="FFEBFEF6"/>
    <w:rsid w:val="FFECDC43"/>
    <w:rsid w:val="FFECEFBF"/>
    <w:rsid w:val="FFECFE6A"/>
    <w:rsid w:val="FFED31E8"/>
    <w:rsid w:val="FFED571F"/>
    <w:rsid w:val="FFED9383"/>
    <w:rsid w:val="FFED9DDA"/>
    <w:rsid w:val="FFEDAF1C"/>
    <w:rsid w:val="FFEE0FCE"/>
    <w:rsid w:val="FFEE1CF7"/>
    <w:rsid w:val="FFEE1CFE"/>
    <w:rsid w:val="FFEE945F"/>
    <w:rsid w:val="FFEEDA24"/>
    <w:rsid w:val="FFEEDDD1"/>
    <w:rsid w:val="FFEEE6A3"/>
    <w:rsid w:val="FFEF03DE"/>
    <w:rsid w:val="FFEF110F"/>
    <w:rsid w:val="FFEF27B8"/>
    <w:rsid w:val="FFEF2B80"/>
    <w:rsid w:val="FFEF39BE"/>
    <w:rsid w:val="FFEF3B91"/>
    <w:rsid w:val="FFEF4848"/>
    <w:rsid w:val="FFEF536F"/>
    <w:rsid w:val="FFEF6EF5"/>
    <w:rsid w:val="FFEF71C7"/>
    <w:rsid w:val="FFEF831F"/>
    <w:rsid w:val="FFEF858B"/>
    <w:rsid w:val="FFEF91D3"/>
    <w:rsid w:val="FFEF937D"/>
    <w:rsid w:val="FFEF9636"/>
    <w:rsid w:val="FFEF98A7"/>
    <w:rsid w:val="FFEFA686"/>
    <w:rsid w:val="FFEFAB04"/>
    <w:rsid w:val="FFEFB1EB"/>
    <w:rsid w:val="FFEFB918"/>
    <w:rsid w:val="FFEFC7AB"/>
    <w:rsid w:val="FFEFE542"/>
    <w:rsid w:val="FFEFF241"/>
    <w:rsid w:val="FFF07D0C"/>
    <w:rsid w:val="FFF104BB"/>
    <w:rsid w:val="FFF13B2C"/>
    <w:rsid w:val="FFF2BC56"/>
    <w:rsid w:val="FFF3122B"/>
    <w:rsid w:val="FFF31938"/>
    <w:rsid w:val="FFF336F8"/>
    <w:rsid w:val="FFF3A576"/>
    <w:rsid w:val="FFF40B2E"/>
    <w:rsid w:val="FFF460E2"/>
    <w:rsid w:val="FFF47F8C"/>
    <w:rsid w:val="FFF50596"/>
    <w:rsid w:val="FFF521C2"/>
    <w:rsid w:val="FFF5502A"/>
    <w:rsid w:val="FFF581CC"/>
    <w:rsid w:val="FFF58B66"/>
    <w:rsid w:val="FFF5AB56"/>
    <w:rsid w:val="FFF5BB1A"/>
    <w:rsid w:val="FFF5DEBA"/>
    <w:rsid w:val="FFF6135B"/>
    <w:rsid w:val="FFF64AE3"/>
    <w:rsid w:val="FFF68597"/>
    <w:rsid w:val="FFF6AD59"/>
    <w:rsid w:val="FFF6D163"/>
    <w:rsid w:val="FFF6DF5E"/>
    <w:rsid w:val="FFF6EEDB"/>
    <w:rsid w:val="FFF6F565"/>
    <w:rsid w:val="FFF710EE"/>
    <w:rsid w:val="FFF72380"/>
    <w:rsid w:val="FFF72AB0"/>
    <w:rsid w:val="FFF72C90"/>
    <w:rsid w:val="FFF74052"/>
    <w:rsid w:val="FFF74626"/>
    <w:rsid w:val="FFF74803"/>
    <w:rsid w:val="FFF74E17"/>
    <w:rsid w:val="FFF74E35"/>
    <w:rsid w:val="FFF75928"/>
    <w:rsid w:val="FFF771E5"/>
    <w:rsid w:val="FFF7854A"/>
    <w:rsid w:val="FFF789E4"/>
    <w:rsid w:val="FFF7986B"/>
    <w:rsid w:val="FFF7A509"/>
    <w:rsid w:val="FFF7B008"/>
    <w:rsid w:val="FFF7B013"/>
    <w:rsid w:val="FFF7B3B3"/>
    <w:rsid w:val="FFF7C6BA"/>
    <w:rsid w:val="FFF7DACD"/>
    <w:rsid w:val="FFF7DE74"/>
    <w:rsid w:val="FFF8383A"/>
    <w:rsid w:val="FFF91337"/>
    <w:rsid w:val="FFF95E24"/>
    <w:rsid w:val="FFF99397"/>
    <w:rsid w:val="FFF9F20E"/>
    <w:rsid w:val="FFFA50B9"/>
    <w:rsid w:val="FFFA6545"/>
    <w:rsid w:val="FFFA754E"/>
    <w:rsid w:val="FFFAAD5E"/>
    <w:rsid w:val="FFFAC407"/>
    <w:rsid w:val="FFFAEBF2"/>
    <w:rsid w:val="FFFB0A62"/>
    <w:rsid w:val="FFFB0EC8"/>
    <w:rsid w:val="FFFB2B31"/>
    <w:rsid w:val="FFFB2F8C"/>
    <w:rsid w:val="FFFB3576"/>
    <w:rsid w:val="FFFB53C9"/>
    <w:rsid w:val="FFFB6294"/>
    <w:rsid w:val="FFFB8FFB"/>
    <w:rsid w:val="FFFB98C9"/>
    <w:rsid w:val="FFFBB1BB"/>
    <w:rsid w:val="FFFBB520"/>
    <w:rsid w:val="FFFBD919"/>
    <w:rsid w:val="FFFBE2A5"/>
    <w:rsid w:val="FFFBE305"/>
    <w:rsid w:val="FFFBE592"/>
    <w:rsid w:val="FFFC1AD2"/>
    <w:rsid w:val="FFFC3311"/>
    <w:rsid w:val="FFFC3758"/>
    <w:rsid w:val="FFFC4B36"/>
    <w:rsid w:val="FFFC67CD"/>
    <w:rsid w:val="FFFC6A50"/>
    <w:rsid w:val="FFFCAF35"/>
    <w:rsid w:val="FFFCCEF3"/>
    <w:rsid w:val="FFFD170D"/>
    <w:rsid w:val="FFFD2270"/>
    <w:rsid w:val="FFFD440D"/>
    <w:rsid w:val="FFFD778D"/>
    <w:rsid w:val="FFFD7A8D"/>
    <w:rsid w:val="FFFD7EA9"/>
    <w:rsid w:val="FFFD92CD"/>
    <w:rsid w:val="FFFD9C06"/>
    <w:rsid w:val="FFFDB094"/>
    <w:rsid w:val="FFFDB130"/>
    <w:rsid w:val="FFFDEBCD"/>
    <w:rsid w:val="FFFDEE15"/>
    <w:rsid w:val="FFFDEF0A"/>
    <w:rsid w:val="FFFDEF26"/>
    <w:rsid w:val="FFFDF8DD"/>
    <w:rsid w:val="FFFDFEAC"/>
    <w:rsid w:val="FFFE0143"/>
    <w:rsid w:val="FFFE1338"/>
    <w:rsid w:val="FFFE1A4A"/>
    <w:rsid w:val="FFFE1ED4"/>
    <w:rsid w:val="FFFE2331"/>
    <w:rsid w:val="FFFE2BFB"/>
    <w:rsid w:val="FFFE2D16"/>
    <w:rsid w:val="FFFE44F0"/>
    <w:rsid w:val="FFFE46AC"/>
    <w:rsid w:val="FFFE56D8"/>
    <w:rsid w:val="FFFE69EF"/>
    <w:rsid w:val="FFFE89D8"/>
    <w:rsid w:val="FFFE8C66"/>
    <w:rsid w:val="FFFEC9DC"/>
    <w:rsid w:val="FFFEFF8E"/>
    <w:rsid w:val="FFFF0530"/>
    <w:rsid w:val="FFFF06C9"/>
    <w:rsid w:val="FFFF0726"/>
    <w:rsid w:val="FFFF0A01"/>
    <w:rsid w:val="FFFF0A95"/>
    <w:rsid w:val="FFFF1FC5"/>
    <w:rsid w:val="FFFF201D"/>
    <w:rsid w:val="FFFF237D"/>
    <w:rsid w:val="FFFF29D6"/>
    <w:rsid w:val="FFFF2D18"/>
    <w:rsid w:val="FFFF2EB6"/>
    <w:rsid w:val="FFFF3487"/>
    <w:rsid w:val="FFFF381B"/>
    <w:rsid w:val="FFFF3ADA"/>
    <w:rsid w:val="FFFF4074"/>
    <w:rsid w:val="FFFF44EB"/>
    <w:rsid w:val="FFFF5099"/>
    <w:rsid w:val="FFFF54BF"/>
    <w:rsid w:val="FFFF56F4"/>
    <w:rsid w:val="FFFF5779"/>
    <w:rsid w:val="FFFF57E2"/>
    <w:rsid w:val="FFFF5CD6"/>
    <w:rsid w:val="FFFF643B"/>
    <w:rsid w:val="FFFF65F6"/>
    <w:rsid w:val="FFFF6817"/>
    <w:rsid w:val="FFFF6A45"/>
    <w:rsid w:val="FFFF6AE0"/>
    <w:rsid w:val="FFFF6B8C"/>
    <w:rsid w:val="FFFF6C48"/>
    <w:rsid w:val="FFFF6D63"/>
    <w:rsid w:val="FFFF6E8B"/>
    <w:rsid w:val="FFFF7199"/>
    <w:rsid w:val="FFFF724F"/>
    <w:rsid w:val="FFFF8503"/>
    <w:rsid w:val="FFFF86B5"/>
    <w:rsid w:val="FFFF86DB"/>
    <w:rsid w:val="FFFF86EA"/>
    <w:rsid w:val="FFFF8711"/>
    <w:rsid w:val="FFFF88DD"/>
    <w:rsid w:val="FFFF8B79"/>
    <w:rsid w:val="FFFF8E23"/>
    <w:rsid w:val="FFFF8F9C"/>
    <w:rsid w:val="FFFF99B0"/>
    <w:rsid w:val="FFFF9C1A"/>
    <w:rsid w:val="FFFF9C7C"/>
    <w:rsid w:val="FFFFA429"/>
    <w:rsid w:val="FFFFB207"/>
    <w:rsid w:val="FFFFB53A"/>
    <w:rsid w:val="FFFFB6C7"/>
    <w:rsid w:val="FFFFC20F"/>
    <w:rsid w:val="FFFFC425"/>
    <w:rsid w:val="FFFFC50C"/>
    <w:rsid w:val="FFFFC98A"/>
    <w:rsid w:val="FFFFCE20"/>
    <w:rsid w:val="FFFFD2D5"/>
    <w:rsid w:val="FFFFD365"/>
    <w:rsid w:val="FFFFDE9C"/>
    <w:rsid w:val="FFFFDFD2"/>
    <w:rsid w:val="FFFFE06C"/>
    <w:rsid w:val="FFFFE3EB"/>
    <w:rsid w:val="FFFFE5B0"/>
    <w:rsid w:val="FFFFEE3D"/>
    <w:rsid w:val="FFFFF0A5"/>
    <w:rsid w:val="FFFFF873"/>
    <w:rsid w:val="FFFFF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rPr>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tabs>
        <w:tab w:val="left" w:pos="0"/>
      </w:tabs>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styleId="231">
    <w:name w:val="List Paragraph"/>
    <w:basedOn w:val="1"/>
    <w:qFormat/>
    <w:uiPriority w:val="34"/>
    <w:pPr>
      <w:widowControl/>
      <w:kinsoku w:val="0"/>
      <w:autoSpaceDE w:val="0"/>
      <w:autoSpaceDN w:val="0"/>
      <w:snapToGrid w:val="0"/>
      <w:spacing w:line="240" w:lineRule="auto"/>
      <w:ind w:firstLine="420" w:firstLineChars="200"/>
      <w:jc w:val="left"/>
      <w:textAlignment w:val="baseline"/>
    </w:pPr>
    <w:rPr>
      <w:rFonts w:ascii="Arial" w:hAnsi="Arial" w:eastAsia="Arial" w:cs="Arial"/>
      <w:snapToGrid w:val="0"/>
      <w:color w:val="000000"/>
      <w:kern w:val="0"/>
    </w:rPr>
  </w:style>
  <w:style w:type="paragraph" w:customStyle="1" w:styleId="232">
    <w:name w:val="数字编号列项（二级）"/>
    <w:qFormat/>
    <w:uiPriority w:val="0"/>
    <w:pPr>
      <w:numPr>
        <w:ilvl w:val="1"/>
        <w:numId w:val="32"/>
      </w:numPr>
      <w:jc w:val="both"/>
    </w:pPr>
    <w:rPr>
      <w:rFonts w:ascii="宋体" w:hAnsi="Times New Roman" w:eastAsia="宋体" w:cs="Times New Roman"/>
      <w:sz w:val="21"/>
      <w:lang w:val="en-US" w:eastAsia="zh-CN" w:bidi="ar-SA"/>
    </w:rPr>
  </w:style>
  <w:style w:type="paragraph" w:customStyle="1" w:styleId="233">
    <w:name w:val="编号列项（三级）"/>
    <w:qFormat/>
    <w:uiPriority w:val="0"/>
    <w:pPr>
      <w:numPr>
        <w:ilvl w:val="2"/>
        <w:numId w:val="32"/>
      </w:numPr>
    </w:pPr>
    <w:rPr>
      <w:rFonts w:ascii="宋体" w:hAnsi="Times New Roman" w:eastAsia="宋体" w:cs="Times New Roman"/>
      <w:sz w:val="21"/>
      <w:lang w:val="en-US" w:eastAsia="zh-CN" w:bidi="ar-SA"/>
    </w:rPr>
  </w:style>
  <w:style w:type="paragraph" w:customStyle="1" w:styleId="234">
    <w:name w:val="字母编号列项（一级）"/>
    <w:link w:val="240"/>
    <w:qFormat/>
    <w:uiPriority w:val="0"/>
    <w:pPr>
      <w:numPr>
        <w:ilvl w:val="0"/>
        <w:numId w:val="32"/>
      </w:numPr>
      <w:jc w:val="both"/>
    </w:pPr>
    <w:rPr>
      <w:rFonts w:ascii="宋体" w:hAnsi="Times New Roman" w:eastAsia="宋体" w:cs="Times New Roman"/>
      <w:sz w:val="21"/>
      <w:lang w:val="en-US" w:eastAsia="zh-CN" w:bidi="ar-SA"/>
    </w:rPr>
  </w:style>
  <w:style w:type="paragraph" w:customStyle="1" w:styleId="235">
    <w:name w:val="段"/>
    <w:link w:val="2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6">
    <w:name w:val="段 Char"/>
    <w:link w:val="235"/>
    <w:qFormat/>
    <w:uiPriority w:val="0"/>
    <w:rPr>
      <w:rFonts w:ascii="宋体" w:hAnsi="Times New Roman"/>
      <w:sz w:val="21"/>
    </w:rPr>
  </w:style>
  <w:style w:type="table" w:customStyle="1" w:styleId="237">
    <w:name w:val="网格型1"/>
    <w:basedOn w:val="2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
    <w:name w:val="Table Normal"/>
    <w:semiHidden/>
    <w:unhideWhenUsed/>
    <w:qFormat/>
    <w:uiPriority w:val="0"/>
    <w:rPr>
      <w:rFonts w:ascii="Times New Roman" w:hAnsi="Times New Roman"/>
    </w:rPr>
    <w:tblPr>
      <w:tblCellMar>
        <w:top w:w="0" w:type="dxa"/>
        <w:left w:w="0" w:type="dxa"/>
        <w:bottom w:w="0" w:type="dxa"/>
        <w:right w:w="0" w:type="dxa"/>
      </w:tblCellMar>
    </w:tblPr>
  </w:style>
  <w:style w:type="paragraph" w:customStyle="1" w:styleId="239">
    <w:name w:val="Table Text"/>
    <w:basedOn w:val="1"/>
    <w:link w:val="241"/>
    <w:semiHidden/>
    <w:qFormat/>
    <w:uiPriority w:val="0"/>
    <w:rPr>
      <w:rFonts w:ascii="宋体" w:hAnsi="宋体" w:eastAsia="宋体" w:cs="宋体"/>
      <w:sz w:val="18"/>
      <w:szCs w:val="18"/>
      <w:lang w:val="en-US" w:eastAsia="en-US" w:bidi="ar-SA"/>
    </w:rPr>
  </w:style>
  <w:style w:type="character" w:customStyle="1" w:styleId="240">
    <w:name w:val="字母编号列项（一级） Char"/>
    <w:link w:val="234"/>
    <w:qFormat/>
    <w:uiPriority w:val="0"/>
    <w:rPr>
      <w:rFonts w:ascii="宋体" w:hAnsi="Times New Roman" w:eastAsia="宋体" w:cs="Times New Roman"/>
      <w:sz w:val="21"/>
      <w:lang w:val="en-US" w:eastAsia="zh-CN" w:bidi="ar-SA"/>
    </w:rPr>
  </w:style>
  <w:style w:type="character" w:customStyle="1" w:styleId="241">
    <w:name w:val="Table Text Char"/>
    <w:link w:val="239"/>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thtf/C:\Users\mingjianzhou\Library\Containers\com.kingsoft.wpsoffice.mac\Data\C:\Users\mingjianzhou\Library\Containers\com.kingsoft.wpsoffice.mac\Data\C:\Users\mingjianzhou\Library\Containers\com.kingsoft.wpsoffice.mac\Data\C:\Users\mingjianzhou\Library\Containers\com.kingsoft.wpsoffice.mac\Data\C:\Users\wanglaili\Library\Containers\com.kingsoft.wpsoffice.mac\Data\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D7D4B24454A4F85B68BDFF33C8260FB"/>
        <w:style w:val=""/>
        <w:category>
          <w:name w:val="常规"/>
          <w:gallery w:val="placeholder"/>
        </w:category>
        <w:types>
          <w:type w:val="bbPlcHdr"/>
        </w:types>
        <w:behaviors>
          <w:behavior w:val="content"/>
        </w:behaviors>
        <w:description w:val=""/>
        <w:guid w:val="{C829347E-BE3C-43C5-A72F-7A04698C599F}"/>
      </w:docPartPr>
      <w:docPartBody>
        <w:p>
          <w:pPr>
            <w:pStyle w:val="5"/>
          </w:pPr>
          <w:r>
            <w:rPr>
              <w:rStyle w:val="4"/>
              <w:rFonts w:hint="eastAsia"/>
            </w:rPr>
            <w:t>单击或点击此处输入文字。</w:t>
          </w:r>
        </w:p>
      </w:docPartBody>
    </w:docPart>
    <w:docPart>
      <w:docPartPr>
        <w:name w:val="{e58e1b8b-5085-4f37-ab74-3e24d0ad505c}"/>
        <w:style w:val=""/>
        <w:category>
          <w:name w:val="常规"/>
          <w:gallery w:val="placeholder"/>
        </w:category>
        <w:types>
          <w:type w:val="bbPlcHdr"/>
        </w:types>
        <w:behaviors>
          <w:behavior w:val="content"/>
        </w:behaviors>
        <w:description w:val=""/>
        <w:guid w:val="{e58e1b8b-5085-4f37-ab74-3e24d0ad505c}"/>
      </w:docPartPr>
      <w:docPartBody>
        <w:p>
          <w:pPr>
            <w:pStyle w:val="6"/>
          </w:pPr>
          <w:r>
            <w:rPr>
              <w:rStyle w:val="4"/>
              <w:rFonts w:hint="eastAsia"/>
            </w:rPr>
            <w:t>选择一项。</w:t>
          </w:r>
        </w:p>
      </w:docPartBody>
    </w:docPart>
    <w:docPart>
      <w:docPartPr>
        <w:name w:val="{967a5055-c3eb-4fec-8353-9c32433e47e2}"/>
        <w:style w:val=""/>
        <w:category>
          <w:name w:val="常规"/>
          <w:gallery w:val="placeholder"/>
        </w:category>
        <w:types>
          <w:type w:val="bbPlcHdr"/>
        </w:types>
        <w:behaviors>
          <w:behavior w:val="content"/>
        </w:behaviors>
        <w:description w:val=""/>
        <w:guid w:val="{967a5055-c3eb-4fec-8353-9c32433e47e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63"/>
    <w:rsid w:val="00151B8B"/>
    <w:rsid w:val="004C378B"/>
    <w:rsid w:val="006E2029"/>
    <w:rsid w:val="00C5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D7D4B24454A4F85B68BDFF33C8260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ECE2A2897504074A74C0E174F665C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0D8AA3D71764521A1F73E9DF27807C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25</Pages>
  <Words>14918</Words>
  <Characters>16434</Characters>
  <Lines>1277</Lines>
  <Paragraphs>1149</Paragraphs>
  <TotalTime>0</TotalTime>
  <ScaleCrop>false</ScaleCrop>
  <LinksUpToDate>false</LinksUpToDate>
  <CharactersWithSpaces>18756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2023-07-30T16:55:00Z</dcterms:created>
  <dc:creator>Administrator</dc:creator>
  <dc:description>&lt;config cover="true" show_menu="true" version="1.0.0" doctype="SDKXY"&gt;_x000d_
&lt;/config&gt;</dc:description>
  <cp:lastModifiedBy>thtf</cp:lastModifiedBy>
  <cp:lastPrinted>2020-09-04T18:00:00Z</cp:lastPrinted>
  <dcterms:modified xsi:type="dcterms:W3CDTF">2024-03-21T12:36:34Z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2052-11.8.2.9958</vt:lpwstr>
  </property>
  <property fmtid="{D5CDD505-2E9C-101B-9397-08002B2CF9AE}" pid="15" name="ICV">
    <vt:lpwstr>8DF5201C270D4BBCA2223147212438C6_13</vt:lpwstr>
  </property>
</Properties>
</file>