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val="0"/>
        <w:topLinePunct w:val="0"/>
        <w:autoSpaceDE w:val="0"/>
        <w:autoSpaceDN w:val="0"/>
        <w:bidi w:val="0"/>
        <w:adjustRightInd/>
        <w:snapToGrid/>
        <w:spacing w:line="560" w:lineRule="exact"/>
        <w:ind w:right="0"/>
        <w:jc w:val="center"/>
        <w:textAlignment w:val="baseline"/>
        <w:rPr>
          <w:rFonts w:hint="eastAsia" w:ascii="方正小标宋简体" w:hAnsi="方正小标宋简体" w:eastAsia="方正小标宋简体" w:cs="方正小标宋简体"/>
          <w:b w:val="0"/>
          <w:bCs w:val="0"/>
          <w:color w:val="auto"/>
          <w:sz w:val="44"/>
          <w:szCs w:val="44"/>
          <w:lang w:eastAsia="zh-CN"/>
        </w:rPr>
      </w:pPr>
      <w:bookmarkStart w:id="0" w:name="_GoBack"/>
      <w:r>
        <w:rPr>
          <w:rFonts w:hint="eastAsia" w:ascii="方正小标宋简体" w:hAnsi="方正小标宋简体" w:eastAsia="方正小标宋简体" w:cs="方正小标宋简体"/>
          <w:b w:val="0"/>
          <w:bCs w:val="0"/>
          <w:color w:val="auto"/>
          <w:spacing w:val="8"/>
          <w:sz w:val="44"/>
          <w:szCs w:val="44"/>
          <w:lang w:eastAsia="zh-CN"/>
        </w:rPr>
        <w:t>当湖街道行政事业性国有资产管理办法</w:t>
      </w:r>
    </w:p>
    <w:bookmarkEnd w:id="0"/>
    <w:p>
      <w:pPr>
        <w:keepNext/>
        <w:keepLines w:val="0"/>
        <w:pageBreakBefore w:val="0"/>
        <w:widowControl w:val="0"/>
        <w:kinsoku/>
        <w:wordWrap/>
        <w:overflowPunct w:val="0"/>
        <w:topLinePunct w:val="0"/>
        <w:autoSpaceDE w:val="0"/>
        <w:autoSpaceDN w:val="0"/>
        <w:bidi w:val="0"/>
        <w:adjustRightInd/>
        <w:snapToGrid/>
        <w:spacing w:before="7" w:line="560" w:lineRule="exact"/>
        <w:ind w:right="92"/>
        <w:jc w:val="both"/>
        <w:textAlignment w:val="baseline"/>
        <w:rPr>
          <w:rFonts w:hint="eastAsia" w:ascii="仿宋_GB2312" w:hAnsi="仿宋_GB2312" w:eastAsia="仿宋_GB2312" w:cs="仿宋_GB2312"/>
          <w:color w:val="auto"/>
          <w:sz w:val="32"/>
          <w:szCs w:val="32"/>
        </w:rPr>
      </w:pP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为规范和加强</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管理，提高资产使用效益，根据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行政事业</w:t>
      </w:r>
      <w:r>
        <w:rPr>
          <w:rFonts w:hint="eastAsia" w:ascii="仿宋_GB2312" w:hAnsi="仿宋_GB2312" w:eastAsia="仿宋_GB2312" w:cs="仿宋_GB2312"/>
          <w:color w:val="auto"/>
          <w:sz w:val="32"/>
          <w:szCs w:val="32"/>
          <w:lang w:eastAsia="zh-CN"/>
        </w:rPr>
        <w:t>性国有资产管理条例》（国务院令第</w:t>
      </w:r>
      <w:r>
        <w:rPr>
          <w:rFonts w:hint="eastAsia" w:ascii="仿宋_GB2312" w:hAnsi="仿宋_GB2312" w:eastAsia="仿宋_GB2312" w:cs="仿宋_GB2312"/>
          <w:color w:val="auto"/>
          <w:sz w:val="32"/>
          <w:szCs w:val="32"/>
          <w:lang w:val="en-US" w:eastAsia="zh-CN"/>
        </w:rPr>
        <w:t>738号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关于加强行政事业性国有资产</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的若干意见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（平委办发［</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45号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val="0"/>
          <w:color w:val="auto"/>
          <w:sz w:val="32"/>
          <w:szCs w:val="32"/>
          <w:lang w:eastAsia="zh-CN"/>
        </w:rPr>
        <w:t>《平湖市行政事业性国有资产管理实施细则（暂行）》</w:t>
      </w:r>
      <w:r>
        <w:rPr>
          <w:rFonts w:hint="eastAsia" w:ascii="仿宋_GB2312" w:hAnsi="仿宋_GB2312" w:eastAsia="仿宋_GB2312" w:cs="仿宋_GB2312"/>
          <w:color w:val="auto"/>
          <w:sz w:val="32"/>
          <w:szCs w:val="32"/>
          <w:lang w:eastAsia="zh-CN"/>
        </w:rPr>
        <w:t>（平财国资［</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等有关规定，结合</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实际，制定本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（以下简称本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eastAsia="zh-CN"/>
        </w:rPr>
        <w:t>适用</w:t>
      </w:r>
      <w:r>
        <w:rPr>
          <w:rFonts w:hint="eastAsia" w:ascii="黑体" w:hAnsi="黑体" w:eastAsia="黑体" w:cs="黑体"/>
          <w:b w:val="0"/>
          <w:bCs w:val="0"/>
          <w:color w:val="auto"/>
          <w:sz w:val="32"/>
          <w:szCs w:val="32"/>
        </w:rPr>
        <w:t>范围和</w:t>
      </w:r>
      <w:r>
        <w:rPr>
          <w:rFonts w:hint="eastAsia" w:ascii="黑体" w:hAnsi="黑体" w:eastAsia="黑体" w:cs="黑体"/>
          <w:b w:val="0"/>
          <w:bCs w:val="0"/>
          <w:color w:val="auto"/>
          <w:sz w:val="32"/>
          <w:szCs w:val="32"/>
          <w:lang w:eastAsia="zh-CN"/>
        </w:rPr>
        <w:t>基本</w:t>
      </w:r>
      <w:r>
        <w:rPr>
          <w:rFonts w:hint="eastAsia" w:ascii="黑体" w:hAnsi="黑体" w:eastAsia="黑体" w:cs="黑体"/>
          <w:b w:val="0"/>
          <w:bCs w:val="0"/>
          <w:color w:val="auto"/>
          <w:sz w:val="32"/>
          <w:szCs w:val="32"/>
        </w:rPr>
        <w:t>原则</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适用于</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各行政事业单位</w:t>
      </w:r>
      <w:r>
        <w:rPr>
          <w:rFonts w:hint="eastAsia" w:ascii="仿宋_GB2312" w:hAnsi="仿宋_GB2312" w:eastAsia="仿宋_GB2312" w:cs="仿宋_GB2312"/>
          <w:color w:val="auto"/>
          <w:sz w:val="32"/>
          <w:szCs w:val="32"/>
          <w:lang w:eastAsia="zh-CN"/>
        </w:rPr>
        <w:t>（以下简称“单位”）。国有公司、社区参照执行。</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(二)本办法所称行政事业性国有资产（以下简称资产），是指单位使用财政资金</w:t>
      </w:r>
      <w:r>
        <w:rPr>
          <w:rFonts w:hint="eastAsia" w:ascii="仿宋_GB2312" w:hAnsi="仿宋_GB2312" w:eastAsia="仿宋_GB2312" w:cs="仿宋_GB2312"/>
          <w:color w:val="auto"/>
          <w:sz w:val="32"/>
          <w:szCs w:val="32"/>
          <w:lang w:val="en-US" w:eastAsia="zh-CN"/>
        </w:rPr>
        <w:t>形成的资产</w:t>
      </w:r>
      <w:r>
        <w:rPr>
          <w:rFonts w:hint="eastAsia" w:ascii="仿宋_GB2312" w:hAnsi="仿宋_GB2312" w:eastAsia="仿宋_GB2312" w:cs="仿宋_GB2312"/>
          <w:color w:val="auto"/>
          <w:sz w:val="32"/>
          <w:szCs w:val="32"/>
          <w:lang w:eastAsia="zh-CN"/>
        </w:rPr>
        <w:t>，接受调拨或者划转、置换</w:t>
      </w:r>
      <w:r>
        <w:rPr>
          <w:rFonts w:hint="eastAsia" w:ascii="仿宋_GB2312" w:hAnsi="仿宋_GB2312" w:eastAsia="仿宋_GB2312" w:cs="仿宋_GB2312"/>
          <w:color w:val="auto"/>
          <w:sz w:val="32"/>
          <w:szCs w:val="32"/>
          <w:lang w:val="en-US" w:eastAsia="zh-CN"/>
        </w:rPr>
        <w:t>形成的资产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接受</w:t>
      </w:r>
      <w:r>
        <w:rPr>
          <w:rFonts w:hint="eastAsia" w:ascii="仿宋_GB2312" w:hAnsi="仿宋_GB2312" w:eastAsia="仿宋_GB2312" w:cs="仿宋_GB2312"/>
          <w:color w:val="auto"/>
          <w:sz w:val="32"/>
          <w:szCs w:val="32"/>
          <w:lang w:eastAsia="zh-CN"/>
        </w:rPr>
        <w:t>捐赠</w:t>
      </w:r>
      <w:r>
        <w:rPr>
          <w:rFonts w:hint="eastAsia" w:ascii="仿宋_GB2312" w:hAnsi="仿宋_GB2312" w:eastAsia="仿宋_GB2312" w:cs="仿宋_GB2312"/>
          <w:color w:val="auto"/>
          <w:sz w:val="32"/>
          <w:szCs w:val="32"/>
          <w:lang w:val="en-US" w:eastAsia="zh-CN"/>
        </w:rPr>
        <w:t>并确认为国有的资产，以及其他依法确认为国有的资产</w:t>
      </w:r>
      <w:r>
        <w:rPr>
          <w:rFonts w:hint="eastAsia" w:ascii="仿宋_GB2312" w:hAnsi="仿宋_GB2312" w:eastAsia="仿宋_GB2312" w:cs="仿宋_GB2312"/>
          <w:color w:val="auto"/>
          <w:sz w:val="32"/>
          <w:szCs w:val="32"/>
          <w:lang w:eastAsia="zh-CN"/>
        </w:rPr>
        <w:t>。具体包括：固定资产、无形资产、在建工程、公共基础设施、保障性住房等</w:t>
      </w:r>
      <w:r>
        <w:rPr>
          <w:rFonts w:hint="eastAsia" w:ascii="仿宋_GB2312" w:hAnsi="仿宋_GB2312" w:eastAsia="仿宋_GB2312" w:cs="仿宋_GB2312"/>
          <w:color w:val="auto"/>
          <w:sz w:val="32"/>
          <w:szCs w:val="32"/>
          <w:lang w:val="en-US" w:eastAsia="zh-CN"/>
        </w:rPr>
        <w:t>。</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(三)资产管理应当遵循“安全规范、节约高效、公开透明、权责一致”的原则，坚持统一领导、分级管理、责任到人的管理体制，实现实物管理与价值管理相统一，资产管理与预算管理、财务管理相结合。</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组织体系和</w:t>
      </w:r>
      <w:r>
        <w:rPr>
          <w:rFonts w:hint="eastAsia" w:ascii="黑体" w:hAnsi="黑体" w:eastAsia="黑体" w:cs="黑体"/>
          <w:b w:val="0"/>
          <w:bCs w:val="0"/>
          <w:color w:val="auto"/>
          <w:sz w:val="32"/>
          <w:szCs w:val="32"/>
        </w:rPr>
        <w:t>管理</w:t>
      </w:r>
      <w:r>
        <w:rPr>
          <w:rFonts w:hint="eastAsia" w:ascii="黑体" w:hAnsi="黑体" w:eastAsia="黑体" w:cs="黑体"/>
          <w:b w:val="0"/>
          <w:bCs w:val="0"/>
          <w:color w:val="auto"/>
          <w:sz w:val="32"/>
          <w:szCs w:val="32"/>
          <w:lang w:eastAsia="zh-CN"/>
        </w:rPr>
        <w:t>职责</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综合信息指挥室（资产管理）（以下简称“资产管理办”）为</w:t>
      </w:r>
      <w:r>
        <w:rPr>
          <w:rFonts w:hint="eastAsia" w:ascii="仿宋_GB2312" w:hAnsi="仿宋_GB2312" w:eastAsia="仿宋_GB2312" w:cs="仿宋_GB2312"/>
          <w:color w:val="auto"/>
          <w:sz w:val="32"/>
          <w:szCs w:val="32"/>
          <w:lang w:val="en-US" w:eastAsia="zh-CN"/>
        </w:rPr>
        <w:t>街道国有</w:t>
      </w:r>
      <w:r>
        <w:rPr>
          <w:rFonts w:hint="eastAsia" w:ascii="仿宋_GB2312" w:hAnsi="仿宋_GB2312" w:eastAsia="仿宋_GB2312" w:cs="仿宋_GB2312"/>
          <w:color w:val="auto"/>
          <w:sz w:val="32"/>
          <w:szCs w:val="32"/>
          <w:lang w:eastAsia="zh-CN"/>
        </w:rPr>
        <w:t>资产管理的职能机构，</w:t>
      </w:r>
      <w:r>
        <w:rPr>
          <w:rFonts w:hint="eastAsia" w:ascii="仿宋_GB2312" w:hAnsi="仿宋_GB2312" w:eastAsia="仿宋_GB2312" w:cs="仿宋_GB2312"/>
          <w:color w:val="auto"/>
          <w:sz w:val="32"/>
          <w:szCs w:val="32"/>
          <w:lang w:val="en-US" w:eastAsia="zh-CN"/>
        </w:rPr>
        <w:t>统筹</w:t>
      </w:r>
      <w:r>
        <w:rPr>
          <w:rFonts w:hint="eastAsia" w:ascii="仿宋_GB2312" w:hAnsi="仿宋_GB2312" w:eastAsia="仿宋_GB2312" w:cs="仿宋_GB2312"/>
          <w:color w:val="auto"/>
          <w:sz w:val="32"/>
          <w:szCs w:val="32"/>
          <w:lang w:eastAsia="zh-CN"/>
        </w:rPr>
        <w:t>各行政事业</w:t>
      </w:r>
      <w:r>
        <w:rPr>
          <w:rFonts w:hint="eastAsia" w:ascii="仿宋_GB2312" w:hAnsi="仿宋_GB2312" w:eastAsia="仿宋_GB2312" w:cs="仿宋_GB2312"/>
          <w:color w:val="auto"/>
          <w:sz w:val="32"/>
          <w:szCs w:val="32"/>
        </w:rPr>
        <w:t>单位资产的</w:t>
      </w:r>
      <w:r>
        <w:rPr>
          <w:rFonts w:hint="eastAsia" w:ascii="仿宋_GB2312" w:hAnsi="仿宋_GB2312" w:eastAsia="仿宋_GB2312" w:cs="仿宋_GB2312"/>
          <w:color w:val="auto"/>
          <w:sz w:val="32"/>
          <w:szCs w:val="32"/>
          <w:lang w:eastAsia="zh-CN"/>
        </w:rPr>
        <w:t>日常管理，指导和监督</w:t>
      </w:r>
      <w:r>
        <w:rPr>
          <w:rFonts w:hint="eastAsia" w:ascii="仿宋_GB2312" w:hAnsi="仿宋_GB2312" w:eastAsia="仿宋_GB2312" w:cs="仿宋_GB2312"/>
          <w:color w:val="auto"/>
          <w:sz w:val="32"/>
          <w:szCs w:val="32"/>
          <w:lang w:val="en-US" w:eastAsia="zh-CN"/>
        </w:rPr>
        <w:t>国有公司、社区所涉资产的运营管理，</w:t>
      </w:r>
      <w:r>
        <w:rPr>
          <w:rFonts w:hint="eastAsia" w:ascii="仿宋_GB2312" w:hAnsi="仿宋_GB2312" w:eastAsia="仿宋_GB2312" w:cs="仿宋_GB2312"/>
          <w:i/>
          <w:color w:val="auto"/>
          <w:sz w:val="32"/>
          <w:szCs w:val="32"/>
          <w:lang w:val="en-US" w:eastAsia="zh-CN"/>
        </w:rPr>
        <w:t>以及维护国有资产管理信息系统等职责</w:t>
      </w:r>
      <w:r>
        <w:rPr>
          <w:rFonts w:hint="eastAsia" w:ascii="仿宋_GB2312" w:hAnsi="仿宋_GB2312" w:eastAsia="仿宋_GB2312" w:cs="仿宋_GB2312"/>
          <w:i/>
          <w:color w:val="auto"/>
          <w:sz w:val="32"/>
          <w:szCs w:val="32"/>
          <w:lang w:eastAsia="zh-CN"/>
        </w:rPr>
        <w:t>。</w:t>
      </w:r>
      <w:r>
        <w:rPr>
          <w:rFonts w:hint="eastAsia" w:ascii="仿宋_GB2312" w:hAnsi="仿宋_GB2312" w:eastAsia="仿宋_GB2312" w:cs="仿宋_GB2312"/>
          <w:color w:val="auto"/>
          <w:sz w:val="32"/>
          <w:szCs w:val="32"/>
          <w:lang w:eastAsia="zh-CN"/>
        </w:rPr>
        <w:t>涉及重大事项负责</w:t>
      </w:r>
      <w:r>
        <w:rPr>
          <w:rFonts w:hint="eastAsia" w:ascii="仿宋_GB2312" w:hAnsi="仿宋_GB2312" w:eastAsia="仿宋_GB2312" w:cs="仿宋_GB2312"/>
          <w:color w:val="auto"/>
          <w:sz w:val="32"/>
          <w:szCs w:val="32"/>
        </w:rPr>
        <w:t>提请</w:t>
      </w:r>
      <w:r>
        <w:rPr>
          <w:rFonts w:hint="eastAsia" w:ascii="仿宋_GB2312" w:hAnsi="仿宋_GB2312" w:eastAsia="仿宋_GB2312" w:cs="仿宋_GB2312"/>
          <w:color w:val="auto"/>
          <w:sz w:val="32"/>
          <w:szCs w:val="32"/>
          <w:lang w:eastAsia="zh-CN"/>
        </w:rPr>
        <w:t>街道办事处主任办公会议或街道党委会议讨论决定。</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（五） </w:t>
      </w:r>
      <w:r>
        <w:rPr>
          <w:rFonts w:hint="default" w:ascii="仿宋_GB2312" w:hAnsi="仿宋_GB2312" w:eastAsia="仿宋_GB2312" w:cs="仿宋_GB2312"/>
          <w:color w:val="auto"/>
          <w:sz w:val="32"/>
          <w:szCs w:val="32"/>
          <w:lang w:val="en-US" w:eastAsia="zh-CN"/>
        </w:rPr>
        <w:t>各单位对占有</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使用的国有资产承担主体责任，负责本单位国有资产的具体管理</w:t>
      </w:r>
      <w:r>
        <w:rPr>
          <w:rFonts w:hint="eastAsia" w:ascii="仿宋_GB2312" w:hAnsi="仿宋_GB2312" w:eastAsia="仿宋_GB2312" w:cs="仿宋_GB2312"/>
          <w:color w:val="auto"/>
          <w:sz w:val="32"/>
          <w:szCs w:val="32"/>
          <w:lang w:val="en-US" w:eastAsia="zh-CN"/>
        </w:rPr>
        <w:t>，落实资产管理员。</w:t>
      </w:r>
      <w:r>
        <w:rPr>
          <w:rFonts w:hint="default" w:ascii="仿宋_GB2312" w:hAnsi="仿宋_GB2312" w:eastAsia="仿宋_GB2312" w:cs="仿宋_GB2312"/>
          <w:color w:val="auto"/>
          <w:sz w:val="32"/>
          <w:szCs w:val="32"/>
          <w:lang w:val="en-US" w:eastAsia="zh-CN"/>
        </w:rPr>
        <w:t>做好本单位资产购置、验收入库、使用保管、资产盘点</w:t>
      </w:r>
      <w:r>
        <w:rPr>
          <w:rFonts w:hint="eastAsia" w:ascii="仿宋_GB2312" w:hAnsi="仿宋_GB2312" w:eastAsia="仿宋_GB2312" w:cs="仿宋_GB2312"/>
          <w:color w:val="auto"/>
          <w:sz w:val="32"/>
          <w:szCs w:val="32"/>
          <w:lang w:val="en-US" w:eastAsia="zh-CN"/>
        </w:rPr>
        <w:t>和资产处置</w:t>
      </w:r>
      <w:r>
        <w:rPr>
          <w:rFonts w:hint="default" w:ascii="仿宋_GB2312" w:hAnsi="仿宋_GB2312" w:eastAsia="仿宋_GB2312" w:cs="仿宋_GB2312"/>
          <w:color w:val="auto"/>
          <w:sz w:val="32"/>
          <w:szCs w:val="32"/>
          <w:lang w:val="en-US" w:eastAsia="zh-CN"/>
        </w:rPr>
        <w:t>等日常管理工作</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办理本单位国有资产的配置、处置、出租、出借和事业单位对外投资等事项的管理报批手续</w:t>
      </w:r>
      <w:r>
        <w:rPr>
          <w:rFonts w:hint="eastAsia" w:ascii="仿宋_GB2312" w:hAnsi="仿宋_GB2312" w:eastAsia="仿宋_GB2312" w:cs="仿宋_GB2312"/>
          <w:color w:val="auto"/>
          <w:sz w:val="32"/>
          <w:szCs w:val="32"/>
          <w:lang w:val="en-US" w:eastAsia="zh-CN"/>
        </w:rPr>
        <w:t>。</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财政办根据年度财力状况及资产配置标准和单位资产存量状况，对资产购置预算提出审核意见并据此安排年度资产购置预算资金。按照国家统一的会计制度规定及时进行会计核算，与资产管理办按月进行资产核对，配合做好资产盘点。</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三、资产配置</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)资产配置是指单位为保证履行职责需要，按照规定的标准和程序，合理选择购置、</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、调剂、租用、接受捐赠等方式配备资产的行为。</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)单位应当根据依法履行职能、提供公共服务和事业发展的需要，按照勤俭节约、讲求绩效和绿色环保的要求，结合资产存量、资产配置标准、</w:t>
      </w:r>
      <w:r>
        <w:rPr>
          <w:rFonts w:hint="eastAsia" w:ascii="仿宋_GB2312" w:hAnsi="仿宋_GB2312" w:eastAsia="仿宋_GB2312" w:cs="仿宋_GB2312"/>
          <w:color w:val="auto"/>
          <w:sz w:val="32"/>
          <w:szCs w:val="32"/>
          <w:lang w:eastAsia="zh-CN"/>
        </w:rPr>
        <w:t>资产配置编制</w:t>
      </w:r>
      <w:r>
        <w:rPr>
          <w:rFonts w:hint="eastAsia" w:ascii="仿宋_GB2312" w:hAnsi="仿宋_GB2312" w:eastAsia="仿宋_GB2312" w:cs="仿宋_GB2312"/>
          <w:color w:val="auto"/>
          <w:sz w:val="32"/>
          <w:szCs w:val="32"/>
        </w:rPr>
        <w:t>配置资产。</w:t>
      </w:r>
      <w:r>
        <w:rPr>
          <w:rFonts w:hint="eastAsia" w:ascii="仿宋_GB2312" w:hAnsi="仿宋_GB2312" w:eastAsia="仿宋_GB2312" w:cs="仿宋_GB2312"/>
          <w:b w:val="0"/>
          <w:bCs w:val="0"/>
          <w:color w:val="auto"/>
          <w:sz w:val="32"/>
          <w:szCs w:val="32"/>
          <w:lang w:eastAsia="zh-CN"/>
        </w:rPr>
        <w:t>资产配置应严格落实年度资产配置编制规定，</w:t>
      </w:r>
      <w:r>
        <w:rPr>
          <w:rFonts w:hint="eastAsia" w:ascii="仿宋_GB2312" w:hAnsi="仿宋_GB2312" w:eastAsia="仿宋_GB2312" w:cs="仿宋_GB2312"/>
          <w:color w:val="auto"/>
          <w:sz w:val="32"/>
          <w:szCs w:val="32"/>
        </w:rPr>
        <w:t>对未制定配置</w:t>
      </w:r>
      <w:r>
        <w:rPr>
          <w:rFonts w:hint="eastAsia" w:ascii="仿宋_GB2312" w:hAnsi="仿宋_GB2312" w:eastAsia="仿宋_GB2312" w:cs="仿宋_GB2312"/>
          <w:color w:val="auto"/>
          <w:sz w:val="32"/>
          <w:szCs w:val="32"/>
          <w:lang w:eastAsia="zh-CN"/>
        </w:rPr>
        <w:t>编制</w:t>
      </w:r>
      <w:r>
        <w:rPr>
          <w:rFonts w:hint="eastAsia" w:ascii="仿宋_GB2312" w:hAnsi="仿宋_GB2312" w:eastAsia="仿宋_GB2312" w:cs="仿宋_GB2312"/>
          <w:color w:val="auto"/>
          <w:sz w:val="32"/>
          <w:szCs w:val="32"/>
        </w:rPr>
        <w:t>的资产，应当按需从严控制。应当优先通过调剂方式配置资产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不能调剂的，可以采用购置、建设、租用等方式。</w:t>
      </w:r>
      <w:r>
        <w:rPr>
          <w:rFonts w:hint="eastAsia" w:ascii="仿宋_GB2312" w:hAnsi="仿宋_GB2312" w:eastAsia="仿宋_GB2312" w:cs="仿宋_GB2312"/>
          <w:bCs/>
          <w:color w:val="auto"/>
          <w:spacing w:val="-6"/>
          <w:sz w:val="32"/>
          <w:szCs w:val="32"/>
          <w:lang w:eastAsia="zh-CN"/>
        </w:rPr>
        <w:t>健全</w:t>
      </w:r>
      <w:r>
        <w:rPr>
          <w:rFonts w:hint="eastAsia" w:ascii="仿宋_GB2312" w:hAnsi="仿宋_GB2312" w:eastAsia="仿宋_GB2312" w:cs="仿宋_GB2312"/>
          <w:bCs/>
          <w:color w:val="auto"/>
          <w:spacing w:val="-6"/>
          <w:sz w:val="32"/>
          <w:szCs w:val="32"/>
        </w:rPr>
        <w:t>公物仓</w:t>
      </w:r>
      <w:r>
        <w:rPr>
          <w:rFonts w:hint="eastAsia" w:ascii="仿宋_GB2312" w:hAnsi="仿宋_GB2312" w:eastAsia="仿宋_GB2312" w:cs="仿宋_GB2312"/>
          <w:bCs/>
          <w:color w:val="auto"/>
          <w:spacing w:val="-6"/>
          <w:sz w:val="32"/>
          <w:szCs w:val="32"/>
          <w:lang w:eastAsia="zh-CN"/>
        </w:rPr>
        <w:t>、公益仓</w:t>
      </w:r>
      <w:r>
        <w:rPr>
          <w:rFonts w:hint="eastAsia" w:ascii="仿宋_GB2312" w:hAnsi="仿宋_GB2312" w:eastAsia="仿宋_GB2312" w:cs="仿宋_GB2312"/>
          <w:bCs/>
          <w:color w:val="auto"/>
          <w:spacing w:val="-6"/>
          <w:sz w:val="32"/>
          <w:szCs w:val="32"/>
        </w:rPr>
        <w:t>机制，对低效运转或者长期闲置资产以及工作任务完成后的临时机构（大型会议）购置资产实行集中管理，统一调剂利用,有效盘活存量资产，提高资产使用绩效</w:t>
      </w:r>
      <w:r>
        <w:rPr>
          <w:rFonts w:hint="eastAsia" w:ascii="仿宋_GB2312" w:hAnsi="仿宋_GB2312" w:eastAsia="仿宋_GB2312" w:cs="仿宋_GB2312"/>
          <w:bCs/>
          <w:color w:val="auto"/>
          <w:spacing w:val="-6"/>
          <w:sz w:val="32"/>
          <w:szCs w:val="32"/>
          <w:lang w:eastAsia="zh-CN"/>
        </w:rPr>
        <w:t>。</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 对建筑物、大型设备、开发建设的软件等重点资产购建应当经可行性研究和集体决策程序，需要立项的，按照相关项目管理规定执行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配置资产价值较高的按照国家有关规定进行资产评估，并履行审批程序。</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)单位应根据完成职能的最低限度和最优标准，结合存量资产情况编制相关支出预算，不得超标超编配置资产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严格按照批准的资产配置预算组织实施，年度预算执行中如确需对已批准的资产配置预算作调整的，须按程序报批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配置列入控购范围的资产，应按规定办理控购审批手续；购置纳入政府采购范围的资产，应当依法实施政府采购。</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四、资产使用</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)资产使用是指单位资产的自用、出租</w:t>
      </w:r>
      <w:r>
        <w:rPr>
          <w:rFonts w:hint="eastAsia" w:ascii="仿宋_GB2312" w:hAnsi="仿宋_GB2312" w:eastAsia="仿宋_GB2312" w:cs="仿宋_GB2312"/>
          <w:color w:val="auto"/>
          <w:sz w:val="32"/>
          <w:szCs w:val="32"/>
          <w:lang w:eastAsia="zh-CN"/>
        </w:rPr>
        <w:t>、出借</w:t>
      </w:r>
      <w:r>
        <w:rPr>
          <w:rFonts w:hint="eastAsia" w:ascii="仿宋_GB2312" w:hAnsi="仿宋_GB2312" w:eastAsia="仿宋_GB2312" w:cs="仿宋_GB2312"/>
          <w:color w:val="auto"/>
          <w:sz w:val="32"/>
          <w:szCs w:val="32"/>
        </w:rPr>
        <w:t>以及对外投资和担保等行为</w:t>
      </w:r>
      <w:r>
        <w:rPr>
          <w:rFonts w:hint="eastAsia" w:ascii="仿宋_GB2312" w:hAnsi="仿宋_GB2312" w:eastAsia="仿宋_GB2312" w:cs="仿宋_GB2312"/>
          <w:color w:val="auto"/>
          <w:sz w:val="32"/>
          <w:szCs w:val="32"/>
          <w:lang w:eastAsia="zh-CN"/>
        </w:rPr>
        <w:t>。</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)单位应当明确资产管理</w:t>
      </w:r>
      <w:r>
        <w:rPr>
          <w:rFonts w:hint="eastAsia" w:ascii="仿宋_GB2312" w:hAnsi="仿宋_GB2312" w:eastAsia="仿宋_GB2312" w:cs="仿宋_GB2312"/>
          <w:color w:val="auto"/>
          <w:sz w:val="32"/>
          <w:szCs w:val="32"/>
          <w:lang w:eastAsia="zh-CN"/>
        </w:rPr>
        <w:t>员和</w:t>
      </w:r>
      <w:r>
        <w:rPr>
          <w:rFonts w:hint="eastAsia" w:ascii="仿宋_GB2312" w:hAnsi="仿宋_GB2312" w:eastAsia="仿宋_GB2312" w:cs="仿宋_GB2312"/>
          <w:color w:val="auto"/>
          <w:sz w:val="32"/>
          <w:szCs w:val="32"/>
        </w:rPr>
        <w:t>使用人的</w:t>
      </w:r>
      <w:r>
        <w:rPr>
          <w:rFonts w:hint="eastAsia" w:ascii="仿宋_GB2312" w:hAnsi="仿宋_GB2312" w:eastAsia="仿宋_GB2312" w:cs="仿宋_GB2312"/>
          <w:color w:val="auto"/>
          <w:sz w:val="32"/>
          <w:szCs w:val="32"/>
          <w:lang w:eastAsia="zh-CN"/>
        </w:rPr>
        <w:t>职责</w:t>
      </w:r>
      <w:r>
        <w:rPr>
          <w:rFonts w:hint="eastAsia" w:ascii="仿宋_GB2312" w:hAnsi="仿宋_GB2312" w:eastAsia="仿宋_GB2312" w:cs="仿宋_GB2312"/>
          <w:color w:val="auto"/>
          <w:sz w:val="32"/>
          <w:szCs w:val="32"/>
        </w:rPr>
        <w:t>。资产</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lang w:val="en-US" w:eastAsia="zh-CN"/>
        </w:rPr>
        <w:t>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rPr>
        <w:t>人应当履行岗位责任，合理管理、使用资产，充分发挥资产效能。资产需要维修、保养、调剂、更新、报废的，资产管理</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rPr>
        <w:t>、使用人应当及时</w:t>
      </w:r>
      <w:r>
        <w:rPr>
          <w:rFonts w:hint="eastAsia" w:ascii="仿宋_GB2312" w:hAnsi="仿宋_GB2312" w:eastAsia="仿宋_GB2312" w:cs="仿宋_GB2312"/>
          <w:color w:val="auto"/>
          <w:sz w:val="32"/>
          <w:szCs w:val="32"/>
          <w:lang w:eastAsia="zh-CN"/>
        </w:rPr>
        <w:t>按规定要求</w:t>
      </w:r>
      <w:r>
        <w:rPr>
          <w:rFonts w:hint="eastAsia" w:ascii="仿宋_GB2312" w:hAnsi="仿宋_GB2312" w:eastAsia="仿宋_GB2312" w:cs="仿宋_GB2312"/>
          <w:color w:val="auto"/>
          <w:sz w:val="32"/>
          <w:szCs w:val="32"/>
        </w:rPr>
        <w:t>提出。资产管理</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rPr>
        <w:t>、使用人发生变化的，应当及时办理交接手续。</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)单位应当按照规定设置资产台账，对各种方式获得的资产进行验收，登记资产明细账，进行会计核算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严把数量、质量关，不得形成账外资产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对无法确定价值</w:t>
      </w:r>
      <w:r>
        <w:rPr>
          <w:rFonts w:hint="eastAsia" w:ascii="仿宋_GB2312" w:hAnsi="仿宋_GB2312" w:eastAsia="仿宋_GB2312" w:cs="仿宋_GB2312"/>
          <w:color w:val="000000"/>
          <w:kern w:val="2"/>
          <w:sz w:val="32"/>
          <w:szCs w:val="32"/>
          <w:highlight w:val="none"/>
          <w:lang w:val="en-US" w:eastAsia="zh-CN" w:bidi="ar-SA"/>
        </w:rPr>
        <w:t>且</w:t>
      </w:r>
      <w:r>
        <w:rPr>
          <w:rFonts w:hint="default" w:ascii="仿宋_GB2312" w:hAnsi="仿宋_GB2312" w:eastAsia="仿宋_GB2312" w:cs="仿宋_GB2312"/>
          <w:color w:val="000000"/>
          <w:kern w:val="2"/>
          <w:sz w:val="32"/>
          <w:szCs w:val="32"/>
          <w:highlight w:val="none"/>
          <w:lang w:val="en-US" w:eastAsia="zh-CN" w:bidi="ar-SA"/>
        </w:rPr>
        <w:t>无法通过历史成本或者重置成本确定价值量</w:t>
      </w:r>
      <w:r>
        <w:rPr>
          <w:rFonts w:hint="eastAsia" w:ascii="仿宋_GB2312" w:hAnsi="仿宋_GB2312" w:eastAsia="仿宋_GB2312" w:cs="仿宋_GB2312"/>
          <w:color w:val="auto"/>
          <w:sz w:val="32"/>
          <w:szCs w:val="32"/>
        </w:rPr>
        <w:t>的资产，可以根据需要</w:t>
      </w:r>
      <w:r>
        <w:rPr>
          <w:rFonts w:hint="eastAsia" w:ascii="仿宋_GB2312" w:hAnsi="仿宋_GB2312" w:eastAsia="仿宋_GB2312" w:cs="仿宋_GB2312"/>
          <w:color w:val="auto"/>
          <w:sz w:val="32"/>
          <w:szCs w:val="32"/>
          <w:lang w:eastAsia="zh-CN"/>
        </w:rPr>
        <w:t>委托第三方资产评估机构</w:t>
      </w:r>
      <w:r>
        <w:rPr>
          <w:rFonts w:hint="eastAsia" w:ascii="仿宋_GB2312" w:hAnsi="仿宋_GB2312" w:eastAsia="仿宋_GB2312" w:cs="仿宋_GB2312"/>
          <w:color w:val="auto"/>
          <w:sz w:val="32"/>
          <w:szCs w:val="32"/>
        </w:rPr>
        <w:t>进行估价</w:t>
      </w:r>
      <w:r>
        <w:rPr>
          <w:rFonts w:hint="eastAsia" w:ascii="仿宋_GB2312" w:hAnsi="仿宋_GB2312" w:eastAsia="仿宋_GB2312" w:cs="仿宋_GB2312"/>
          <w:color w:val="000000"/>
          <w:kern w:val="2"/>
          <w:sz w:val="32"/>
          <w:szCs w:val="32"/>
          <w:highlight w:val="none"/>
          <w:lang w:val="en-US" w:eastAsia="zh-CN" w:bidi="ar-SA"/>
        </w:rPr>
        <w:t>（固定资产还可以名义金额入账）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对无法进行会计确认入账的资产可以登记备查账，反映资产实际状况。</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)采用建设方式配置资产的，应当在建设项目竣工验收合格后及时办理资产交付手续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，并在规定期限内办理竣工财务决算，期限最长不得超过 1 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对已交付但未办理竣工财务决算的建设项目，应当按照国家统一的会计制度确定暂估价值登记资产账，办理权属登记，竣工财务决算后再按实际成本调整原来暂估价值。</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 单位应明晰资产权属，加强产权保护，需要办理权属登记的资产应当依法及时办理。</w:t>
      </w:r>
      <w:r>
        <w:rPr>
          <w:rFonts w:hint="eastAsia" w:ascii="仿宋_GB2312" w:hAnsi="仿宋_GB2312" w:eastAsia="仿宋_GB2312" w:cs="仿宋_GB2312"/>
          <w:bCs/>
          <w:color w:val="auto"/>
          <w:spacing w:val="-6"/>
          <w:sz w:val="32"/>
          <w:szCs w:val="32"/>
        </w:rPr>
        <w:t>资产变动应当及时办理变更登记，避免权属不清</w:t>
      </w:r>
      <w:r>
        <w:rPr>
          <w:rFonts w:hint="eastAsia" w:ascii="仿宋_GB2312" w:hAnsi="仿宋_GB2312" w:eastAsia="仿宋_GB2312" w:cs="仿宋_GB2312"/>
          <w:bCs/>
          <w:color w:val="auto"/>
          <w:spacing w:val="-6"/>
          <w:sz w:val="32"/>
          <w:szCs w:val="32"/>
          <w:lang w:eastAsia="zh-CN"/>
        </w:rPr>
        <w:t>，</w:t>
      </w:r>
      <w:r>
        <w:rPr>
          <w:rFonts w:hint="eastAsia" w:ascii="仿宋_GB2312" w:hAnsi="仿宋_GB2312" w:eastAsia="仿宋_GB2312" w:cs="仿宋_GB2312"/>
          <w:bCs/>
          <w:color w:val="auto"/>
          <w:spacing w:val="-6"/>
          <w:sz w:val="32"/>
          <w:szCs w:val="32"/>
        </w:rPr>
        <w:t>实现不动产登记应办尽办。</w:t>
      </w:r>
      <w:r>
        <w:rPr>
          <w:rFonts w:hint="eastAsia" w:ascii="仿宋_GB2312" w:hAnsi="仿宋_GB2312" w:eastAsia="仿宋_GB2312" w:cs="仿宋_GB2312"/>
          <w:color w:val="auto"/>
          <w:sz w:val="32"/>
          <w:szCs w:val="32"/>
        </w:rPr>
        <w:t>与非国有单位或者个人之间发生产权纠纷的，由单位提出处理意见，按规定程序批准后与对方当事人协商解决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协商不能解决的，依照司法程序处理。</w:t>
      </w:r>
    </w:p>
    <w:p>
      <w:pPr>
        <w:pStyle w:val="6"/>
        <w:keepNext w:val="0"/>
        <w:keepLines w:val="0"/>
        <w:pageBreakBefore w:val="0"/>
        <w:kinsoku/>
        <w:wordWrap/>
        <w:overflowPunct/>
        <w:topLinePunct w:val="0"/>
        <w:autoSpaceDE w:val="0"/>
        <w:autoSpaceDN w:val="0"/>
        <w:bidi w:val="0"/>
        <w:adjustRightInd/>
        <w:snapToGrid w:val="0"/>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w:t>
      </w:r>
      <w:r>
        <w:rPr>
          <w:rFonts w:hint="eastAsia" w:hAnsi="仿宋_GB2312" w:cs="仿宋_GB2312"/>
          <w:color w:val="auto"/>
          <w:sz w:val="32"/>
          <w:szCs w:val="32"/>
          <w:lang w:val="en-US" w:eastAsia="zh-CN"/>
        </w:rPr>
        <w:t>六</w:t>
      </w:r>
      <w:r>
        <w:rPr>
          <w:rFonts w:hint="eastAsia" w:ascii="仿宋_GB2312" w:hAnsi="仿宋_GB2312" w:eastAsia="仿宋_GB2312" w:cs="仿宋_GB2312"/>
          <w:color w:val="auto"/>
          <w:sz w:val="32"/>
          <w:szCs w:val="32"/>
        </w:rPr>
        <w:t>)资产出租应按照公开、公平、公正原则，经</w:t>
      </w:r>
      <w:r>
        <w:rPr>
          <w:rFonts w:hint="eastAsia" w:hAnsi="仿宋_GB2312" w:cs="仿宋_GB2312"/>
          <w:color w:val="auto"/>
          <w:sz w:val="32"/>
          <w:szCs w:val="32"/>
          <w:lang w:eastAsia="zh-CN"/>
        </w:rPr>
        <w:t>审批</w:t>
      </w:r>
      <w:r>
        <w:rPr>
          <w:rFonts w:hint="eastAsia" w:ascii="仿宋_GB2312" w:hAnsi="仿宋_GB2312" w:eastAsia="仿宋_GB2312" w:cs="仿宋_GB2312"/>
          <w:color w:val="auto"/>
          <w:sz w:val="32"/>
          <w:szCs w:val="32"/>
        </w:rPr>
        <w:t>评估后</w:t>
      </w:r>
      <w:r>
        <w:rPr>
          <w:rFonts w:hint="eastAsia" w:hAnsi="仿宋_GB2312" w:cs="仿宋_GB2312"/>
          <w:b w:val="0"/>
          <w:bCs w:val="0"/>
          <w:color w:val="auto"/>
          <w:sz w:val="32"/>
          <w:szCs w:val="32"/>
          <w:lang w:eastAsia="zh-CN"/>
        </w:rPr>
        <w:t>（附件</w:t>
      </w:r>
      <w:r>
        <w:rPr>
          <w:rFonts w:hint="eastAsia" w:hAnsi="仿宋_GB2312" w:cs="仿宋_GB2312"/>
          <w:b w:val="0"/>
          <w:bCs w:val="0"/>
          <w:color w:val="auto"/>
          <w:sz w:val="32"/>
          <w:szCs w:val="32"/>
          <w:lang w:val="en-US" w:eastAsia="zh-CN"/>
        </w:rPr>
        <w:t>2</w:t>
      </w:r>
      <w:r>
        <w:rPr>
          <w:rFonts w:hint="eastAsia"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委托公共资源交易中心或产权交易机构实行公开出租，</w:t>
      </w:r>
      <w:r>
        <w:rPr>
          <w:rFonts w:hint="eastAsia" w:ascii="仿宋_GB2312" w:hAnsi="仿宋_GB2312" w:eastAsia="仿宋_GB2312" w:cs="仿宋_GB2312"/>
          <w:color w:val="auto"/>
          <w:sz w:val="32"/>
          <w:szCs w:val="32"/>
          <w:highlight w:val="none"/>
          <w:lang w:eastAsia="zh-CN"/>
        </w:rPr>
        <w:t>出</w:t>
      </w:r>
      <w:r>
        <w:rPr>
          <w:rFonts w:hint="eastAsia" w:ascii="仿宋_GB2312" w:hAnsi="仿宋_GB2312" w:eastAsia="仿宋_GB2312" w:cs="仿宋_GB2312"/>
          <w:color w:val="auto"/>
          <w:sz w:val="32"/>
          <w:szCs w:val="32"/>
          <w:highlight w:val="none"/>
        </w:rPr>
        <w:t>租期限一般不得超过</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情况特殊的，不得超过5年。</w:t>
      </w:r>
      <w:r>
        <w:rPr>
          <w:rFonts w:hint="eastAsia" w:ascii="仿宋_GB2312" w:hAnsi="仿宋_GB2312" w:eastAsia="仿宋_GB2312" w:cs="仿宋_GB2312"/>
          <w:color w:val="auto"/>
          <w:sz w:val="32"/>
          <w:szCs w:val="32"/>
        </w:rPr>
        <w:t>因特殊情况无法公开出租的，</w:t>
      </w:r>
      <w:r>
        <w:rPr>
          <w:rFonts w:hint="eastAsia" w:ascii="仿宋_GB2312" w:hAnsi="仿宋_GB2312" w:eastAsia="仿宋_GB2312" w:cs="仿宋_GB2312"/>
          <w:color w:val="auto"/>
          <w:sz w:val="32"/>
          <w:szCs w:val="32"/>
          <w:highlight w:val="none"/>
        </w:rPr>
        <w:t>经</w:t>
      </w:r>
      <w:r>
        <w:rPr>
          <w:rFonts w:hint="eastAsia" w:hAnsi="仿宋_GB2312" w:cs="仿宋_GB2312"/>
          <w:color w:val="auto"/>
          <w:sz w:val="32"/>
          <w:szCs w:val="32"/>
          <w:highlight w:val="none"/>
          <w:lang w:val="en-US" w:eastAsia="zh-CN"/>
        </w:rPr>
        <w:t>集体研究同意</w:t>
      </w:r>
      <w:r>
        <w:rPr>
          <w:rFonts w:hint="eastAsia" w:ascii="仿宋_GB2312" w:hAnsi="仿宋_GB2312" w:eastAsia="仿宋_GB2312" w:cs="仿宋_GB2312"/>
          <w:color w:val="auto"/>
          <w:sz w:val="32"/>
          <w:szCs w:val="32"/>
          <w:highlight w:val="none"/>
        </w:rPr>
        <w:t>、财政部门审核后报市政府审批可以其他方式出租</w:t>
      </w:r>
      <w:r>
        <w:rPr>
          <w:rFonts w:hint="eastAsia" w:ascii="仿宋_GB2312" w:hAnsi="仿宋_GB2312" w:eastAsia="仿宋_GB2312" w:cs="仿宋_GB2312"/>
          <w:color w:val="auto"/>
          <w:sz w:val="32"/>
          <w:szCs w:val="32"/>
          <w:highlight w:val="none"/>
          <w:lang w:eastAsia="zh-CN"/>
        </w:rPr>
        <w:t>。有权属不清晰、被依法查封冻结、</w:t>
      </w:r>
      <w:r>
        <w:rPr>
          <w:rFonts w:hint="eastAsia" w:ascii="仿宋_GB2312" w:hAnsi="仿宋_GB2312" w:eastAsia="仿宋_GB2312" w:cs="仿宋_GB2312"/>
          <w:color w:val="000000"/>
          <w:sz w:val="32"/>
          <w:szCs w:val="32"/>
          <w:highlight w:val="none"/>
          <w:lang w:eastAsia="zh-CN"/>
        </w:rPr>
        <w:t>有争议、不符合安全标准等情形的资产不得出租。</w:t>
      </w:r>
      <w:r>
        <w:rPr>
          <w:rFonts w:hint="eastAsia" w:ascii="仿宋_GB2312" w:hAnsi="仿宋_GB2312" w:eastAsia="仿宋_GB2312" w:cs="仿宋_GB2312"/>
          <w:color w:val="auto"/>
          <w:sz w:val="32"/>
          <w:szCs w:val="32"/>
          <w:highlight w:val="none"/>
          <w:lang w:eastAsia="zh-CN"/>
        </w:rPr>
        <w:t>对于公开招租未成交（流拍）的房产，再次公开招租底价不得低于评估价90％</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再次未成交（流拍）的，第三次公开招租底价不得低于评估价80%，三次均未成交（流拍）的，应重新评估。并按规定审批后再次进行公开招租。交易事项完成后，单位应及时将交易结果及有关情况按规定进行备案。</w:t>
      </w:r>
    </w:p>
    <w:p>
      <w:pPr>
        <w:pStyle w:val="6"/>
        <w:keepNext w:val="0"/>
        <w:keepLines w:val="0"/>
        <w:pageBreakBefore w:val="0"/>
        <w:kinsoku/>
        <w:wordWrap/>
        <w:overflowPunct/>
        <w:topLinePunct w:val="0"/>
        <w:autoSpaceDE w:val="0"/>
        <w:autoSpaceDN w:val="0"/>
        <w:bidi w:val="0"/>
        <w:adjustRightInd/>
        <w:snapToGrid w:val="0"/>
        <w:spacing w:line="560" w:lineRule="exact"/>
        <w:ind w:left="0" w:leftChars="0" w:firstLine="640" w:firstLineChars="200"/>
        <w:jc w:val="left"/>
        <w:textAlignment w:val="baseline"/>
        <w:rPr>
          <w:rFonts w:hint="eastAsia" w:ascii="黑体" w:hAnsi="黑体" w:eastAsia="黑体" w:cs="黑体"/>
          <w:b w:val="0"/>
          <w:bCs w:val="0"/>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)除法律另有规定外，行政单位不得以任何形式将</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用于对外投资或者设立营利性组织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事业单位利用</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对外投资应当符合国家有关规定。</w:t>
      </w:r>
    </w:p>
    <w:p>
      <w:pPr>
        <w:keepLines w:val="0"/>
        <w:pageBreakBefore w:val="0"/>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十八</w:t>
      </w:r>
      <w:r>
        <w:rPr>
          <w:rFonts w:hint="eastAsia" w:ascii="仿宋_GB2312" w:hAnsi="仿宋_GB2312" w:eastAsia="仿宋_GB2312" w:cs="仿宋_GB2312"/>
          <w:color w:val="auto"/>
          <w:sz w:val="32"/>
          <w:szCs w:val="32"/>
          <w:lang w:eastAsia="zh-CN"/>
        </w:rPr>
        <w:t>）资产盘点是指对单位资产进行实地清查盘点，将清查盘点后的实物数据与帐面数据进行比对，真实反映资产的数量、价值和使用状况，确保账账相符、账卡相符、账实相符。</w:t>
      </w:r>
    </w:p>
    <w:p>
      <w:pPr>
        <w:keepNext w:val="0"/>
        <w:keepLines w:val="0"/>
        <w:pageBreakBefore w:val="0"/>
        <w:kinsoku/>
        <w:wordWrap/>
        <w:overflowPunct/>
        <w:topLinePunct w:val="0"/>
        <w:autoSpaceDE/>
        <w:autoSpaceDN/>
        <w:bidi w:val="0"/>
        <w:adjustRightInd/>
        <w:snapToGrid w:val="0"/>
        <w:spacing w:line="560" w:lineRule="exact"/>
        <w:ind w:left="0" w:leftChars="0" w:firstLine="681" w:firstLineChars="213"/>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十九</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单位应当按月和财务部门进行对账，定期或者不定期对资产进行盘点；年度终了，应当进行一次全面资产清查盘点。盘盈资产及时确认后登记资产卡片，盘亏资产按照资产处置流程办理，并及时进行账务处理，做到账实相符和账账相符。</w:t>
      </w:r>
    </w:p>
    <w:p>
      <w:pPr>
        <w:keepLines w:val="0"/>
        <w:pageBreakBefore w:val="0"/>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(二十)有下列情形之一的，应当对资产进行清查：</w:t>
      </w:r>
    </w:p>
    <w:p>
      <w:pPr>
        <w:keepNext w:val="0"/>
        <w:keepLines w:val="0"/>
        <w:pageBreakBefore w:val="0"/>
        <w:kinsoku/>
        <w:wordWrap/>
        <w:overflowPunct/>
        <w:topLinePunct w:val="0"/>
        <w:autoSpaceDE/>
        <w:autoSpaceDN/>
        <w:bidi w:val="0"/>
        <w:adjustRightInd/>
        <w:snapToGrid w:val="0"/>
        <w:spacing w:line="560" w:lineRule="exact"/>
        <w:ind w:left="0" w:leftChars="0" w:firstLine="681" w:firstLineChars="213"/>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1．根据</w:t>
      </w:r>
      <w:r>
        <w:rPr>
          <w:rFonts w:hint="eastAsia" w:ascii="仿宋_GB2312" w:hAnsi="仿宋_GB2312" w:eastAsia="仿宋_GB2312" w:cs="仿宋_GB2312"/>
          <w:color w:val="000000"/>
          <w:sz w:val="32"/>
          <w:szCs w:val="32"/>
          <w:highlight w:val="none"/>
          <w:lang w:val="en-US" w:eastAsia="zh-CN"/>
        </w:rPr>
        <w:t>本级政府</w:t>
      </w:r>
      <w:r>
        <w:rPr>
          <w:rFonts w:hint="eastAsia" w:ascii="仿宋_GB2312" w:hAnsi="仿宋_GB2312" w:eastAsia="仿宋_GB2312" w:cs="仿宋_GB2312"/>
          <w:color w:val="000000"/>
          <w:sz w:val="32"/>
          <w:szCs w:val="32"/>
          <w:highlight w:val="none"/>
          <w:lang w:eastAsia="zh-CN"/>
        </w:rPr>
        <w:t>部署要求；</w:t>
      </w:r>
    </w:p>
    <w:p>
      <w:pPr>
        <w:keepNext w:val="0"/>
        <w:keepLines w:val="0"/>
        <w:pageBreakBefore w:val="0"/>
        <w:kinsoku/>
        <w:wordWrap/>
        <w:overflowPunct/>
        <w:topLinePunct w:val="0"/>
        <w:autoSpaceDE/>
        <w:autoSpaceDN/>
        <w:bidi w:val="0"/>
        <w:adjustRightInd/>
        <w:snapToGrid w:val="0"/>
        <w:spacing w:line="560" w:lineRule="exact"/>
        <w:ind w:left="0" w:leftChars="0" w:firstLine="681" w:firstLineChars="213"/>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2．发生重大资产调拨、划转以及单位分立、合并、改制、撤销、隶属关系改变等情形；</w:t>
      </w:r>
    </w:p>
    <w:p>
      <w:pPr>
        <w:keepNext w:val="0"/>
        <w:keepLines w:val="0"/>
        <w:pageBreakBefore w:val="0"/>
        <w:kinsoku/>
        <w:wordWrap/>
        <w:overflowPunct/>
        <w:topLinePunct w:val="0"/>
        <w:autoSpaceDE/>
        <w:autoSpaceDN/>
        <w:bidi w:val="0"/>
        <w:adjustRightInd/>
        <w:snapToGrid w:val="0"/>
        <w:spacing w:line="560" w:lineRule="exact"/>
        <w:ind w:left="0" w:leftChars="0" w:firstLine="681" w:firstLineChars="213"/>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3．因自然灾害等不可抗力造成资产毁损、灭失；</w:t>
      </w:r>
    </w:p>
    <w:p>
      <w:pPr>
        <w:keepNext w:val="0"/>
        <w:keepLines w:val="0"/>
        <w:pageBreakBefore w:val="0"/>
        <w:kinsoku/>
        <w:wordWrap/>
        <w:overflowPunct/>
        <w:topLinePunct w:val="0"/>
        <w:autoSpaceDE/>
        <w:autoSpaceDN/>
        <w:bidi w:val="0"/>
        <w:adjustRightInd/>
        <w:snapToGrid w:val="0"/>
        <w:spacing w:line="560" w:lineRule="exact"/>
        <w:ind w:left="0" w:leftChars="0" w:firstLine="681" w:firstLineChars="213"/>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4．会计信息严重失真；</w:t>
      </w:r>
    </w:p>
    <w:p>
      <w:pPr>
        <w:keepNext w:val="0"/>
        <w:keepLines w:val="0"/>
        <w:pageBreakBefore w:val="0"/>
        <w:kinsoku/>
        <w:wordWrap/>
        <w:overflowPunct/>
        <w:topLinePunct w:val="0"/>
        <w:autoSpaceDE/>
        <w:autoSpaceDN/>
        <w:bidi w:val="0"/>
        <w:adjustRightInd/>
        <w:snapToGrid w:val="0"/>
        <w:spacing w:line="560" w:lineRule="exact"/>
        <w:ind w:left="0" w:leftChars="0" w:firstLine="681" w:firstLineChars="213"/>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5．国家统一的会计制度发生重大变更，涉及资产核算方法发生重要变化；</w:t>
      </w:r>
    </w:p>
    <w:p>
      <w:pPr>
        <w:keepNext w:val="0"/>
        <w:keepLines w:val="0"/>
        <w:pageBreakBefore w:val="0"/>
        <w:kinsoku/>
        <w:wordWrap/>
        <w:overflowPunct/>
        <w:topLinePunct w:val="0"/>
        <w:autoSpaceDE/>
        <w:autoSpaceDN/>
        <w:bidi w:val="0"/>
        <w:adjustRightInd/>
        <w:snapToGrid w:val="0"/>
        <w:spacing w:line="560" w:lineRule="exact"/>
        <w:ind w:left="0" w:leftChars="0" w:firstLine="681" w:firstLineChars="213"/>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6．其他应当进行资产清查的情形。</w:t>
      </w:r>
    </w:p>
    <w:p>
      <w:pPr>
        <w:keepNext w:val="0"/>
        <w:keepLines w:val="0"/>
        <w:pageBreakBefore w:val="0"/>
        <w:kinsoku/>
        <w:wordWrap/>
        <w:overflowPunct/>
        <w:topLinePunct w:val="0"/>
        <w:autoSpaceDE/>
        <w:autoSpaceDN/>
        <w:bidi w:val="0"/>
        <w:adjustRightInd/>
        <w:snapToGrid w:val="0"/>
        <w:spacing w:line="560" w:lineRule="exact"/>
        <w:ind w:left="0" w:leftChars="0" w:firstLine="681" w:firstLineChars="213"/>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)资产清查中发现账实不符、账账不符的，应当查明原因予以说明，并随同清查结果一并履行审批程序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单位应当根据审批结果及时调整资产台账信息，同时进行会计处理。</w:t>
      </w:r>
      <w:r>
        <w:rPr>
          <w:rFonts w:hint="eastAsia" w:ascii="仿宋_GB2312" w:hAnsi="仿宋_GB2312" w:eastAsia="仿宋_GB2312" w:cs="仿宋_GB2312"/>
          <w:color w:val="auto"/>
          <w:sz w:val="32"/>
          <w:szCs w:val="32"/>
          <w:lang w:val="en-US" w:eastAsia="zh-CN"/>
        </w:rPr>
        <w:t>由于资产使用人、管理人的原因造成资产毁损、灭失的，应当依规</w:t>
      </w:r>
      <w:r>
        <w:rPr>
          <w:rFonts w:hint="eastAsia" w:ascii="仿宋_GB2312" w:hAnsi="仿宋_GB2312" w:eastAsia="仿宋_GB2312" w:cs="仿宋_GB2312"/>
          <w:color w:val="auto"/>
          <w:sz w:val="32"/>
          <w:szCs w:val="32"/>
        </w:rPr>
        <w:t>追究</w:t>
      </w:r>
      <w:r>
        <w:rPr>
          <w:rFonts w:hint="eastAsia" w:ascii="仿宋_GB2312" w:hAnsi="仿宋_GB2312" w:eastAsia="仿宋_GB2312" w:cs="仿宋_GB2312"/>
          <w:color w:val="auto"/>
          <w:sz w:val="32"/>
          <w:szCs w:val="32"/>
          <w:lang w:val="en-US" w:eastAsia="zh-CN"/>
        </w:rPr>
        <w:t>相关责任。</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、资产处置</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)资产处置是指单位对占有、使用的资产进行产权转让或者注销产权的行为。处置方式包括报废、报损、出售、出让、转让、置换、无偿调拨 (划转)、对外捐赠以及货币性资产损失核销等。</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)单位应当按照</w:t>
      </w:r>
      <w:r>
        <w:rPr>
          <w:rFonts w:hint="eastAsia" w:ascii="仿宋_GB2312" w:hAnsi="仿宋_GB2312" w:eastAsia="仿宋_GB2312" w:cs="仿宋_GB2312"/>
          <w:color w:val="auto"/>
          <w:sz w:val="32"/>
          <w:szCs w:val="32"/>
          <w:lang w:eastAsia="zh-CN"/>
        </w:rPr>
        <w:t>流程规范进行资产处置，</w:t>
      </w:r>
      <w:r>
        <w:rPr>
          <w:rFonts w:hint="eastAsia" w:ascii="仿宋_GB2312" w:hAnsi="仿宋_GB2312" w:eastAsia="仿宋_GB2312" w:cs="仿宋_GB2312"/>
          <w:color w:val="auto"/>
          <w:sz w:val="32"/>
          <w:szCs w:val="32"/>
        </w:rPr>
        <w:t>履行</w:t>
      </w:r>
      <w:r>
        <w:rPr>
          <w:rFonts w:hint="eastAsia" w:ascii="仿宋_GB2312" w:hAnsi="仿宋_GB2312" w:eastAsia="仿宋_GB2312" w:cs="仿宋_GB2312"/>
          <w:bCs/>
          <w:color w:val="auto"/>
          <w:spacing w:val="-6"/>
          <w:sz w:val="32"/>
          <w:szCs w:val="32"/>
        </w:rPr>
        <w:t>集体决策和报批程序</w:t>
      </w:r>
      <w:r>
        <w:rPr>
          <w:rFonts w:hint="eastAsia" w:ascii="仿宋_GB2312" w:hAnsi="仿宋_GB2312" w:eastAsia="仿宋_GB2312" w:cs="仿宋_GB2312"/>
          <w:color w:val="auto"/>
          <w:sz w:val="32"/>
          <w:szCs w:val="32"/>
        </w:rPr>
        <w:t>，未经批准不得自行处置</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资产处置应当遵循公开、公正、公平和竞争择优的市场化原则进行。鼓励结合绿色环保、物尽其用、公益慈善等要求探索集约化、专业化运营的处置新机制。资产处置业务完结应及时核销资产台账，进行相关会计账务处理，确保账实相符。</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)报损资产应进行责任认定，承担相应的损失赔偿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出售、出让、转让等市场化方式处置资产应委托公共资源交易中心或产权交易机构等采取拍卖、招投标等方式以及国家法律、行政法规规定的其他方式进行。资产无偿调拨 (划转) 应在国有单位之间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不得改变国有属性</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 资产的出售、出让、转让和置换等应当委托具有相应资质的资产评估机构，依照国家有关规定进行资产评估，评估结果作为市场竞价的参考依据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在交易过程中，当意向交易价格低于评估结果 90％时，应当按规定权限审核确认后方可继续交易，低于评估结果 80%的，应重新评估。交易事项完成后，单位应及时将交易结果及有关情况按规定进行备案。</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、资产收入</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 资产收入包括：</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资产处置收入。是指单位在出售、出让、转让、置换、报废报损等处置</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过程中获得的收入，包括：出售资产的收入、置换差价收入、报废报损残值变价收入、拆迁补偿收入或赔偿收入、保险理赔收入、转让股权和土地使用权收益等。</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资产出租收入。指单位将其占有的资产出租所取得的收益。</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对外投资收益。指事业单位将其占有的</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对外投资取得的股利、红利、利润等收益。</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)单</w:t>
      </w:r>
      <w:r>
        <w:rPr>
          <w:rFonts w:hint="eastAsia" w:ascii="仿宋_GB2312" w:hAnsi="仿宋_GB2312" w:eastAsia="仿宋_GB2312" w:cs="仿宋_GB2312"/>
          <w:color w:val="auto"/>
          <w:sz w:val="32"/>
          <w:szCs w:val="32"/>
          <w:lang w:eastAsia="zh-CN"/>
        </w:rPr>
        <w:t>位资产</w:t>
      </w:r>
      <w:r>
        <w:rPr>
          <w:rFonts w:hint="eastAsia" w:ascii="仿宋_GB2312" w:hAnsi="仿宋_GB2312" w:eastAsia="仿宋_GB2312" w:cs="仿宋_GB2312"/>
          <w:color w:val="auto"/>
          <w:sz w:val="32"/>
          <w:szCs w:val="32"/>
        </w:rPr>
        <w:t>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出租收入纳入</w:t>
      </w:r>
      <w:r>
        <w:rPr>
          <w:rFonts w:hint="eastAsia" w:ascii="仿宋_GB2312" w:hAnsi="仿宋_GB2312" w:eastAsia="仿宋_GB2312" w:cs="仿宋_GB2312"/>
          <w:color w:val="auto"/>
          <w:sz w:val="32"/>
          <w:szCs w:val="32"/>
          <w:lang w:val="en-US" w:eastAsia="zh-CN"/>
        </w:rPr>
        <w:t>财政</w:t>
      </w:r>
      <w:r>
        <w:rPr>
          <w:rFonts w:hint="eastAsia" w:ascii="仿宋_GB2312" w:hAnsi="仿宋_GB2312" w:eastAsia="仿宋_GB2312" w:cs="仿宋_GB2312"/>
          <w:color w:val="auto"/>
          <w:sz w:val="32"/>
          <w:szCs w:val="32"/>
        </w:rPr>
        <w:t>预算，实行“收支两条线”管理。事业单位</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出租收入、对外投资收益按照财政</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规定执行。</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二十八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收入、支出预算必须按照部门预算管理 有关规定编报、审批程序执行。对年度预算执行中需要调整预算的，也必须按预算调整程序办理。</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二十九</w:t>
      </w:r>
      <w:r>
        <w:rPr>
          <w:rFonts w:hint="eastAsia" w:ascii="仿宋_GB2312" w:hAnsi="仿宋_GB2312" w:eastAsia="仿宋_GB2312" w:cs="仿宋_GB2312"/>
          <w:color w:val="auto"/>
          <w:sz w:val="32"/>
          <w:szCs w:val="32"/>
        </w:rPr>
        <w:t>)单位应当及时收取各类资产收入，不得违反国家规定，多收、少收、不收、侵占、私分、截留、占用、挪用、隐 匿、坐支，确保</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收入应收尽收、应缴尽缴。</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十)单位应当将依法罚没的资产按照国家规定公开拍 卖或者按照国家有关规定处理，所得款项全部上缴</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财政。</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lang w:eastAsia="zh-CN"/>
        </w:rPr>
        <w:t>、资产评估</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)单位有下列情形之一的，应当委托具有资产评估 资质的评估机构对相关资产进行评估：</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出售、出让、转让、置换</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的；</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整体或者部分改制为企业的；</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整体或者部分资产租赁给非国有单位的；</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确定涉讼资产价值的；</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事业单位以非货币性资产对外投资的；</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依照国家有关规定需要进行资产评估的其他情形。 </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 下列情形之一的，可以不进行资产评估：</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1．经批准整体或者部分资产无偿划转；</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2．行政、事业单位之间的合并、分立；</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3．发生其他不影响</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权益的特殊产权变动行为，经财政部门确认可以不进行资产评估的。</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 单位进行资产评估应如实提供有关情况和资料， 并对所提供的情况和资料的客观性、真实性和合法性负责，不得以任何形式干预评估机构依法执业。单位应根据业务办理需要将资产评估结果报送</w:t>
      </w:r>
      <w:r>
        <w:rPr>
          <w:rFonts w:hint="eastAsia" w:ascii="仿宋_GB2312" w:hAnsi="仿宋_GB2312" w:eastAsia="仿宋_GB2312" w:cs="仿宋_GB2312"/>
          <w:color w:val="auto"/>
          <w:sz w:val="32"/>
          <w:szCs w:val="32"/>
          <w:lang w:eastAsia="zh-CN"/>
        </w:rPr>
        <w:t>街道办事处</w:t>
      </w:r>
      <w:r>
        <w:rPr>
          <w:rFonts w:hint="eastAsia" w:ascii="仿宋_GB2312" w:hAnsi="仿宋_GB2312" w:eastAsia="仿宋_GB2312" w:cs="仿宋_GB2312"/>
          <w:color w:val="auto"/>
          <w:sz w:val="32"/>
          <w:szCs w:val="32"/>
        </w:rPr>
        <w:t>。</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 xml:space="preserve"> 八</w:t>
      </w:r>
      <w:r>
        <w:rPr>
          <w:rFonts w:hint="eastAsia" w:ascii="黑体" w:hAnsi="黑体" w:eastAsia="黑体" w:cs="黑体"/>
          <w:b w:val="0"/>
          <w:bCs w:val="0"/>
          <w:color w:val="auto"/>
          <w:sz w:val="32"/>
          <w:szCs w:val="32"/>
          <w:lang w:eastAsia="zh-CN"/>
        </w:rPr>
        <w:t>、资产管理数字化</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16" w:firstLineChars="200"/>
        <w:jc w:val="both"/>
        <w:textAlignment w:val="baseline"/>
        <w:rPr>
          <w:rFonts w:hint="eastAsia" w:ascii="仿宋_GB2312" w:hAnsi="仿宋_GB2312" w:eastAsia="仿宋_GB2312" w:cs="仿宋_GB2312"/>
          <w:bCs/>
          <w:color w:val="auto"/>
          <w:spacing w:val="-6"/>
          <w:sz w:val="32"/>
          <w:szCs w:val="32"/>
          <w:lang w:eastAsia="zh-CN"/>
        </w:rPr>
      </w:pPr>
      <w:r>
        <w:rPr>
          <w:rFonts w:hint="eastAsia" w:ascii="仿宋_GB2312" w:hAnsi="仿宋_GB2312" w:eastAsia="仿宋_GB2312" w:cs="仿宋_GB2312"/>
          <w:bCs/>
          <w:color w:val="auto"/>
          <w:spacing w:val="-6"/>
          <w:sz w:val="32"/>
          <w:szCs w:val="32"/>
          <w:lang w:eastAsia="zh-CN"/>
        </w:rPr>
        <w:t>（三十</w:t>
      </w:r>
      <w:r>
        <w:rPr>
          <w:rFonts w:hint="eastAsia" w:ascii="仿宋_GB2312" w:hAnsi="仿宋_GB2312" w:eastAsia="仿宋_GB2312" w:cs="仿宋_GB2312"/>
          <w:bCs/>
          <w:color w:val="auto"/>
          <w:spacing w:val="-6"/>
          <w:sz w:val="32"/>
          <w:szCs w:val="32"/>
          <w:lang w:val="en-US" w:eastAsia="zh-CN"/>
        </w:rPr>
        <w:t>四</w:t>
      </w:r>
      <w:r>
        <w:rPr>
          <w:rFonts w:hint="eastAsia" w:ascii="仿宋_GB2312" w:hAnsi="仿宋_GB2312" w:eastAsia="仿宋_GB2312" w:cs="仿宋_GB2312"/>
          <w:bCs/>
          <w:color w:val="auto"/>
          <w:spacing w:val="-6"/>
          <w:sz w:val="32"/>
          <w:szCs w:val="32"/>
          <w:lang w:eastAsia="zh-CN"/>
        </w:rPr>
        <w:t>）</w:t>
      </w:r>
      <w:r>
        <w:rPr>
          <w:rFonts w:hint="eastAsia" w:ascii="仿宋_GB2312" w:hAnsi="仿宋_GB2312" w:eastAsia="仿宋_GB2312" w:cs="仿宋_GB2312"/>
          <w:bCs/>
          <w:color w:val="auto"/>
          <w:spacing w:val="-6"/>
          <w:sz w:val="32"/>
          <w:szCs w:val="32"/>
        </w:rPr>
        <w:t>单位应当将</w:t>
      </w:r>
      <w:r>
        <w:rPr>
          <w:rFonts w:hint="eastAsia" w:ascii="仿宋_GB2312" w:hAnsi="仿宋_GB2312" w:eastAsia="仿宋_GB2312" w:cs="仿宋_GB2312"/>
          <w:bCs/>
          <w:color w:val="auto"/>
          <w:spacing w:val="-6"/>
          <w:sz w:val="32"/>
          <w:szCs w:val="32"/>
          <w:lang w:eastAsia="zh-CN"/>
        </w:rPr>
        <w:t>资产</w:t>
      </w:r>
      <w:r>
        <w:rPr>
          <w:rFonts w:hint="eastAsia" w:ascii="仿宋_GB2312" w:hAnsi="仿宋_GB2312" w:eastAsia="仿宋_GB2312" w:cs="仿宋_GB2312"/>
          <w:bCs/>
          <w:color w:val="auto"/>
          <w:spacing w:val="-6"/>
          <w:sz w:val="32"/>
          <w:szCs w:val="32"/>
        </w:rPr>
        <w:t>全面纳入资产管理</w:t>
      </w:r>
      <w:r>
        <w:rPr>
          <w:rFonts w:hint="eastAsia" w:ascii="仿宋_GB2312" w:hAnsi="仿宋_GB2312" w:eastAsia="仿宋_GB2312" w:cs="仿宋_GB2312"/>
          <w:bCs/>
          <w:color w:val="auto"/>
          <w:spacing w:val="-6"/>
          <w:sz w:val="32"/>
          <w:szCs w:val="32"/>
          <w:lang w:val="en-US" w:eastAsia="zh-CN"/>
        </w:rPr>
        <w:t>信息</w:t>
      </w:r>
      <w:r>
        <w:rPr>
          <w:rFonts w:hint="eastAsia" w:ascii="仿宋_GB2312" w:hAnsi="仿宋_GB2312" w:eastAsia="仿宋_GB2312" w:cs="仿宋_GB2312"/>
          <w:bCs/>
          <w:color w:val="auto"/>
          <w:spacing w:val="-6"/>
          <w:sz w:val="32"/>
          <w:szCs w:val="32"/>
          <w:lang w:eastAsia="zh-CN"/>
        </w:rPr>
        <w:t>系统</w:t>
      </w:r>
      <w:r>
        <w:rPr>
          <w:rFonts w:hint="eastAsia" w:ascii="仿宋_GB2312" w:hAnsi="仿宋_GB2312" w:eastAsia="仿宋_GB2312" w:cs="仿宋_GB2312"/>
          <w:bCs/>
          <w:color w:val="auto"/>
          <w:spacing w:val="-6"/>
          <w:sz w:val="32"/>
          <w:szCs w:val="32"/>
        </w:rPr>
        <w:t>，及时更新维护基础数据，形成全面、准确、细化、动态的资产数据库，为资产管理提供精准的大数据支</w:t>
      </w:r>
      <w:r>
        <w:rPr>
          <w:rFonts w:hint="eastAsia" w:ascii="仿宋_GB2312" w:hAnsi="仿宋_GB2312" w:eastAsia="仿宋_GB2312" w:cs="仿宋_GB2312"/>
          <w:bCs/>
          <w:color w:val="auto"/>
          <w:spacing w:val="-6"/>
          <w:sz w:val="32"/>
          <w:szCs w:val="32"/>
          <w:lang w:eastAsia="zh-CN"/>
        </w:rPr>
        <w:t>撑。</w:t>
      </w:r>
    </w:p>
    <w:p>
      <w:pPr>
        <w:keepNext w:val="0"/>
        <w:keepLines w:val="0"/>
        <w:pageBreakBefore w:val="0"/>
        <w:kinsoku/>
        <w:wordWrap/>
        <w:overflowPunct/>
        <w:topLinePunct w:val="0"/>
        <w:autoSpaceDE/>
        <w:autoSpaceDN/>
        <w:bidi w:val="0"/>
        <w:adjustRightInd/>
        <w:snapToGrid w:val="0"/>
        <w:spacing w:line="560" w:lineRule="exact"/>
        <w:ind w:left="0" w:leftChars="0" w:firstLine="681" w:firstLineChars="213"/>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利用数字化理念推动资产业务流程再造和制度重塑，完善内部资产管理功能，做好资产管理和单位办公、财务、人事、内控等系统对接，提升软件、数据共享水平，提升国有资产绩效。</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lang w:eastAsia="zh-CN"/>
        </w:rPr>
        <w:t>监督检查</w:t>
      </w:r>
    </w:p>
    <w:p>
      <w:pPr>
        <w:keepNext w:val="0"/>
        <w:keepLines w:val="0"/>
        <w:pageBreakBefore w:val="0"/>
        <w:widowControl w:val="0"/>
        <w:kinsoku/>
        <w:wordWrap/>
        <w:overflowPunct w:val="0"/>
        <w:topLinePunct w:val="0"/>
        <w:autoSpaceDE w:val="0"/>
        <w:autoSpaceDN w:val="0"/>
        <w:bidi w:val="0"/>
        <w:adjustRightInd/>
        <w:snapToGrid/>
        <w:spacing w:line="560" w:lineRule="exact"/>
        <w:ind w:right="91" w:firstLine="616" w:firstLineChars="200"/>
        <w:jc w:val="both"/>
        <w:textAlignment w:val="baseline"/>
        <w:rPr>
          <w:rFonts w:hint="eastAsia" w:ascii="仿宋_GB2312" w:hAnsi="仿宋_GB2312" w:eastAsia="仿宋_GB2312" w:cs="仿宋_GB2312"/>
          <w:bCs/>
          <w:color w:val="auto"/>
          <w:spacing w:val="-6"/>
          <w:sz w:val="32"/>
          <w:szCs w:val="32"/>
          <w:lang w:eastAsia="zh-CN"/>
        </w:rPr>
      </w:pPr>
      <w:r>
        <w:rPr>
          <w:rFonts w:hint="eastAsia" w:ascii="仿宋_GB2312" w:hAnsi="仿宋_GB2312" w:eastAsia="仿宋_GB2312" w:cs="仿宋_GB2312"/>
          <w:bCs/>
          <w:color w:val="auto"/>
          <w:spacing w:val="-6"/>
          <w:sz w:val="32"/>
          <w:szCs w:val="32"/>
          <w:lang w:eastAsia="zh-CN"/>
        </w:rPr>
        <w:t>(三十</w:t>
      </w:r>
      <w:r>
        <w:rPr>
          <w:rFonts w:hint="eastAsia" w:ascii="仿宋_GB2312" w:hAnsi="仿宋_GB2312" w:eastAsia="仿宋_GB2312" w:cs="仿宋_GB2312"/>
          <w:bCs/>
          <w:color w:val="auto"/>
          <w:spacing w:val="-6"/>
          <w:sz w:val="32"/>
          <w:szCs w:val="32"/>
          <w:lang w:val="en-US" w:eastAsia="zh-CN"/>
        </w:rPr>
        <w:t>六</w:t>
      </w:r>
      <w:r>
        <w:rPr>
          <w:rFonts w:hint="eastAsia" w:ascii="仿宋_GB2312" w:hAnsi="仿宋_GB2312" w:eastAsia="仿宋_GB2312" w:cs="仿宋_GB2312"/>
          <w:bCs/>
          <w:color w:val="auto"/>
          <w:spacing w:val="-6"/>
          <w:sz w:val="32"/>
          <w:szCs w:val="32"/>
          <w:lang w:eastAsia="zh-CN"/>
        </w:rPr>
        <w:t>)资产管理情况应当接受街道居民议事组织的监督，组织落实街道居民议事组织提出的意见建议，并按照规定向街道居民议事组织报告行政事业性资产管理情况和意见建议办理情况。</w:t>
      </w:r>
    </w:p>
    <w:p>
      <w:pPr>
        <w:keepNext w:val="0"/>
        <w:keepLines w:val="0"/>
        <w:pageBreakBefore w:val="0"/>
        <w:widowControl w:val="0"/>
        <w:kinsoku/>
        <w:wordWrap/>
        <w:overflowPunct w:val="0"/>
        <w:topLinePunct w:val="0"/>
        <w:autoSpaceDE w:val="0"/>
        <w:autoSpaceDN w:val="0"/>
        <w:bidi w:val="0"/>
        <w:adjustRightInd/>
        <w:snapToGrid/>
        <w:spacing w:before="7" w:line="560" w:lineRule="exact"/>
        <w:ind w:right="91"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管理情况报告包括资产负债总量，相关管理制度建立和实施，资产配置、使用、处置和收益，推进资产管理数字化体制机制改革等情况。</w:t>
      </w:r>
    </w:p>
    <w:p>
      <w:pPr>
        <w:keepNext w:val="0"/>
        <w:keepLines w:val="0"/>
        <w:pageBreakBefore w:val="0"/>
        <w:widowControl w:val="0"/>
        <w:kinsoku/>
        <w:wordWrap/>
        <w:overflowPunct w:val="0"/>
        <w:topLinePunct w:val="0"/>
        <w:autoSpaceDE w:val="0"/>
        <w:autoSpaceDN w:val="0"/>
        <w:bidi w:val="0"/>
        <w:adjustRightInd/>
        <w:snapToGrid/>
        <w:spacing w:before="7" w:line="560" w:lineRule="exact"/>
        <w:ind w:right="91"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三十八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资产管理办会同</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办负责对资产</w:t>
      </w:r>
      <w:r>
        <w:rPr>
          <w:rFonts w:hint="eastAsia" w:ascii="仿宋_GB2312" w:hAnsi="仿宋_GB2312" w:eastAsia="仿宋_GB2312" w:cs="仿宋_GB2312"/>
          <w:color w:val="auto"/>
          <w:sz w:val="32"/>
          <w:szCs w:val="32"/>
        </w:rPr>
        <w:t>管理情况进行监督检查。</w:t>
      </w:r>
    </w:p>
    <w:p>
      <w:pPr>
        <w:keepNext w:val="0"/>
        <w:keepLines w:val="0"/>
        <w:pageBreakBefore w:val="0"/>
        <w:widowControl w:val="0"/>
        <w:kinsoku/>
        <w:wordWrap/>
        <w:overflowPunct w:val="0"/>
        <w:topLinePunct w:val="0"/>
        <w:autoSpaceDE w:val="0"/>
        <w:autoSpaceDN w:val="0"/>
        <w:bidi w:val="0"/>
        <w:adjustRightInd/>
        <w:snapToGrid/>
        <w:spacing w:before="7" w:line="560" w:lineRule="exact"/>
        <w:ind w:right="91"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三十九</w:t>
      </w:r>
      <w:r>
        <w:rPr>
          <w:rFonts w:hint="eastAsia" w:ascii="仿宋_GB2312" w:hAnsi="仿宋_GB2312" w:eastAsia="仿宋_GB2312" w:cs="仿宋_GB2312"/>
          <w:color w:val="auto"/>
          <w:sz w:val="32"/>
          <w:szCs w:val="32"/>
        </w:rPr>
        <w:t>)审计部门依法对</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管理情况进行审计监督。</w:t>
      </w:r>
    </w:p>
    <w:p>
      <w:pPr>
        <w:keepNext w:val="0"/>
        <w:keepLines w:val="0"/>
        <w:pageBreakBefore w:val="0"/>
        <w:widowControl w:val="0"/>
        <w:kinsoku/>
        <w:wordWrap/>
        <w:overflowPunct w:val="0"/>
        <w:topLinePunct w:val="0"/>
        <w:autoSpaceDE w:val="0"/>
        <w:autoSpaceDN w:val="0"/>
        <w:bidi w:val="0"/>
        <w:adjustRightInd/>
        <w:snapToGrid/>
        <w:spacing w:before="7" w:line="560" w:lineRule="exact"/>
        <w:ind w:right="91"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应当建立健全</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监督管理制度，根据职责对本</w:t>
      </w:r>
      <w:r>
        <w:rPr>
          <w:rFonts w:hint="eastAsia" w:ascii="仿宋_GB2312" w:hAnsi="仿宋_GB2312" w:eastAsia="仿宋_GB2312" w:cs="仿宋_GB2312"/>
          <w:color w:val="auto"/>
          <w:sz w:val="32"/>
          <w:szCs w:val="32"/>
          <w:lang w:eastAsia="zh-CN"/>
        </w:rPr>
        <w:t>单位资产</w:t>
      </w:r>
      <w:r>
        <w:rPr>
          <w:rFonts w:hint="eastAsia" w:ascii="仿宋_GB2312" w:hAnsi="仿宋_GB2312" w:eastAsia="仿宋_GB2312" w:cs="仿宋_GB2312"/>
          <w:color w:val="auto"/>
          <w:sz w:val="32"/>
          <w:szCs w:val="32"/>
        </w:rPr>
        <w:t>管理依法进行监督。</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lang w:eastAsia="zh-CN"/>
        </w:rPr>
        <w:t>责任追究</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7" w:line="560" w:lineRule="exact"/>
        <w:ind w:right="91"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)有下列行为之一的，责令改正，情节较重的，对负有直接责任的主管人员和其他直接责任人员依法给予处分：</w:t>
      </w:r>
    </w:p>
    <w:p>
      <w:pPr>
        <w:keepNext w:val="0"/>
        <w:keepLines w:val="0"/>
        <w:pageBreakBefore w:val="0"/>
        <w:widowControl w:val="0"/>
        <w:numPr>
          <w:ilvl w:val="-1"/>
          <w:numId w:val="0"/>
        </w:numPr>
        <w:kinsoku/>
        <w:wordWrap/>
        <w:overflowPunct w:val="0"/>
        <w:topLinePunct w:val="0"/>
        <w:autoSpaceDE w:val="0"/>
        <w:autoSpaceDN w:val="0"/>
        <w:bidi w:val="0"/>
        <w:adjustRightInd/>
        <w:snapToGrid/>
        <w:spacing w:before="7" w:line="560" w:lineRule="exact"/>
        <w:ind w:right="91"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配置、使用、处置</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未按规定经集体决策或者履行审批程序；</w:t>
      </w:r>
    </w:p>
    <w:p>
      <w:pPr>
        <w:keepNext w:val="0"/>
        <w:keepLines w:val="0"/>
        <w:pageBreakBefore w:val="0"/>
        <w:widowControl w:val="0"/>
        <w:numPr>
          <w:ilvl w:val="-1"/>
          <w:numId w:val="0"/>
        </w:numPr>
        <w:kinsoku/>
        <w:wordWrap/>
        <w:overflowPunct w:val="0"/>
        <w:topLinePunct w:val="0"/>
        <w:autoSpaceDE w:val="0"/>
        <w:autoSpaceDN w:val="0"/>
        <w:bidi w:val="0"/>
        <w:adjustRightInd/>
        <w:snapToGrid/>
        <w:spacing w:before="7" w:line="560" w:lineRule="exact"/>
        <w:ind w:right="91"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未经审批超标准配置</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w:t>
      </w:r>
    </w:p>
    <w:p>
      <w:pPr>
        <w:keepNext w:val="0"/>
        <w:keepLines w:val="0"/>
        <w:pageBreakBefore w:val="0"/>
        <w:widowControl w:val="0"/>
        <w:numPr>
          <w:ilvl w:val="-1"/>
          <w:numId w:val="0"/>
        </w:numPr>
        <w:kinsoku/>
        <w:wordWrap/>
        <w:overflowPunct w:val="0"/>
        <w:topLinePunct w:val="0"/>
        <w:autoSpaceDE w:val="0"/>
        <w:autoSpaceDN w:val="0"/>
        <w:bidi w:val="0"/>
        <w:adjustRightInd/>
        <w:snapToGrid/>
        <w:spacing w:before="7" w:line="560" w:lineRule="exact"/>
        <w:ind w:right="91"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rPr>
        <w:t>规定办理</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调剂、调拨、划转、交接等手续；</w:t>
      </w:r>
    </w:p>
    <w:p>
      <w:pPr>
        <w:keepNext w:val="0"/>
        <w:keepLines w:val="0"/>
        <w:pageBreakBefore w:val="0"/>
        <w:widowControl w:val="0"/>
        <w:numPr>
          <w:ilvl w:val="-1"/>
          <w:numId w:val="0"/>
        </w:numPr>
        <w:kinsoku/>
        <w:wordWrap/>
        <w:overflowPunct w:val="0"/>
        <w:topLinePunct w:val="0"/>
        <w:autoSpaceDE w:val="0"/>
        <w:autoSpaceDN w:val="0"/>
        <w:bidi w:val="0"/>
        <w:adjustRightInd/>
        <w:snapToGrid/>
        <w:spacing w:before="7" w:line="560" w:lineRule="exact"/>
        <w:ind w:right="91"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未按规定履行</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拍卖、报告等程序；</w:t>
      </w:r>
    </w:p>
    <w:p>
      <w:pPr>
        <w:keepNext w:val="0"/>
        <w:keepLines w:val="0"/>
        <w:pageBreakBefore w:val="0"/>
        <w:widowControl w:val="0"/>
        <w:numPr>
          <w:ilvl w:val="-1"/>
          <w:numId w:val="0"/>
        </w:numPr>
        <w:kinsoku/>
        <w:wordWrap/>
        <w:overflowPunct w:val="0"/>
        <w:topLinePunct w:val="0"/>
        <w:autoSpaceDE w:val="0"/>
        <w:autoSpaceDN w:val="0"/>
        <w:bidi w:val="0"/>
        <w:adjustRightInd/>
        <w:snapToGrid/>
        <w:spacing w:before="7" w:line="560" w:lineRule="exact"/>
        <w:ind w:right="91"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未按规定期限办理建设项目竣工财务决算；</w:t>
      </w:r>
    </w:p>
    <w:p>
      <w:pPr>
        <w:keepNext w:val="0"/>
        <w:keepLines w:val="0"/>
        <w:pageBreakBefore w:val="0"/>
        <w:widowControl w:val="0"/>
        <w:numPr>
          <w:ilvl w:val="-1"/>
          <w:numId w:val="0"/>
        </w:numPr>
        <w:kinsoku/>
        <w:wordWrap/>
        <w:overflowPunct w:val="0"/>
        <w:topLinePunct w:val="0"/>
        <w:autoSpaceDE w:val="0"/>
        <w:autoSpaceDN w:val="0"/>
        <w:bidi w:val="0"/>
        <w:adjustRightInd/>
        <w:snapToGrid/>
        <w:spacing w:before="7" w:line="560" w:lineRule="exact"/>
        <w:ind w:right="91"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未按规定进行</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清查；</w:t>
      </w:r>
    </w:p>
    <w:p>
      <w:pPr>
        <w:keepNext w:val="0"/>
        <w:keepLines w:val="0"/>
        <w:pageBreakBefore w:val="0"/>
        <w:widowControl w:val="0"/>
        <w:numPr>
          <w:ilvl w:val="-1"/>
          <w:numId w:val="0"/>
        </w:numPr>
        <w:kinsoku/>
        <w:wordWrap/>
        <w:overflowPunct w:val="0"/>
        <w:topLinePunct w:val="0"/>
        <w:autoSpaceDE w:val="0"/>
        <w:autoSpaceDN w:val="0"/>
        <w:bidi w:val="0"/>
        <w:adjustRightInd/>
        <w:snapToGrid/>
        <w:spacing w:before="7" w:line="560" w:lineRule="exact"/>
        <w:ind w:right="91"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未按规定设置</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台账</w:t>
      </w:r>
      <w:r>
        <w:rPr>
          <w:rFonts w:hint="eastAsia" w:ascii="仿宋_GB2312" w:hAnsi="仿宋_GB2312" w:eastAsia="仿宋_GB2312" w:cs="仿宋_GB2312"/>
          <w:color w:val="auto"/>
          <w:sz w:val="32"/>
          <w:szCs w:val="32"/>
          <w:lang w:eastAsia="zh-CN"/>
        </w:rPr>
        <w:t>，未在资产共享云管理系统录入资产数据信息</w:t>
      </w:r>
      <w:r>
        <w:rPr>
          <w:rFonts w:hint="eastAsia" w:ascii="仿宋_GB2312" w:hAnsi="仿宋_GB2312" w:eastAsia="仿宋_GB2312" w:cs="仿宋_GB2312"/>
          <w:color w:val="auto"/>
          <w:sz w:val="32"/>
          <w:szCs w:val="32"/>
        </w:rPr>
        <w:t>；</w:t>
      </w:r>
    </w:p>
    <w:p>
      <w:pPr>
        <w:keepNext w:val="0"/>
        <w:keepLines w:val="0"/>
        <w:pageBreakBefore w:val="0"/>
        <w:widowControl w:val="0"/>
        <w:numPr>
          <w:ilvl w:val="-1"/>
          <w:numId w:val="0"/>
        </w:numPr>
        <w:kinsoku/>
        <w:wordWrap/>
        <w:overflowPunct w:val="0"/>
        <w:topLinePunct w:val="0"/>
        <w:autoSpaceDE w:val="0"/>
        <w:autoSpaceDN w:val="0"/>
        <w:bidi w:val="0"/>
        <w:adjustRightInd/>
        <w:snapToGrid/>
        <w:spacing w:before="7" w:line="560" w:lineRule="exact"/>
        <w:ind w:right="91"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未按规定编制、报送</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管理情况报告。</w:t>
      </w:r>
    </w:p>
    <w:p>
      <w:pPr>
        <w:keepNext w:val="0"/>
        <w:keepLines w:val="0"/>
        <w:pageBreakBefore w:val="0"/>
        <w:widowControl w:val="0"/>
        <w:numPr>
          <w:ilvl w:val="-1"/>
          <w:numId w:val="0"/>
        </w:numPr>
        <w:kinsoku/>
        <w:wordWrap/>
        <w:overflowPunct w:val="0"/>
        <w:topLinePunct w:val="0"/>
        <w:autoSpaceDE w:val="0"/>
        <w:autoSpaceDN w:val="0"/>
        <w:bidi w:val="0"/>
        <w:adjustRightInd/>
        <w:snapToGrid/>
        <w:spacing w:before="7" w:line="560" w:lineRule="exact"/>
        <w:ind w:right="91"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)有下列行为之一的，责令改正，有违法所得的没收违法所得，情节较重的，对负有直接责任的主管人员和其他直接责任人员依法给予处分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构成犯罪的，依法追究刑事责任：</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非法占有、使用</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或者采用弄虚作假等方式低价处置</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违反规定将</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用于对外投资或者设立营利性组织；</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未按照规定评估</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导致国家利益损失；</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其他违反本办法规定造成</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损失的行为。</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7" w:line="560" w:lineRule="exact"/>
        <w:ind w:leftChars="0" w:right="91"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管理工作中有违反预算管理规定行为的，依照《中华人民共和国预算法》及其实施条例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《财政违法行为处罚处分条例》等法律、行政法规追究责任</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7" w:line="560" w:lineRule="exact"/>
        <w:ind w:right="91"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管理工作中滥用职权、玩忽职守、徇私舞弊或者有浪费</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等违法违规行为的，由有关部门依法给予处分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构成犯罪的，依法追究刑事责任。</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before="7" w:line="560" w:lineRule="exact"/>
        <w:ind w:right="91"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 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自202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日起施行，现行</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国有资产管理相关规定与本办法不一致的，以本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为准。</w:t>
      </w:r>
      <w:r>
        <w:rPr>
          <w:rFonts w:hint="eastAsia" w:ascii="仿宋_GB2312" w:hAnsi="仿宋_GB2312" w:eastAsia="仿宋_GB2312" w:cs="仿宋_GB2312"/>
          <w:color w:val="auto"/>
          <w:sz w:val="32"/>
          <w:szCs w:val="32"/>
          <w:lang w:eastAsia="zh-CN"/>
        </w:rPr>
        <w:t>未尽事宜，参照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平湖市人民政府关于加强行政事业性国有资产</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的若干意见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val="0"/>
          <w:color w:val="auto"/>
          <w:sz w:val="32"/>
          <w:szCs w:val="32"/>
          <w:lang w:eastAsia="zh-CN"/>
        </w:rPr>
        <w:t>《平湖市行政事业性国有资产管理实施细则（暂行）》执行</w:t>
      </w:r>
      <w:r>
        <w:rPr>
          <w:rFonts w:hint="eastAsia" w:ascii="仿宋_GB2312" w:hAnsi="仿宋_GB2312" w:eastAsia="仿宋_GB2312" w:cs="仿宋_GB2312"/>
          <w:color w:val="auto"/>
          <w:sz w:val="32"/>
          <w:szCs w:val="32"/>
          <w:lang w:val="en-US" w:eastAsia="zh-CN"/>
        </w:rPr>
        <w:t xml:space="preserve"> 。</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bCs w:val="0"/>
          <w:color w:val="auto"/>
          <w:sz w:val="32"/>
          <w:szCs w:val="32"/>
          <w:lang w:val="en-US" w:eastAsia="zh-CN"/>
        </w:rPr>
      </w:pP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eastAsia" w:ascii="仿宋_GB2312" w:hAnsi="仿宋_GB2312" w:eastAsia="仿宋_GB2312" w:cs="仿宋_GB2312"/>
          <w:bCs w:val="0"/>
          <w:color w:val="auto"/>
          <w:sz w:val="32"/>
          <w:szCs w:val="32"/>
          <w:lang w:val="en-US" w:eastAsia="zh-CN"/>
        </w:rPr>
      </w:pPr>
      <w:r>
        <w:rPr>
          <w:rFonts w:hint="eastAsia" w:ascii="仿宋_GB2312" w:hAnsi="仿宋_GB2312" w:eastAsia="仿宋_GB2312" w:cs="仿宋_GB2312"/>
          <w:bCs w:val="0"/>
          <w:color w:val="auto"/>
          <w:sz w:val="32"/>
          <w:szCs w:val="32"/>
          <w:lang w:val="en-US" w:eastAsia="zh-CN"/>
        </w:rPr>
        <w:t>附件1：国有资产移交表</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40" w:firstLineChars="200"/>
        <w:jc w:val="both"/>
        <w:textAlignment w:val="baseline"/>
        <w:rPr>
          <w:rFonts w:hint="default" w:ascii="仿宋_GB2312" w:hAnsi="仿宋_GB2312" w:eastAsia="仿宋_GB2312" w:cs="仿宋_GB2312"/>
          <w:bCs w:val="0"/>
          <w:color w:val="auto"/>
          <w:sz w:val="32"/>
          <w:szCs w:val="32"/>
          <w:lang w:val="en-US" w:eastAsia="zh-CN"/>
        </w:rPr>
      </w:pPr>
      <w:r>
        <w:rPr>
          <w:rFonts w:hint="eastAsia" w:ascii="仿宋_GB2312" w:hAnsi="仿宋_GB2312" w:eastAsia="仿宋_GB2312" w:cs="仿宋_GB2312"/>
          <w:bCs w:val="0"/>
          <w:color w:val="auto"/>
          <w:sz w:val="32"/>
          <w:szCs w:val="32"/>
          <w:lang w:val="en-US" w:eastAsia="zh-CN"/>
        </w:rPr>
        <w:t>附件2：国有房产出租出借审批表</w:t>
      </w:r>
    </w:p>
    <w:p>
      <w:pPr>
        <w:pStyle w:val="6"/>
        <w:keepLines w:val="0"/>
        <w:pageBreakBefore w:val="0"/>
        <w:wordWrap/>
        <w:topLinePunct w:val="0"/>
        <w:autoSpaceDE w:val="0"/>
        <w:autoSpaceDN w:val="0"/>
        <w:bidi w:val="0"/>
        <w:spacing w:line="560" w:lineRule="exact"/>
        <w:ind w:firstLine="640" w:firstLineChars="200"/>
        <w:textAlignment w:val="baseline"/>
        <w:rPr>
          <w:rFonts w:hint="eastAsia" w:ascii="仿宋_GB2312" w:hAnsi="仿宋_GB2312" w:eastAsia="仿宋_GB2312" w:cs="仿宋_GB2312"/>
          <w:bCs w:val="0"/>
          <w:color w:val="auto"/>
          <w:sz w:val="32"/>
          <w:szCs w:val="32"/>
          <w:lang w:eastAsia="zh-CN"/>
        </w:rPr>
      </w:pPr>
      <w:r>
        <w:rPr>
          <w:rFonts w:hint="eastAsia" w:ascii="仿宋_GB2312" w:hAnsi="仿宋_GB2312" w:eastAsia="仿宋_GB2312" w:cs="仿宋_GB2312"/>
          <w:bCs w:val="0"/>
          <w:color w:val="auto"/>
          <w:sz w:val="32"/>
          <w:szCs w:val="32"/>
          <w:lang w:val="en-US" w:eastAsia="zh-CN"/>
        </w:rPr>
        <w:t>附件</w:t>
      </w:r>
      <w:r>
        <w:rPr>
          <w:rFonts w:hint="eastAsia" w:hAnsi="仿宋_GB2312" w:cs="仿宋_GB2312"/>
          <w:bCs w:val="0"/>
          <w:color w:val="auto"/>
          <w:sz w:val="32"/>
          <w:szCs w:val="32"/>
          <w:lang w:val="en-US" w:eastAsia="zh-CN"/>
        </w:rPr>
        <w:t>3</w:t>
      </w:r>
      <w:r>
        <w:rPr>
          <w:rFonts w:hint="eastAsia" w:ascii="仿宋_GB2312" w:hAnsi="仿宋_GB2312" w:eastAsia="仿宋_GB2312" w:cs="仿宋_GB2312"/>
          <w:bCs w:val="0"/>
          <w:color w:val="auto"/>
          <w:sz w:val="32"/>
          <w:szCs w:val="32"/>
          <w:lang w:val="en-US" w:eastAsia="zh-CN"/>
        </w:rPr>
        <w:t>：国有</w:t>
      </w:r>
      <w:r>
        <w:rPr>
          <w:rFonts w:hint="eastAsia" w:ascii="仿宋_GB2312" w:hAnsi="仿宋_GB2312" w:eastAsia="仿宋_GB2312" w:cs="仿宋_GB2312"/>
          <w:bCs w:val="0"/>
          <w:color w:val="auto"/>
          <w:sz w:val="32"/>
          <w:szCs w:val="32"/>
          <w:lang w:eastAsia="zh-CN"/>
        </w:rPr>
        <w:t>资产处置审批表</w:t>
      </w:r>
    </w:p>
    <w:p>
      <w:pPr>
        <w:pStyle w:val="6"/>
        <w:keepLines w:val="0"/>
        <w:pageBreakBefore w:val="0"/>
        <w:wordWrap/>
        <w:topLinePunct w:val="0"/>
        <w:autoSpaceDE w:val="0"/>
        <w:autoSpaceDN w:val="0"/>
        <w:bidi w:val="0"/>
        <w:spacing w:line="560" w:lineRule="exact"/>
        <w:ind w:firstLine="640" w:firstLineChars="200"/>
        <w:textAlignment w:val="baseline"/>
        <w:rPr>
          <w:rFonts w:hint="eastAsia" w:ascii="仿宋_GB2312" w:hAnsi="仿宋_GB2312" w:eastAsia="仿宋_GB2312" w:cs="仿宋_GB2312"/>
          <w:bCs w:val="0"/>
          <w:color w:val="auto"/>
          <w:sz w:val="32"/>
          <w:szCs w:val="32"/>
          <w:lang w:eastAsia="zh-CN"/>
        </w:rPr>
      </w:pPr>
      <w:r>
        <w:rPr>
          <w:rFonts w:hint="eastAsia" w:hAnsi="仿宋_GB2312" w:cs="仿宋_GB2312"/>
          <w:bCs w:val="0"/>
          <w:color w:val="auto"/>
          <w:sz w:val="32"/>
          <w:szCs w:val="32"/>
          <w:lang w:val="en-US" w:eastAsia="zh-CN"/>
        </w:rPr>
        <w:t>附件4：国有资产调拨单</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510" w:firstLineChars="2100"/>
        <w:jc w:val="both"/>
        <w:textAlignment w:val="baseline"/>
        <w:rPr>
          <w:rFonts w:hint="eastAsia" w:ascii="仿宋" w:hAnsi="仿宋" w:eastAsia="仿宋" w:cs="仿宋"/>
          <w:color w:val="auto"/>
          <w:sz w:val="31"/>
          <w:szCs w:val="31"/>
          <w:lang w:eastAsia="zh-CN"/>
        </w:rPr>
      </w:pPr>
      <w:r>
        <w:rPr>
          <w:rFonts w:hint="eastAsia" w:ascii="仿宋" w:hAnsi="仿宋" w:eastAsia="仿宋" w:cs="仿宋"/>
          <w:color w:val="auto"/>
          <w:sz w:val="31"/>
          <w:szCs w:val="31"/>
          <w:lang w:eastAsia="zh-CN"/>
        </w:rPr>
        <w:t>当湖街道办事处</w:t>
      </w:r>
    </w:p>
    <w:p>
      <w:pPr>
        <w:keepNext/>
        <w:keepLines w:val="0"/>
        <w:pageBreakBefore w:val="0"/>
        <w:widowControl w:val="0"/>
        <w:kinsoku/>
        <w:wordWrap/>
        <w:overflowPunct w:val="0"/>
        <w:topLinePunct w:val="0"/>
        <w:autoSpaceDE w:val="0"/>
        <w:autoSpaceDN w:val="0"/>
        <w:bidi w:val="0"/>
        <w:adjustRightInd/>
        <w:snapToGrid/>
        <w:spacing w:before="7" w:line="560" w:lineRule="exact"/>
        <w:ind w:right="92" w:firstLine="6510" w:firstLineChars="2100"/>
        <w:jc w:val="both"/>
        <w:textAlignment w:val="baseline"/>
        <w:rPr>
          <w:rFonts w:hint="eastAsia" w:ascii="黑体" w:hAnsi="黑体" w:eastAsia="黑体" w:cs="黑体"/>
          <w:color w:val="auto"/>
          <w:sz w:val="36"/>
          <w:szCs w:val="36"/>
          <w:lang w:val="en-US" w:eastAsia="zh-CN"/>
        </w:rPr>
      </w:pPr>
      <w:r>
        <w:rPr>
          <w:rFonts w:hint="eastAsia" w:ascii="仿宋" w:hAnsi="仿宋" w:eastAsia="仿宋" w:cs="仿宋"/>
          <w:color w:val="auto"/>
          <w:sz w:val="31"/>
          <w:szCs w:val="31"/>
          <w:lang w:val="en-US" w:eastAsia="zh-CN"/>
        </w:rPr>
        <w:t>2025年1月9日</w:t>
      </w:r>
    </w:p>
    <w:p>
      <w:pPr>
        <w:pStyle w:val="6"/>
        <w:ind w:firstLine="0" w:firstLineChars="0"/>
        <w:rPr>
          <w:rFonts w:hint="eastAsia" w:ascii="仿宋_GB2312" w:hAnsi="仿宋_GB2312" w:eastAsia="仿宋_GB2312" w:cs="仿宋_GB2312"/>
          <w:color w:val="auto"/>
          <w:sz w:val="32"/>
          <w:szCs w:val="32"/>
          <w:lang w:eastAsia="zh-CN"/>
        </w:rPr>
      </w:pPr>
    </w:p>
    <w:p>
      <w:pPr>
        <w:pStyle w:val="6"/>
        <w:ind w:firstLine="0" w:firstLineChars="0"/>
        <w:rPr>
          <w:rFonts w:hint="eastAsia" w:ascii="仿宋_GB2312" w:hAnsi="仿宋_GB2312" w:eastAsia="仿宋_GB2312" w:cs="仿宋_GB2312"/>
          <w:color w:val="auto"/>
          <w:sz w:val="32"/>
          <w:szCs w:val="32"/>
          <w:lang w:eastAsia="zh-CN"/>
        </w:rPr>
      </w:pPr>
    </w:p>
    <w:p>
      <w:pPr>
        <w:pStyle w:val="6"/>
        <w:ind w:firstLine="0" w:firstLineChars="0"/>
        <w:rPr>
          <w:rFonts w:hint="eastAsia" w:ascii="仿宋_GB2312" w:hAnsi="仿宋_GB2312" w:eastAsia="仿宋_GB2312" w:cs="仿宋_GB2312"/>
          <w:color w:val="auto"/>
          <w:sz w:val="32"/>
          <w:szCs w:val="32"/>
          <w:lang w:eastAsia="zh-CN"/>
        </w:rPr>
      </w:pPr>
    </w:p>
    <w:tbl>
      <w:tblPr>
        <w:tblStyle w:val="7"/>
        <w:tblW w:w="9435"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5"/>
        <w:gridCol w:w="1080"/>
        <w:gridCol w:w="190"/>
        <w:gridCol w:w="2630"/>
        <w:gridCol w:w="515"/>
        <w:gridCol w:w="1015"/>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7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snapToGrid w:val="0"/>
                <w:color w:val="000000"/>
                <w:kern w:val="0"/>
                <w:sz w:val="36"/>
                <w:szCs w:val="36"/>
                <w:u w:val="none"/>
                <w:lang w:val="en-US" w:eastAsia="zh-CN" w:bidi="ar"/>
              </w:rPr>
              <w:t>附件1：</w:t>
            </w: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2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3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3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3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snapToGrid w:val="0"/>
                <w:color w:val="000000"/>
                <w:kern w:val="0"/>
                <w:sz w:val="36"/>
                <w:szCs w:val="36"/>
                <w:u w:val="none"/>
                <w:lang w:val="en-US" w:eastAsia="zh-CN" w:bidi="ar"/>
              </w:rPr>
              <w:t xml:space="preserve">国有资产管理移交表   </w:t>
            </w:r>
            <w:r>
              <w:rPr>
                <w:rFonts w:hint="eastAsia" w:ascii="黑体" w:hAnsi="宋体" w:eastAsia="黑体" w:cs="黑体"/>
                <w:i/>
                <w:iCs w:val="0"/>
                <w:snapToGrid w:val="0"/>
                <w:color w:val="000000"/>
                <w:kern w:val="0"/>
                <w:sz w:val="21"/>
                <w:szCs w:val="36"/>
                <w:u w:val="none"/>
                <w:lang w:val="en-US" w:eastAsia="zh-CN" w:bidi="ar"/>
              </w:rPr>
              <w:t xml:space="preserve"> 建设工程项目管理移交样张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项目名称</w:t>
            </w:r>
          </w:p>
        </w:tc>
        <w:tc>
          <w:tcPr>
            <w:tcW w:w="75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建设地点</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项目类型</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建设单位</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项目负责人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发改立项文号</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总投资</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建设规模</w:t>
            </w:r>
          </w:p>
        </w:tc>
        <w:tc>
          <w:tcPr>
            <w:tcW w:w="75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总包单位</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合同价</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（万元）</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竣工（完工）</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验收时间</w:t>
            </w:r>
          </w:p>
        </w:tc>
        <w:tc>
          <w:tcPr>
            <w:tcW w:w="390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物业单位</w:t>
            </w:r>
          </w:p>
        </w:tc>
        <w:tc>
          <w:tcPr>
            <w:tcW w:w="21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移交范围</w:t>
            </w:r>
          </w:p>
        </w:tc>
        <w:tc>
          <w:tcPr>
            <w:tcW w:w="75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snapToGrid w:val="0"/>
                <w:color w:val="000000"/>
                <w:kern w:val="0"/>
                <w:sz w:val="22"/>
                <w:szCs w:val="22"/>
                <w:u w:val="none"/>
                <w:lang w:val="en-US" w:eastAsia="zh-CN" w:bidi="ar"/>
              </w:rPr>
            </w:pPr>
            <w:r>
              <w:rPr>
                <w:rFonts w:hint="eastAsia" w:ascii="仿宋" w:hAnsi="仿宋" w:eastAsia="仿宋" w:cs="仿宋"/>
                <w:b/>
                <w:bCs/>
                <w:i w:val="0"/>
                <w:iCs w:val="0"/>
                <w:snapToGrid w:val="0"/>
                <w:color w:val="000000"/>
                <w:kern w:val="0"/>
                <w:sz w:val="22"/>
                <w:szCs w:val="22"/>
                <w:u w:val="none"/>
                <w:lang w:val="en-US" w:eastAsia="zh-CN" w:bidi="ar"/>
              </w:rPr>
              <w:t>移交资产明细</w:t>
            </w:r>
          </w:p>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及相关材料</w:t>
            </w:r>
            <w:r>
              <w:rPr>
                <w:rFonts w:hint="eastAsia" w:ascii="仿宋" w:hAnsi="仿宋" w:eastAsia="仿宋" w:cs="仿宋"/>
                <w:b/>
                <w:bCs/>
                <w:i w:val="0"/>
                <w:iCs w:val="0"/>
                <w:snapToGrid w:val="0"/>
                <w:color w:val="000000"/>
                <w:kern w:val="0"/>
                <w:sz w:val="22"/>
                <w:szCs w:val="22"/>
                <w:u w:val="none"/>
                <w:lang w:val="en-US" w:eastAsia="zh-CN" w:bidi="ar"/>
              </w:rPr>
              <w:br w:type="textWrapping"/>
            </w:r>
          </w:p>
        </w:tc>
        <w:tc>
          <w:tcPr>
            <w:tcW w:w="75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1"/>
                <w:numId w:val="0"/>
              </w:numPr>
              <w:suppressLineNumbers w:val="0"/>
              <w:ind w:left="0"/>
              <w:jc w:val="left"/>
              <w:textAlignment w:val="center"/>
              <w:rPr>
                <w:rFonts w:hint="eastAsia" w:ascii="仿宋" w:hAnsi="仿宋" w:eastAsia="仿宋" w:cs="仿宋"/>
                <w:b/>
                <w:bCs/>
                <w:i w:val="0"/>
                <w:iCs w:val="0"/>
                <w:snapToGrid w:val="0"/>
                <w:color w:val="000000"/>
                <w:kern w:val="0"/>
                <w:sz w:val="22"/>
                <w:szCs w:val="22"/>
                <w:u w:val="none"/>
                <w:lang w:val="en-US" w:eastAsia="zh-CN" w:bidi="ar"/>
              </w:rPr>
            </w:pPr>
            <w:r>
              <w:rPr>
                <w:rFonts w:hint="eastAsia" w:ascii="仿宋" w:hAnsi="仿宋" w:eastAsia="仿宋" w:cs="仿宋"/>
                <w:b/>
                <w:bCs/>
                <w:i w:val="0"/>
                <w:iCs w:val="0"/>
                <w:snapToGrid w:val="0"/>
                <w:color w:val="000000"/>
                <w:kern w:val="0"/>
                <w:sz w:val="22"/>
                <w:szCs w:val="22"/>
                <w:u w:val="none"/>
                <w:lang w:val="en-US" w:eastAsia="zh-CN" w:bidi="ar"/>
              </w:rPr>
              <w:t>1.国有资产移交明细表一份；</w:t>
            </w:r>
            <w:r>
              <w:rPr>
                <w:rFonts w:hint="eastAsia" w:ascii="仿宋" w:hAnsi="仿宋" w:eastAsia="仿宋" w:cs="仿宋"/>
                <w:b/>
                <w:bCs/>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2.其他</w:t>
            </w:r>
          </w:p>
          <w:p>
            <w:pPr>
              <w:keepNext w:val="0"/>
              <w:keepLines w:val="0"/>
              <w:widowControl/>
              <w:numPr>
                <w:ilvl w:val="-1"/>
                <w:numId w:val="0"/>
              </w:numPr>
              <w:suppressLineNumbers w:val="0"/>
              <w:jc w:val="left"/>
              <w:textAlignment w:val="center"/>
              <w:rPr>
                <w:rFonts w:hint="default" w:ascii="仿宋" w:hAnsi="仿宋" w:eastAsia="仿宋" w:cs="仿宋"/>
                <w:b/>
                <w:bCs/>
                <w:i w:val="0"/>
                <w:iCs w:val="0"/>
                <w:color w:val="000000"/>
                <w:sz w:val="22"/>
                <w:szCs w:val="22"/>
                <w:u w:val="none"/>
                <w:lang w:val="en-US"/>
              </w:rPr>
            </w:pPr>
            <w:r>
              <w:rPr>
                <w:rFonts w:hint="eastAsia" w:ascii="仿宋" w:hAnsi="仿宋" w:eastAsia="仿宋" w:cs="仿宋"/>
                <w:b/>
                <w:bCs/>
                <w:i w:val="0"/>
                <w:iCs w:val="0"/>
                <w:snapToGrid w:val="0"/>
                <w:color w:val="000000"/>
                <w:kern w:val="0"/>
                <w:sz w:val="22"/>
                <w:szCs w:val="22"/>
                <w:u w:val="none"/>
                <w:lang w:val="en-US" w:eastAsia="zh-CN" w:bidi="ar"/>
              </w:rPr>
              <w:t>（1）移交说明一份；</w:t>
            </w:r>
            <w:r>
              <w:rPr>
                <w:rFonts w:hint="eastAsia" w:ascii="仿宋" w:hAnsi="仿宋" w:eastAsia="仿宋" w:cs="仿宋"/>
                <w:b/>
                <w:bCs/>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（2）全部配套钥匙及门禁卡，其中信报箱钥匙已在各信报箱中；</w:t>
            </w:r>
            <w:r>
              <w:rPr>
                <w:rFonts w:hint="eastAsia" w:ascii="仿宋" w:hAnsi="仿宋" w:eastAsia="仿宋" w:cs="仿宋"/>
                <w:b/>
                <w:bCs/>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（3）不动产房产证201本；</w:t>
            </w:r>
            <w:r>
              <w:rPr>
                <w:rFonts w:hint="eastAsia" w:ascii="仿宋" w:hAnsi="仿宋" w:eastAsia="仿宋" w:cs="仿宋"/>
                <w:b/>
                <w:bCs/>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（4）房屋建筑工程竣工验收备案表；</w:t>
            </w:r>
            <w:r>
              <w:rPr>
                <w:rFonts w:hint="eastAsia" w:ascii="仿宋" w:hAnsi="仿宋" w:eastAsia="仿宋" w:cs="仿宋"/>
                <w:b/>
                <w:bCs/>
                <w:i w:val="0"/>
                <w:iCs w:val="0"/>
                <w:snapToGrid w:val="0"/>
                <w:color w:val="000000"/>
                <w:kern w:val="0"/>
                <w:sz w:val="22"/>
                <w:szCs w:val="22"/>
                <w:u w:val="none"/>
                <w:lang w:val="en-US" w:eastAsia="zh-CN" w:bidi="ar"/>
              </w:rPr>
              <w:br w:type="textWrapping"/>
            </w:r>
            <w:r>
              <w:rPr>
                <w:rFonts w:hint="eastAsia" w:ascii="仿宋" w:hAnsi="仿宋" w:eastAsia="仿宋" w:cs="仿宋"/>
                <w:b/>
                <w:bCs/>
                <w:i w:val="0"/>
                <w:iCs w:val="0"/>
                <w:snapToGrid w:val="0"/>
                <w:color w:val="000000"/>
                <w:kern w:val="0"/>
                <w:sz w:val="22"/>
                <w:szCs w:val="22"/>
                <w:u w:val="none"/>
                <w:lang w:val="en-US" w:eastAsia="zh-CN" w:bidi="ar"/>
              </w:rPr>
              <w:t>（5）竣工图一套；（6）...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756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会签栏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31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snapToGrid w:val="0"/>
                <w:color w:val="auto"/>
                <w:kern w:val="0"/>
                <w:sz w:val="22"/>
                <w:szCs w:val="22"/>
                <w:u w:val="none"/>
                <w:lang w:val="en-US" w:eastAsia="zh-CN" w:bidi="ar"/>
              </w:rPr>
            </w:pPr>
          </w:p>
          <w:p>
            <w:pPr>
              <w:keepNext w:val="0"/>
              <w:keepLines w:val="0"/>
              <w:widowControl/>
              <w:suppressLineNumbers w:val="0"/>
              <w:jc w:val="left"/>
              <w:textAlignment w:val="top"/>
              <w:rPr>
                <w:rFonts w:hint="eastAsia" w:ascii="仿宋" w:hAnsi="仿宋" w:eastAsia="仿宋" w:cs="仿宋"/>
                <w:i w:val="0"/>
                <w:iCs w:val="0"/>
                <w:snapToGrid w:val="0"/>
                <w:color w:val="auto"/>
                <w:kern w:val="0"/>
                <w:sz w:val="22"/>
                <w:szCs w:val="22"/>
                <w:u w:val="none"/>
                <w:lang w:val="en-US" w:eastAsia="zh-CN" w:bidi="ar"/>
              </w:rPr>
            </w:pPr>
            <w:r>
              <w:rPr>
                <w:rFonts w:hint="eastAsia" w:ascii="仿宋" w:hAnsi="仿宋" w:eastAsia="仿宋" w:cs="仿宋"/>
                <w:i w:val="0"/>
                <w:iCs w:val="0"/>
                <w:snapToGrid w:val="0"/>
                <w:color w:val="auto"/>
                <w:kern w:val="0"/>
                <w:sz w:val="22"/>
                <w:szCs w:val="22"/>
                <w:u w:val="none"/>
                <w:lang w:val="en-US" w:eastAsia="zh-CN" w:bidi="ar"/>
              </w:rPr>
              <w:t>建设单位</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负责人签字：</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w:t>
            </w:r>
          </w:p>
          <w:p>
            <w:pPr>
              <w:keepNext w:val="0"/>
              <w:keepLines w:val="0"/>
              <w:widowControl/>
              <w:suppressLineNumbers w:val="0"/>
              <w:jc w:val="left"/>
              <w:textAlignment w:val="top"/>
              <w:rPr>
                <w:rFonts w:hint="eastAsia" w:ascii="仿宋" w:hAnsi="仿宋" w:eastAsia="仿宋" w:cs="仿宋"/>
                <w:i w:val="0"/>
                <w:iCs w:val="0"/>
                <w:color w:val="auto"/>
                <w:sz w:val="22"/>
                <w:szCs w:val="22"/>
                <w:u w:val="none"/>
              </w:rPr>
            </w:pPr>
            <w:r>
              <w:rPr>
                <w:rFonts w:hint="eastAsia" w:ascii="仿宋" w:hAnsi="仿宋" w:eastAsia="仿宋" w:cs="仿宋"/>
                <w:i w:val="0"/>
                <w:iCs w:val="0"/>
                <w:snapToGrid w:val="0"/>
                <w:color w:val="auto"/>
                <w:kern w:val="0"/>
                <w:sz w:val="22"/>
                <w:szCs w:val="22"/>
                <w:u w:val="none"/>
                <w:lang w:val="en-US" w:eastAsia="zh-CN" w:bidi="ar"/>
              </w:rPr>
              <w:t>（签章）</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年  月  日</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snapToGrid w:val="0"/>
                <w:color w:val="auto"/>
                <w:kern w:val="0"/>
                <w:sz w:val="22"/>
                <w:szCs w:val="22"/>
                <w:u w:val="none"/>
                <w:lang w:val="en-US" w:eastAsia="zh-CN" w:bidi="ar"/>
              </w:rPr>
            </w:pPr>
          </w:p>
          <w:p>
            <w:pPr>
              <w:keepNext w:val="0"/>
              <w:keepLines w:val="0"/>
              <w:widowControl/>
              <w:suppressLineNumbers w:val="0"/>
              <w:jc w:val="left"/>
              <w:textAlignment w:val="top"/>
              <w:rPr>
                <w:rFonts w:hint="eastAsia" w:ascii="仿宋" w:hAnsi="仿宋" w:eastAsia="仿宋" w:cs="仿宋"/>
                <w:i w:val="0"/>
                <w:iCs w:val="0"/>
                <w:snapToGrid w:val="0"/>
                <w:color w:val="auto"/>
                <w:kern w:val="0"/>
                <w:sz w:val="22"/>
                <w:szCs w:val="22"/>
                <w:u w:val="none"/>
                <w:lang w:val="en-US" w:eastAsia="zh-CN" w:bidi="ar"/>
              </w:rPr>
            </w:pPr>
            <w:r>
              <w:rPr>
                <w:rFonts w:hint="eastAsia" w:ascii="仿宋" w:hAnsi="仿宋" w:eastAsia="仿宋" w:cs="仿宋"/>
                <w:i w:val="0"/>
                <w:iCs w:val="0"/>
                <w:snapToGrid w:val="0"/>
                <w:color w:val="auto"/>
                <w:kern w:val="0"/>
                <w:sz w:val="22"/>
                <w:szCs w:val="22"/>
                <w:u w:val="none"/>
                <w:lang w:val="en-US" w:eastAsia="zh-CN" w:bidi="ar"/>
              </w:rPr>
              <w:t>管理单位</w:t>
            </w:r>
          </w:p>
          <w:p>
            <w:pPr>
              <w:keepNext w:val="0"/>
              <w:keepLines w:val="0"/>
              <w:widowControl/>
              <w:suppressLineNumbers w:val="0"/>
              <w:jc w:val="left"/>
              <w:textAlignment w:val="top"/>
              <w:rPr>
                <w:rFonts w:hint="eastAsia" w:ascii="仿宋" w:hAnsi="仿宋" w:eastAsia="仿宋" w:cs="仿宋"/>
                <w:i w:val="0"/>
                <w:iCs w:val="0"/>
                <w:color w:val="auto"/>
                <w:sz w:val="22"/>
                <w:szCs w:val="22"/>
                <w:u w:val="none"/>
              </w:rPr>
            </w:pPr>
            <w:r>
              <w:rPr>
                <w:rFonts w:hint="eastAsia" w:ascii="仿宋" w:hAnsi="仿宋" w:eastAsia="仿宋" w:cs="仿宋"/>
                <w:i w:val="0"/>
                <w:iCs w:val="0"/>
                <w:snapToGrid w:val="0"/>
                <w:color w:val="auto"/>
                <w:kern w:val="0"/>
                <w:sz w:val="22"/>
                <w:szCs w:val="22"/>
                <w:u w:val="none"/>
                <w:lang w:val="en-US" w:eastAsia="zh-CN" w:bidi="ar"/>
              </w:rPr>
              <w:t xml:space="preserve">    负责人签字：</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（签章）</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年  月  日</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snapToGrid w:val="0"/>
                <w:color w:val="auto"/>
                <w:kern w:val="0"/>
                <w:sz w:val="22"/>
                <w:szCs w:val="22"/>
                <w:u w:val="none"/>
                <w:lang w:val="en-US" w:eastAsia="zh-CN" w:bidi="ar"/>
              </w:rPr>
            </w:pPr>
          </w:p>
          <w:p>
            <w:pPr>
              <w:keepNext w:val="0"/>
              <w:keepLines w:val="0"/>
              <w:widowControl/>
              <w:suppressLineNumbers w:val="0"/>
              <w:jc w:val="left"/>
              <w:textAlignment w:val="top"/>
              <w:rPr>
                <w:rFonts w:hint="eastAsia" w:ascii="仿宋" w:hAnsi="仿宋" w:eastAsia="仿宋" w:cs="仿宋"/>
                <w:i w:val="0"/>
                <w:iCs w:val="0"/>
                <w:color w:val="auto"/>
                <w:sz w:val="22"/>
                <w:szCs w:val="22"/>
                <w:u w:val="none"/>
              </w:rPr>
            </w:pPr>
            <w:r>
              <w:rPr>
                <w:rFonts w:hint="eastAsia" w:ascii="仿宋" w:hAnsi="仿宋" w:eastAsia="仿宋" w:cs="仿宋"/>
                <w:i w:val="0"/>
                <w:iCs w:val="0"/>
                <w:snapToGrid w:val="0"/>
                <w:color w:val="auto"/>
                <w:kern w:val="0"/>
                <w:sz w:val="22"/>
                <w:szCs w:val="22"/>
                <w:u w:val="none"/>
                <w:lang w:val="en-US" w:eastAsia="zh-CN" w:bidi="ar"/>
              </w:rPr>
              <w:t>资产管理办</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负责人签字：</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（签章）</w:t>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br w:type="textWrapping"/>
            </w:r>
            <w:r>
              <w:rPr>
                <w:rFonts w:hint="eastAsia" w:ascii="仿宋" w:hAnsi="仿宋" w:eastAsia="仿宋" w:cs="仿宋"/>
                <w:i w:val="0"/>
                <w:iCs w:val="0"/>
                <w:snapToGrid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43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备注：本表一式四份，建设单位、管理单位、资产管理办各一份。报财政办备案一份。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w:t>
            </w:r>
          </w:p>
        </w:tc>
      </w:tr>
    </w:tbl>
    <w:p>
      <w:pPr>
        <w:pStyle w:val="6"/>
        <w:ind w:firstLine="0" w:firstLineChars="0"/>
        <w:rPr>
          <w:rFonts w:hint="eastAsia" w:ascii="仿宋_GB2312" w:hAnsi="仿宋_GB2312" w:eastAsia="仿宋_GB2312" w:cs="仿宋_GB2312"/>
          <w:color w:val="auto"/>
          <w:sz w:val="32"/>
          <w:szCs w:val="32"/>
          <w:lang w:eastAsia="zh-CN"/>
        </w:rPr>
        <w:sectPr>
          <w:footerReference r:id="rId5" w:type="default"/>
          <w:pgSz w:w="11906" w:h="16839"/>
          <w:pgMar w:top="1429" w:right="1395" w:bottom="1667" w:left="1395" w:header="0" w:footer="1304" w:gutter="0"/>
          <w:pgNumType w:fmt="decimal"/>
          <w:cols w:space="0" w:num="1"/>
          <w:rtlGutter w:val="0"/>
          <w:docGrid w:linePitch="0" w:charSpace="0"/>
        </w:sectPr>
      </w:pPr>
    </w:p>
    <w:tbl>
      <w:tblPr>
        <w:tblStyle w:val="7"/>
        <w:tblW w:w="13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3491"/>
        <w:gridCol w:w="2160"/>
        <w:gridCol w:w="1440"/>
        <w:gridCol w:w="720"/>
        <w:gridCol w:w="720"/>
        <w:gridCol w:w="1440"/>
        <w:gridCol w:w="3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57"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iCs w:val="0"/>
                <w:color w:val="000000"/>
                <w:sz w:val="36"/>
                <w:szCs w:val="36"/>
                <w:u w:val="none"/>
                <w:lang w:val="en-US"/>
              </w:rPr>
            </w:pPr>
            <w:r>
              <w:rPr>
                <w:rFonts w:hint="eastAsia" w:ascii="黑体" w:hAnsi="宋体" w:eastAsia="黑体" w:cs="黑体"/>
                <w:i w:val="0"/>
                <w:iCs w:val="0"/>
                <w:snapToGrid w:val="0"/>
                <w:color w:val="000000"/>
                <w:kern w:val="0"/>
                <w:sz w:val="36"/>
                <w:szCs w:val="36"/>
                <w:u w:val="none"/>
                <w:lang w:val="en-US" w:eastAsia="zh-CN" w:bidi="ar"/>
              </w:rPr>
              <w:t xml:space="preserve">                             国有</w:t>
            </w:r>
            <w:r>
              <w:rPr>
                <w:rStyle w:val="11"/>
                <w:snapToGrid w:val="0"/>
                <w:color w:val="000000"/>
                <w:lang w:val="en-US" w:eastAsia="zh-CN" w:bidi="ar"/>
              </w:rPr>
              <w:t>资产</w:t>
            </w:r>
            <w:r>
              <w:rPr>
                <w:rStyle w:val="11"/>
                <w:rFonts w:hint="eastAsia"/>
                <w:snapToGrid w:val="0"/>
                <w:color w:val="000000"/>
                <w:lang w:val="en-US" w:eastAsia="zh-CN" w:bidi="ar"/>
              </w:rPr>
              <w:t>管理移交</w:t>
            </w:r>
            <w:r>
              <w:rPr>
                <w:rStyle w:val="11"/>
                <w:snapToGrid w:val="0"/>
                <w:color w:val="000000"/>
                <w:lang w:val="en-US" w:eastAsia="zh-CN" w:bidi="ar"/>
              </w:rPr>
              <w:t>明细表</w:t>
            </w:r>
            <w:r>
              <w:rPr>
                <w:rStyle w:val="9"/>
                <w:i/>
                <w:snapToGrid w:val="0"/>
                <w:color w:val="000000"/>
                <w:sz w:val="21"/>
                <w:lang w:val="en-US" w:eastAsia="zh-CN" w:bidi="ar"/>
              </w:rPr>
              <w:t>（</w:t>
            </w:r>
            <w:r>
              <w:rPr>
                <w:rStyle w:val="9"/>
                <w:rFonts w:hint="eastAsia"/>
                <w:i/>
                <w:snapToGrid w:val="0"/>
                <w:color w:val="000000"/>
                <w:sz w:val="21"/>
                <w:lang w:val="en-US" w:eastAsia="zh-CN" w:bidi="ar"/>
              </w:rPr>
              <w:t>样张</w:t>
            </w:r>
            <w:r>
              <w:rPr>
                <w:rStyle w:val="9"/>
                <w:i/>
                <w:snapToGrid w:val="0"/>
                <w:color w:val="000000"/>
                <w:sz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38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项目名称（地址）：</w:t>
            </w:r>
            <w:r>
              <w:rPr>
                <w:rStyle w:val="14"/>
                <w:snapToGrid w:val="0"/>
                <w:color w:val="000000"/>
                <w:lang w:val="en-US" w:eastAsia="zh-CN" w:bidi="ar"/>
              </w:rPr>
              <w:t xml:space="preserve">                                                            </w:t>
            </w:r>
            <w:r>
              <w:rPr>
                <w:rStyle w:val="14"/>
                <w:rFonts w:hint="eastAsia"/>
                <w:snapToGrid w:val="0"/>
                <w:color w:val="00000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序号</w:t>
            </w:r>
          </w:p>
        </w:tc>
        <w:tc>
          <w:tcPr>
            <w:tcW w:w="130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房</w:t>
            </w:r>
            <w:r>
              <w:rPr>
                <w:rStyle w:val="16"/>
                <w:rFonts w:hint="eastAsia"/>
                <w:snapToGrid w:val="0"/>
                <w:color w:val="000000"/>
                <w:lang w:val="en-US" w:eastAsia="zh-CN" w:bidi="ar"/>
              </w:rPr>
              <w:t xml:space="preserve">产  </w:t>
            </w:r>
            <w:r>
              <w:rPr>
                <w:rFonts w:hint="eastAsia" w:ascii="仿宋" w:hAnsi="仿宋" w:eastAsia="仿宋" w:cs="仿宋"/>
                <w:b/>
                <w:bCs/>
                <w:i w:val="0"/>
                <w:iCs w:val="0"/>
                <w:snapToGrid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名称（位置）</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面积</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权证编号</w:t>
            </w:r>
          </w:p>
        </w:tc>
        <w:tc>
          <w:tcPr>
            <w:tcW w:w="3057" w:type="dxa"/>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3...</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bidi="ar"/>
              </w:rPr>
            </w:pPr>
          </w:p>
        </w:tc>
        <w:tc>
          <w:tcPr>
            <w:tcW w:w="130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snapToGrid w:val="0"/>
                <w:color w:val="000000"/>
                <w:kern w:val="0"/>
                <w:sz w:val="24"/>
                <w:szCs w:val="24"/>
                <w:u w:val="none"/>
                <w:lang w:val="en-US" w:eastAsia="zh-CN" w:bidi="ar"/>
              </w:rPr>
              <w:t>设备、工具、器具、家具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bidi="ar"/>
              </w:rPr>
            </w:pP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auto"/>
              <w:rPr>
                <w:rFonts w:hint="eastAsia" w:ascii="仿宋" w:hAnsi="仿宋" w:eastAsia="仿宋" w:cs="仿宋"/>
                <w:i w:val="0"/>
                <w:iCs w:val="0"/>
                <w:snapToGrid w:val="0"/>
                <w:color w:val="000000"/>
                <w:kern w:val="0"/>
                <w:sz w:val="24"/>
                <w:szCs w:val="24"/>
                <w:u w:val="none"/>
              </w:rPr>
            </w:pPr>
            <w:r>
              <w:rPr>
                <w:rFonts w:hint="eastAsia" w:ascii="仿宋" w:hAnsi="仿宋" w:eastAsia="仿宋" w:cs="仿宋"/>
                <w:i w:val="0"/>
                <w:iCs w:val="0"/>
                <w:snapToGrid w:val="0"/>
                <w:color w:val="000000"/>
                <w:kern w:val="0"/>
                <w:sz w:val="24"/>
                <w:szCs w:val="24"/>
                <w:u w:val="none"/>
                <w:lang w:val="en-US" w:eastAsia="zh-CN" w:bidi="ar"/>
              </w:rPr>
              <w:t>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i w:val="0"/>
                <w:iCs w:val="0"/>
                <w:snapToGrid w:val="0"/>
                <w:color w:val="000000"/>
                <w:kern w:val="0"/>
                <w:sz w:val="24"/>
                <w:szCs w:val="24"/>
                <w:u w:val="none"/>
              </w:rPr>
            </w:pPr>
            <w:r>
              <w:rPr>
                <w:rFonts w:hint="eastAsia" w:ascii="仿宋" w:hAnsi="仿宋" w:eastAsia="仿宋" w:cs="仿宋"/>
                <w:i w:val="0"/>
                <w:iCs w:val="0"/>
                <w:snapToGrid w:val="0"/>
                <w:color w:val="000000"/>
                <w:kern w:val="0"/>
                <w:sz w:val="24"/>
                <w:szCs w:val="24"/>
                <w:u w:val="none"/>
                <w:lang w:val="en-US" w:eastAsia="zh-CN" w:bidi="ar"/>
              </w:rPr>
              <w:t>规格型号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snapToGrid w:val="0"/>
                <w:color w:val="000000"/>
                <w:kern w:val="0"/>
                <w:sz w:val="24"/>
                <w:szCs w:val="24"/>
                <w:u w:val="none"/>
                <w:lang w:val="en-US" w:eastAsia="zh-CN" w:bidi="ar"/>
              </w:rPr>
              <w:t>单位</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snapToGrid w:val="0"/>
                <w:color w:val="000000"/>
                <w:kern w:val="0"/>
                <w:sz w:val="24"/>
                <w:szCs w:val="24"/>
                <w:u w:val="none"/>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auto"/>
              <w:rPr>
                <w:rFonts w:hint="eastAsia" w:ascii="仿宋" w:hAnsi="仿宋" w:eastAsia="仿宋" w:cs="仿宋"/>
                <w:i w:val="0"/>
                <w:iCs w:val="0"/>
                <w:snapToGrid w:val="0"/>
                <w:color w:val="000000"/>
                <w:kern w:val="0"/>
                <w:sz w:val="24"/>
                <w:szCs w:val="24"/>
                <w:u w:val="none"/>
                <w:lang w:val="en-US" w:eastAsia="zh-CN"/>
              </w:rPr>
            </w:pPr>
            <w:r>
              <w:rPr>
                <w:rFonts w:hint="eastAsia" w:ascii="仿宋" w:hAnsi="仿宋" w:eastAsia="仿宋" w:cs="仿宋"/>
                <w:i w:val="0"/>
                <w:iCs w:val="0"/>
                <w:snapToGrid w:val="0"/>
                <w:color w:val="000000"/>
                <w:kern w:val="0"/>
                <w:sz w:val="24"/>
                <w:szCs w:val="24"/>
                <w:u w:val="none"/>
                <w:lang w:val="en-US" w:eastAsia="zh-CN" w:bidi="ar"/>
              </w:rPr>
              <w:t>金额</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i w:val="0"/>
                <w:iCs w:val="0"/>
                <w:snapToGrid w:val="0"/>
                <w:color w:val="000000"/>
                <w:kern w:val="0"/>
                <w:sz w:val="24"/>
                <w:szCs w:val="24"/>
                <w:u w:val="none"/>
                <w:lang w:val="en-US" w:eastAsia="zh-CN"/>
              </w:rPr>
            </w:pPr>
            <w:r>
              <w:rPr>
                <w:rFonts w:hint="eastAsia" w:ascii="仿宋" w:hAnsi="仿宋" w:eastAsia="仿宋" w:cs="仿宋"/>
                <w:i w:val="0"/>
                <w:iCs w:val="0"/>
                <w:snapToGrid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3491"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2160" w:type="dxa"/>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144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1440" w:type="dxa"/>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305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w:t>
            </w:r>
          </w:p>
        </w:tc>
        <w:tc>
          <w:tcPr>
            <w:tcW w:w="3491"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2160" w:type="dxa"/>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144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1440" w:type="dxa"/>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305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zh-CN" w:bidi="ar"/>
              </w:rPr>
            </w:pPr>
          </w:p>
        </w:tc>
        <w:tc>
          <w:tcPr>
            <w:tcW w:w="13028" w:type="dxa"/>
            <w:gridSpan w:val="7"/>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1"/>
                <w:szCs w:val="21"/>
                <w:u w:val="none"/>
                <w:lang w:val="en-US"/>
              </w:rPr>
            </w:pPr>
            <w:r>
              <w:rPr>
                <w:rFonts w:hint="eastAsia" w:ascii="仿宋" w:hAnsi="仿宋" w:eastAsia="仿宋" w:cs="仿宋"/>
                <w:b/>
                <w:bCs/>
                <w:i w:val="0"/>
                <w:iCs w:val="0"/>
                <w:snapToGrid w:val="0"/>
                <w:color w:val="000000"/>
                <w:kern w:val="0"/>
                <w:sz w:val="24"/>
                <w:szCs w:val="24"/>
                <w:u w:val="none"/>
                <w:lang w:val="en-US" w:eastAsia="zh-CN" w:bidi="ar"/>
              </w:rPr>
              <w:t>无形资产（土地）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zh-CN" w:bidi="ar"/>
              </w:rPr>
            </w:pPr>
          </w:p>
        </w:tc>
        <w:tc>
          <w:tcPr>
            <w:tcW w:w="3491"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名称（位置）</w:t>
            </w:r>
          </w:p>
        </w:tc>
        <w:tc>
          <w:tcPr>
            <w:tcW w:w="2160" w:type="dxa"/>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面积</w:t>
            </w:r>
          </w:p>
        </w:tc>
        <w:tc>
          <w:tcPr>
            <w:tcW w:w="4320"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权证编号</w:t>
            </w:r>
          </w:p>
        </w:tc>
        <w:tc>
          <w:tcPr>
            <w:tcW w:w="305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3491" w:type="dxa"/>
            <w:tcBorders>
              <w:top w:val="single" w:color="000000" w:sz="4" w:space="0"/>
              <w:left w:val="single" w:color="000000"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2160" w:type="dxa"/>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4320"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305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4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建设单位</w:t>
            </w:r>
          </w:p>
          <w:p>
            <w:pPr>
              <w:ind w:firstLine="0" w:firstLineChars="0"/>
              <w:jc w:val="both"/>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负责人签字：</w:t>
            </w:r>
          </w:p>
          <w:p>
            <w:pPr>
              <w:keepNext w:val="0"/>
              <w:keepLines w:val="0"/>
              <w:widowControl/>
              <w:suppressLineNumbers w:val="0"/>
              <w:ind w:firstLine="2400" w:firstLineChars="1000"/>
              <w:jc w:val="both"/>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ind w:firstLine="2400" w:firstLineChars="1000"/>
              <w:jc w:val="both"/>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ind w:firstLine="2400" w:firstLineChars="10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年 </w:t>
            </w:r>
            <w:r>
              <w:rPr>
                <w:rStyle w:val="15"/>
                <w:snapToGrid w:val="0"/>
                <w:color w:val="000000"/>
                <w:lang w:val="en-US" w:eastAsia="zh-CN" w:bidi="ar"/>
              </w:rPr>
              <w:t xml:space="preserve">  月   日</w:t>
            </w:r>
          </w:p>
        </w:tc>
        <w:tc>
          <w:tcPr>
            <w:tcW w:w="4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管理单位</w:t>
            </w:r>
          </w:p>
          <w:p>
            <w:pPr>
              <w:ind w:firstLine="0" w:firstLineChars="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负责人签字：</w:t>
            </w:r>
          </w:p>
          <w:p>
            <w:pPr>
              <w:keepNext w:val="0"/>
              <w:keepLines w:val="0"/>
              <w:widowControl/>
              <w:suppressLineNumbers w:val="0"/>
              <w:ind w:firstLine="2400" w:firstLineChars="1000"/>
              <w:jc w:val="both"/>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ind w:firstLine="2400" w:firstLineChars="1000"/>
              <w:jc w:val="both"/>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ind w:firstLine="2400" w:firstLineChars="10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年 </w:t>
            </w:r>
            <w:r>
              <w:rPr>
                <w:rStyle w:val="15"/>
                <w:snapToGrid w:val="0"/>
                <w:color w:val="000000"/>
                <w:lang w:val="en-US" w:eastAsia="zh-CN" w:bidi="ar"/>
              </w:rPr>
              <w:t xml:space="preserve">  月   日</w:t>
            </w:r>
          </w:p>
        </w:tc>
        <w:tc>
          <w:tcPr>
            <w:tcW w:w="5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资产管理办</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负责人签字：</w:t>
            </w:r>
          </w:p>
          <w:p>
            <w:pPr>
              <w:keepNext w:val="0"/>
              <w:keepLines w:val="0"/>
              <w:widowControl/>
              <w:suppressLineNumbers w:val="0"/>
              <w:ind w:firstLine="2400" w:firstLineChars="1000"/>
              <w:jc w:val="both"/>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ind w:firstLine="2400" w:firstLineChars="1000"/>
              <w:jc w:val="both"/>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ind w:firstLine="2400" w:firstLineChars="10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年 </w:t>
            </w:r>
            <w:r>
              <w:rPr>
                <w:rStyle w:val="15"/>
                <w:snapToGrid w:val="0"/>
                <w:color w:val="000000"/>
                <w:lang w:val="en-US" w:eastAsia="zh-CN" w:bidi="ar"/>
              </w:rPr>
              <w:t xml:space="preserve">  月   日</w:t>
            </w:r>
          </w:p>
        </w:tc>
      </w:tr>
    </w:tbl>
    <w:p/>
    <w:p>
      <w:pPr>
        <w:adjustRightInd w:val="0"/>
        <w:snapToGrid w:val="0"/>
        <w:rPr>
          <w:rFonts w:hint="eastAsia" w:ascii="仿宋_GB2312" w:eastAsia="仿宋_GB2312"/>
          <w:sz w:val="32"/>
          <w:szCs w:val="32"/>
          <w:lang w:val="en-US" w:eastAsia="zh-CN"/>
        </w:rPr>
      </w:pPr>
    </w:p>
    <w:tbl>
      <w:tblPr>
        <w:tblStyle w:val="7"/>
        <w:tblW w:w="13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
        <w:gridCol w:w="2101"/>
        <w:gridCol w:w="1772"/>
        <w:gridCol w:w="1080"/>
        <w:gridCol w:w="1080"/>
        <w:gridCol w:w="1680"/>
        <w:gridCol w:w="420"/>
        <w:gridCol w:w="885"/>
        <w:gridCol w:w="1215"/>
        <w:gridCol w:w="14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13185"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36"/>
                <w:szCs w:val="36"/>
                <w:u w:val="none"/>
              </w:rPr>
            </w:pPr>
            <w:r>
              <w:rPr>
                <w:rFonts w:hint="eastAsia" w:ascii="黑体" w:hAnsi="宋体" w:eastAsia="黑体" w:cs="黑体"/>
                <w:i w:val="0"/>
                <w:iCs w:val="0"/>
                <w:snapToGrid w:val="0"/>
                <w:color w:val="000000"/>
                <w:kern w:val="0"/>
                <w:sz w:val="36"/>
                <w:szCs w:val="36"/>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1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t>国有房产出租出借审批表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20" w:type="dxa"/>
            <w:gridSpan w:val="3"/>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申报单位（部门）:  </w:t>
            </w:r>
          </w:p>
        </w:tc>
        <w:tc>
          <w:tcPr>
            <w:tcW w:w="4260" w:type="dxa"/>
            <w:gridSpan w:val="4"/>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p>
        </w:tc>
        <w:tc>
          <w:tcPr>
            <w:tcW w:w="4605" w:type="dxa"/>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申报日期：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序号</w:t>
            </w:r>
          </w:p>
        </w:tc>
        <w:tc>
          <w:tcPr>
            <w:tcW w:w="2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资产</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名称</w:t>
            </w:r>
          </w:p>
        </w:tc>
        <w:tc>
          <w:tcPr>
            <w:tcW w:w="28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坐落位置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建筑</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面积</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使用方式</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房产证号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出租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出借</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评估价</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上期</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出租价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“√”表示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185"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公开出租出借情况说明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318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单位（部门）审核意见</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资产管理办审核意见</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分管领导审批意见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5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经办人签字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w:t>
            </w:r>
          </w:p>
        </w:tc>
        <w:tc>
          <w:tcPr>
            <w:tcW w:w="28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单位（部门）负责人签字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w:t>
            </w:r>
          </w:p>
          <w:p>
            <w:pPr>
              <w:keepNext w:val="0"/>
              <w:keepLines w:val="0"/>
              <w:widowControl/>
              <w:suppressLineNumbers w:val="0"/>
              <w:ind w:firstLine="960" w:firstLineChars="4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年  月  日</w:t>
            </w:r>
          </w:p>
        </w:tc>
        <w:tc>
          <w:tcPr>
            <w:tcW w:w="406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日（盖章）</w:t>
            </w:r>
          </w:p>
        </w:tc>
        <w:tc>
          <w:tcPr>
            <w:tcW w:w="37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2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40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3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2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2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40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3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2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2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40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3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2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2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40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3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13185"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说明：本表一式三份，申报单位（部门）、财政办、资产管理办各一份。</w:t>
            </w:r>
          </w:p>
        </w:tc>
      </w:tr>
    </w:tbl>
    <w:p>
      <w:pPr>
        <w:adjustRightInd w:val="0"/>
        <w:snapToGrid w:val="0"/>
        <w:rPr>
          <w:rFonts w:hint="eastAsia" w:ascii="仿宋_GB2312" w:eastAsia="仿宋_GB2312"/>
          <w:sz w:val="32"/>
          <w:szCs w:val="32"/>
          <w:lang w:val="en-US" w:eastAsia="zh-CN"/>
        </w:rPr>
      </w:pPr>
    </w:p>
    <w:tbl>
      <w:tblPr>
        <w:tblStyle w:val="7"/>
        <w:tblpPr w:leftFromText="180" w:rightFromText="180" w:vertAnchor="text" w:horzAnchor="page" w:tblpX="1656" w:tblpY="101"/>
        <w:tblOverlap w:val="never"/>
        <w:tblW w:w="140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5"/>
        <w:gridCol w:w="1652"/>
        <w:gridCol w:w="1933"/>
        <w:gridCol w:w="882"/>
        <w:gridCol w:w="1160"/>
        <w:gridCol w:w="1136"/>
        <w:gridCol w:w="2203"/>
        <w:gridCol w:w="15"/>
        <w:gridCol w:w="1446"/>
        <w:gridCol w:w="1336"/>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47"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6"/>
                <w:szCs w:val="36"/>
                <w:u w:val="none"/>
              </w:rPr>
            </w:pPr>
            <w:r>
              <w:rPr>
                <w:rFonts w:hint="eastAsia" w:ascii="黑体" w:hAnsi="宋体" w:eastAsia="黑体" w:cs="黑体"/>
                <w:i w:val="0"/>
                <w:iCs w:val="0"/>
                <w:snapToGrid w:val="0"/>
                <w:color w:val="000000"/>
                <w:kern w:val="0"/>
                <w:sz w:val="36"/>
                <w:szCs w:val="36"/>
                <w:u w:val="none"/>
                <w:lang w:val="en-US" w:eastAsia="zh-CN" w:bidi="ar"/>
              </w:rPr>
              <w:t>附件3：</w:t>
            </w:r>
            <w:r>
              <w:rPr>
                <w:rStyle w:val="17"/>
                <w:snapToGrid w:val="0"/>
                <w:color w:val="000000"/>
                <w:lang w:val="en-US" w:eastAsia="zh-CN" w:bidi="ar"/>
              </w:rPr>
              <w:t xml:space="preserve">     </w:t>
            </w:r>
          </w:p>
        </w:tc>
        <w:tc>
          <w:tcPr>
            <w:tcW w:w="11845" w:type="dxa"/>
            <w:gridSpan w:val="9"/>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092"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snapToGrid w:val="0"/>
                <w:color w:val="000000"/>
                <w:kern w:val="0"/>
                <w:sz w:val="36"/>
                <w:szCs w:val="36"/>
                <w:u w:val="none"/>
                <w:lang w:val="en-US" w:eastAsia="zh-CN" w:bidi="ar"/>
              </w:rPr>
              <w:t>国有资产处置审批表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062"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申报单位（部门）：</w:t>
            </w:r>
          </w:p>
        </w:tc>
        <w:tc>
          <w:tcPr>
            <w:tcW w:w="449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461" w:type="dxa"/>
            <w:gridSpan w:val="2"/>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4"/>
                <w:szCs w:val="24"/>
                <w:u w:val="none"/>
                <w:lang w:val="en-US" w:eastAsia="zh-CN" w:bidi="ar"/>
              </w:rPr>
              <w:t>申报日期：</w:t>
            </w:r>
          </w:p>
        </w:tc>
        <w:tc>
          <w:tcPr>
            <w:tcW w:w="307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资产名称</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卡片编号</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数量/面积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资产</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原值</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净值</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取得日期</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规格型号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数量计量单位</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详见附件清单</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1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数量合计：</w:t>
            </w:r>
          </w:p>
        </w:tc>
        <w:tc>
          <w:tcPr>
            <w:tcW w:w="3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原值合计：</w:t>
            </w:r>
          </w:p>
        </w:tc>
        <w:tc>
          <w:tcPr>
            <w:tcW w:w="67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净值合计：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0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snapToGrid w:val="0"/>
                <w:color w:val="000000"/>
                <w:kern w:val="0"/>
                <w:sz w:val="22"/>
                <w:szCs w:val="22"/>
                <w:u w:val="none"/>
                <w:lang w:val="en-US" w:eastAsia="zh-CN" w:bidi="ar"/>
              </w:rPr>
              <w:t>处置方式：</w:t>
            </w:r>
            <w:r>
              <w:rPr>
                <w:rFonts w:hint="eastAsia" w:ascii="仿宋" w:hAnsi="仿宋" w:eastAsia="仿宋" w:cs="仿宋"/>
                <w:color w:val="000000"/>
                <w:sz w:val="22"/>
                <w:szCs w:val="22"/>
                <w:u w:val="none"/>
                <w:lang w:val="en-US" w:eastAsia="zh-CN" w:bidi="ar"/>
              </w:rPr>
              <w:t>报废□       出售□       出让□       转让□       置换□       无偿调拨 (划转)□       对外捐赠□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0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申请原因：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单位（部门）经办人签字：</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单位（部门）负责人审批意见：</w:t>
            </w:r>
          </w:p>
          <w:p>
            <w:pPr>
              <w:keepNext w:val="0"/>
              <w:keepLines w:val="0"/>
              <w:widowControl/>
              <w:suppressLineNumbers w:val="0"/>
              <w:ind w:firstLine="2640" w:firstLineChars="1200"/>
              <w:jc w:val="left"/>
              <w:textAlignment w:val="top"/>
              <w:rPr>
                <w:rFonts w:hint="eastAsia" w:ascii="仿宋" w:hAnsi="仿宋" w:eastAsia="仿宋" w:cs="仿宋"/>
                <w:i w:val="0"/>
                <w:iCs w:val="0"/>
                <w:snapToGrid w:val="0"/>
                <w:color w:val="000000"/>
                <w:kern w:val="0"/>
                <w:sz w:val="22"/>
                <w:szCs w:val="22"/>
                <w:u w:val="none"/>
                <w:lang w:val="en-US" w:eastAsia="zh-CN" w:bidi="ar"/>
              </w:rPr>
            </w:pPr>
          </w:p>
          <w:p>
            <w:pPr>
              <w:keepNext w:val="0"/>
              <w:keepLines w:val="0"/>
              <w:widowControl/>
              <w:suppressLineNumbers w:val="0"/>
              <w:ind w:firstLine="3520" w:firstLineChars="160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年   月   日</w:t>
            </w:r>
          </w:p>
        </w:tc>
        <w:tc>
          <w:tcPr>
            <w:tcW w:w="451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0" w:firstLineChars="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财政办审批意见：</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年   月   日</w:t>
            </w:r>
          </w:p>
        </w:tc>
        <w:tc>
          <w:tcPr>
            <w:tcW w:w="45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0" w:firstLineChars="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资产管理办审核意见：</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c>
          <w:tcPr>
            <w:tcW w:w="451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c>
          <w:tcPr>
            <w:tcW w:w="45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c>
          <w:tcPr>
            <w:tcW w:w="451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c>
          <w:tcPr>
            <w:tcW w:w="45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c>
          <w:tcPr>
            <w:tcW w:w="451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c>
          <w:tcPr>
            <w:tcW w:w="45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c>
          <w:tcPr>
            <w:tcW w:w="451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c>
          <w:tcPr>
            <w:tcW w:w="45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50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c>
          <w:tcPr>
            <w:tcW w:w="451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c>
          <w:tcPr>
            <w:tcW w:w="45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14092" w:type="dxa"/>
            <w:gridSpan w:val="11"/>
            <w:tcBorders>
              <w:top w:val="nil"/>
              <w:left w:val="nil"/>
              <w:bottom w:val="nil"/>
              <w:right w:val="nil"/>
            </w:tcBorders>
            <w:shd w:val="clear" w:color="auto" w:fill="auto"/>
            <w:noWrap/>
            <w:vAlign w:val="center"/>
          </w:tcPr>
          <w:p>
            <w:pPr>
              <w:keepNext/>
              <w:keepLines w:val="0"/>
              <w:pageBreakBefore w:val="0"/>
              <w:widowControl w:val="0"/>
              <w:kinsoku/>
              <w:wordWrap/>
              <w:overflowPunct w:val="0"/>
              <w:topLinePunct w:val="0"/>
              <w:autoSpaceDE w:val="0"/>
              <w:autoSpaceDN w:val="0"/>
              <w:bidi w:val="0"/>
              <w:adjustRightInd/>
              <w:snapToGrid/>
              <w:spacing w:before="7" w:line="240" w:lineRule="auto"/>
              <w:ind w:right="92" w:firstLine="0" w:firstLineChars="0"/>
              <w:jc w:val="both"/>
              <w:textAlignment w:val="baseline"/>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说明：1.本表一式三份，申报单位（部门）、财政办、资产管理办各一份；</w:t>
            </w:r>
          </w:p>
          <w:p>
            <w:pPr>
              <w:keepNext/>
              <w:keepLines w:val="0"/>
              <w:pageBreakBefore w:val="0"/>
              <w:widowControl w:val="0"/>
              <w:kinsoku/>
              <w:wordWrap/>
              <w:overflowPunct w:val="0"/>
              <w:topLinePunct w:val="0"/>
              <w:autoSpaceDE w:val="0"/>
              <w:autoSpaceDN w:val="0"/>
              <w:bidi w:val="0"/>
              <w:adjustRightInd/>
              <w:snapToGrid/>
              <w:spacing w:before="7" w:line="240" w:lineRule="auto"/>
              <w:ind w:right="92" w:firstLine="660" w:firstLineChars="300"/>
              <w:jc w:val="both"/>
              <w:textAlignment w:val="baseline"/>
              <w:rPr>
                <w:rFonts w:hint="eastAsia" w:ascii="仿宋_GB2312" w:hAnsi="仿宋_GB2312" w:eastAsia="仿宋_GB2312" w:cs="仿宋_GB2312"/>
                <w:color w:val="auto"/>
                <w:sz w:val="32"/>
                <w:szCs w:val="32"/>
              </w:rPr>
            </w:pPr>
            <w:r>
              <w:rPr>
                <w:rFonts w:hint="eastAsia" w:ascii="仿宋" w:hAnsi="仿宋" w:eastAsia="仿宋" w:cs="仿宋"/>
                <w:i w:val="0"/>
                <w:iCs w:val="0"/>
                <w:snapToGrid w:val="0"/>
                <w:color w:val="000000"/>
                <w:kern w:val="0"/>
                <w:sz w:val="22"/>
                <w:szCs w:val="22"/>
                <w:u w:val="none"/>
                <w:lang w:val="en-US" w:eastAsia="zh-CN" w:bidi="ar"/>
              </w:rPr>
              <w:t>2.</w:t>
            </w:r>
            <w:r>
              <w:rPr>
                <w:rFonts w:hint="eastAsia" w:ascii="仿宋" w:hAnsi="仿宋" w:eastAsia="仿宋" w:cs="仿宋"/>
                <w:color w:val="000000"/>
                <w:sz w:val="22"/>
                <w:szCs w:val="22"/>
                <w:u w:val="none"/>
                <w:lang w:val="en-US" w:eastAsia="zh-CN" w:bidi="ar"/>
              </w:rPr>
              <w:t>处置方式包括报废、报损、出售、出让、转让、置换、无偿调拨 (划转)、对外捐赠以及货币性资产损失核销等。</w:t>
            </w:r>
          </w:p>
          <w:p>
            <w:pPr>
              <w:keepNext w:val="0"/>
              <w:keepLines w:val="0"/>
              <w:widowControl/>
              <w:suppressLineNumbers w:val="0"/>
              <w:jc w:val="left"/>
              <w:textAlignment w:val="center"/>
              <w:rPr>
                <w:rFonts w:hint="default" w:ascii="仿宋" w:hAnsi="仿宋" w:eastAsia="仿宋" w:cs="仿宋"/>
                <w:i w:val="0"/>
                <w:iCs w:val="0"/>
                <w:color w:val="000000"/>
                <w:sz w:val="22"/>
                <w:szCs w:val="22"/>
                <w:u w:val="none"/>
                <w:lang w:val="en-US" w:eastAsia="zh-CN"/>
              </w:rPr>
            </w:pPr>
          </w:p>
        </w:tc>
      </w:tr>
    </w:tbl>
    <w:tbl>
      <w:tblPr>
        <w:tblStyle w:val="7"/>
        <w:tblpPr w:leftFromText="180" w:rightFromText="180" w:vertAnchor="text" w:horzAnchor="page" w:tblpX="1686" w:tblpY="293"/>
        <w:tblOverlap w:val="never"/>
        <w:tblW w:w="135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314"/>
        <w:gridCol w:w="3156"/>
        <w:gridCol w:w="1020"/>
        <w:gridCol w:w="1095"/>
        <w:gridCol w:w="1080"/>
        <w:gridCol w:w="1305"/>
        <w:gridCol w:w="1050"/>
        <w:gridCol w:w="112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557" w:type="dxa"/>
            <w:gridSpan w:val="10"/>
            <w:tcBorders>
              <w:top w:val="nil"/>
              <w:left w:val="nil"/>
              <w:bottom w:val="nil"/>
              <w:right w:val="nil"/>
            </w:tcBorders>
            <w:shd w:val="clear" w:color="auto" w:fill="auto"/>
            <w:noWrap/>
            <w:vAlign w:val="center"/>
          </w:tcPr>
          <w:p>
            <w:pPr>
              <w:keepNext w:val="0"/>
              <w:keepLines w:val="0"/>
              <w:widowControl/>
              <w:suppressLineNumbers w:val="0"/>
              <w:ind w:firstLine="5760" w:firstLineChars="1800"/>
              <w:jc w:val="both"/>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snapToGrid w:val="0"/>
                <w:color w:val="000000"/>
                <w:kern w:val="0"/>
                <w:sz w:val="32"/>
                <w:szCs w:val="32"/>
                <w:u w:val="none"/>
                <w:lang w:val="en-US" w:eastAsia="zh-CN" w:bidi="ar"/>
              </w:rPr>
              <w:t>国有资产处置清单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67"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所属单位（部门）：</w:t>
            </w:r>
          </w:p>
        </w:tc>
        <w:tc>
          <w:tcPr>
            <w:tcW w:w="4530" w:type="dxa"/>
            <w:gridSpan w:val="4"/>
            <w:tcBorders>
              <w:top w:val="nil"/>
              <w:left w:val="nil"/>
              <w:bottom w:val="nil"/>
              <w:right w:val="nil"/>
            </w:tcBorders>
            <w:shd w:val="clear" w:color="auto" w:fill="auto"/>
            <w:noWrap/>
            <w:vAlign w:val="center"/>
          </w:tcPr>
          <w:p>
            <w:pPr>
              <w:keepNext w:val="0"/>
              <w:keepLines w:val="0"/>
              <w:widowControl/>
              <w:suppressLineNumbers w:val="0"/>
              <w:ind w:firstLine="3360" w:firstLineChars="1400"/>
              <w:jc w:val="left"/>
              <w:textAlignment w:val="center"/>
              <w:rPr>
                <w:rFonts w:hint="eastAsia" w:ascii="仿宋" w:hAnsi="仿宋" w:eastAsia="仿宋" w:cs="仿宋"/>
                <w:i w:val="0"/>
                <w:iCs w:val="0"/>
                <w:color w:val="000000"/>
                <w:sz w:val="24"/>
                <w:szCs w:val="24"/>
                <w:u w:val="none"/>
              </w:rPr>
            </w:pPr>
          </w:p>
        </w:tc>
        <w:tc>
          <w:tcPr>
            <w:tcW w:w="276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申报日期：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资产名称</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卡片编号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数量/面积</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资产</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原值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净值</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取得日期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规格</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数量计量单位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bl>
    <w:p>
      <w:pPr>
        <w:adjustRightInd w:val="0"/>
        <w:snapToGrid w:val="0"/>
        <w:rPr>
          <w:rFonts w:hint="eastAsia" w:ascii="仿宋_GB2312" w:eastAsia="仿宋_GB2312"/>
          <w:sz w:val="32"/>
          <w:szCs w:val="32"/>
          <w:lang w:val="en-US" w:eastAsia="zh-CN"/>
        </w:rPr>
      </w:pPr>
    </w:p>
    <w:tbl>
      <w:tblPr>
        <w:tblStyle w:val="7"/>
        <w:tblpPr w:leftFromText="180" w:rightFromText="180" w:vertAnchor="text" w:horzAnchor="page" w:tblpX="1716" w:tblpY="385"/>
        <w:tblOverlap w:val="never"/>
        <w:tblW w:w="13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15"/>
        <w:gridCol w:w="1995"/>
        <w:gridCol w:w="90"/>
        <w:gridCol w:w="1185"/>
        <w:gridCol w:w="1275"/>
        <w:gridCol w:w="930"/>
        <w:gridCol w:w="900"/>
        <w:gridCol w:w="90"/>
        <w:gridCol w:w="885"/>
        <w:gridCol w:w="219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140"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6"/>
                <w:szCs w:val="36"/>
                <w:u w:val="none"/>
              </w:rPr>
            </w:pPr>
            <w:r>
              <w:rPr>
                <w:rFonts w:hint="eastAsia" w:ascii="黑体" w:hAnsi="宋体" w:eastAsia="黑体" w:cs="黑体"/>
                <w:i w:val="0"/>
                <w:iCs w:val="0"/>
                <w:snapToGrid w:val="0"/>
                <w:color w:val="000000"/>
                <w:kern w:val="0"/>
                <w:sz w:val="36"/>
                <w:szCs w:val="36"/>
                <w:u w:val="none"/>
                <w:lang w:val="en-US" w:eastAsia="zh-CN" w:bidi="ar"/>
              </w:rPr>
              <w:t xml:space="preserve">附件4：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140"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snapToGrid w:val="0"/>
                <w:color w:val="000000"/>
                <w:kern w:val="0"/>
                <w:sz w:val="36"/>
                <w:szCs w:val="36"/>
                <w:u w:val="none"/>
                <w:lang w:val="en-US" w:eastAsia="zh-CN" w:bidi="ar"/>
              </w:rPr>
              <w:t>国有资产调拨单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65"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申报单位（部门）：</w:t>
            </w:r>
          </w:p>
        </w:tc>
        <w:tc>
          <w:tcPr>
            <w:tcW w:w="1275" w:type="dxa"/>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930" w:type="dxa"/>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5370"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 xml:space="preserve"> 接收单位（部门）：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名称</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资产编号</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取得日期</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规格型号</w:t>
            </w:r>
          </w:p>
        </w:tc>
        <w:tc>
          <w:tcPr>
            <w:tcW w:w="2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帐面价值</w:t>
            </w:r>
          </w:p>
        </w:tc>
        <w:tc>
          <w:tcPr>
            <w:tcW w:w="21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新资产</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编号</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新存放地点/保管人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单价</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金额</w:t>
            </w:r>
          </w:p>
        </w:tc>
        <w:tc>
          <w:tcPr>
            <w:tcW w:w="21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合计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4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调出单位：</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经办人：               负责人：</w:t>
            </w:r>
          </w:p>
        </w:tc>
        <w:tc>
          <w:tcPr>
            <w:tcW w:w="630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调入单位：</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经办人：                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4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4"/>
                <w:szCs w:val="24"/>
                <w:u w:val="none"/>
              </w:rPr>
            </w:pPr>
          </w:p>
        </w:tc>
        <w:tc>
          <w:tcPr>
            <w:tcW w:w="63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3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财政办审核意见：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w:t>
            </w:r>
          </w:p>
          <w:p>
            <w:pPr>
              <w:keepNext w:val="0"/>
              <w:keepLines w:val="0"/>
              <w:widowControl/>
              <w:suppressLineNumbers w:val="0"/>
              <w:jc w:val="left"/>
              <w:textAlignment w:val="top"/>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负责人：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w:t>
            </w:r>
          </w:p>
          <w:p>
            <w:pPr>
              <w:keepNext w:val="0"/>
              <w:keepLines w:val="0"/>
              <w:widowControl/>
              <w:suppressLineNumbers w:val="0"/>
              <w:ind w:firstLine="2640" w:firstLineChars="110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年   月   日</w:t>
            </w:r>
          </w:p>
        </w:tc>
        <w:tc>
          <w:tcPr>
            <w:tcW w:w="43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资产管理办审核意见：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负责人：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w:t>
            </w:r>
          </w:p>
        </w:tc>
        <w:tc>
          <w:tcPr>
            <w:tcW w:w="4380" w:type="dxa"/>
            <w:gridSpan w:val="3"/>
            <w:vMerge w:val="restart"/>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街道分管领导审核意见：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负责人：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43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4"/>
                <w:szCs w:val="24"/>
                <w:u w:val="none"/>
              </w:rPr>
            </w:pPr>
          </w:p>
        </w:tc>
        <w:tc>
          <w:tcPr>
            <w:tcW w:w="43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4"/>
                <w:szCs w:val="24"/>
                <w:u w:val="none"/>
              </w:rPr>
            </w:pPr>
          </w:p>
        </w:tc>
        <w:tc>
          <w:tcPr>
            <w:tcW w:w="4380" w:type="dxa"/>
            <w:gridSpan w:val="3"/>
            <w:vMerge w:val="continue"/>
            <w:tcBorders>
              <w:top w:val="single" w:color="000000" w:sz="4" w:space="0"/>
              <w:left w:val="nil"/>
              <w:bottom w:val="single" w:color="000000" w:sz="4" w:space="0"/>
              <w:right w:val="single" w:color="000000" w:sz="4" w:space="0"/>
            </w:tcBorders>
            <w:shd w:val="clear" w:color="auto" w:fill="auto"/>
            <w:vAlign w:val="top"/>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140"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说明:本调拨单一式四份,调出部门、调入部门、财政、资产管理办各一份。</w:t>
            </w:r>
          </w:p>
        </w:tc>
      </w:tr>
    </w:tbl>
    <w:p>
      <w:pPr>
        <w:adjustRightInd w:val="0"/>
        <w:snapToGrid w:val="0"/>
        <w:rPr>
          <w:rFonts w:hint="eastAsia" w:ascii="仿宋_GB2312" w:eastAsia="仿宋_GB2312"/>
          <w:sz w:val="32"/>
          <w:szCs w:val="32"/>
          <w:lang w:val="en-US" w:eastAsia="zh-CN"/>
        </w:rPr>
      </w:pPr>
    </w:p>
    <w:p>
      <w:pPr>
        <w:adjustRightInd w:val="0"/>
        <w:snapToGrid w:val="0"/>
        <w:rPr>
          <w:rFonts w:hint="eastAsia" w:ascii="仿宋_GB2312" w:eastAsia="仿宋_GB2312"/>
          <w:sz w:val="32"/>
          <w:szCs w:val="32"/>
          <w:lang w:val="en-US" w:eastAsia="zh-CN"/>
        </w:rPr>
      </w:pPr>
    </w:p>
    <w:p/>
    <w:sectPr>
      <w:pgSz w:w="16839" w:h="11906" w:orient="landscape"/>
      <w:pgMar w:top="1395" w:right="1429" w:bottom="1395" w:left="1553" w:header="0" w:footer="130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right="278"/>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B775C"/>
    <w:rsid w:val="0E3D13D3"/>
    <w:rsid w:val="22AF6F94"/>
    <w:rsid w:val="22F263DB"/>
    <w:rsid w:val="26A8473C"/>
    <w:rsid w:val="38BE1E26"/>
    <w:rsid w:val="3A9D0A80"/>
    <w:rsid w:val="437F7C36"/>
    <w:rsid w:val="55CC104D"/>
    <w:rsid w:val="5AE51C11"/>
    <w:rsid w:val="65B4497F"/>
    <w:rsid w:val="6B772261"/>
    <w:rsid w:val="72F0143E"/>
    <w:rsid w:val="75082592"/>
    <w:rsid w:val="75E9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0"/>
    <w:pPr>
      <w:spacing w:line="360" w:lineRule="auto"/>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51"/>
    <w:basedOn w:val="9"/>
    <w:qFormat/>
    <w:uiPriority w:val="0"/>
    <w:rPr>
      <w:rFonts w:hint="eastAsia" w:ascii="黑体" w:hAnsi="宋体" w:eastAsia="黑体" w:cs="黑体"/>
      <w:color w:val="FF0000"/>
      <w:sz w:val="36"/>
      <w:szCs w:val="36"/>
      <w:u w:val="none"/>
    </w:rPr>
  </w:style>
  <w:style w:type="character" w:customStyle="1" w:styleId="11">
    <w:name w:val="font11"/>
    <w:basedOn w:val="9"/>
    <w:qFormat/>
    <w:uiPriority w:val="0"/>
    <w:rPr>
      <w:rFonts w:hint="eastAsia" w:ascii="黑体" w:hAnsi="宋体" w:eastAsia="黑体" w:cs="黑体"/>
      <w:color w:val="000000"/>
      <w:sz w:val="36"/>
      <w:szCs w:val="36"/>
      <w:u w:val="none"/>
    </w:rPr>
  </w:style>
  <w:style w:type="character" w:customStyle="1" w:styleId="12">
    <w:name w:val="font71"/>
    <w:basedOn w:val="9"/>
    <w:qFormat/>
    <w:uiPriority w:val="0"/>
    <w:rPr>
      <w:rFonts w:ascii="仿宋" w:hAnsi="仿宋" w:eastAsia="仿宋" w:cs="仿宋"/>
      <w:b/>
      <w:bCs/>
      <w:color w:val="000000"/>
      <w:sz w:val="28"/>
      <w:szCs w:val="28"/>
      <w:u w:val="none"/>
    </w:rPr>
  </w:style>
  <w:style w:type="character" w:customStyle="1" w:styleId="13">
    <w:name w:val="font81"/>
    <w:basedOn w:val="9"/>
    <w:qFormat/>
    <w:uiPriority w:val="0"/>
    <w:rPr>
      <w:rFonts w:hint="eastAsia" w:ascii="黑体" w:hAnsi="宋体" w:eastAsia="黑体" w:cs="黑体"/>
      <w:color w:val="000000"/>
      <w:sz w:val="28"/>
      <w:szCs w:val="28"/>
      <w:u w:val="none"/>
    </w:rPr>
  </w:style>
  <w:style w:type="character" w:customStyle="1" w:styleId="14">
    <w:name w:val="font31"/>
    <w:basedOn w:val="9"/>
    <w:qFormat/>
    <w:uiPriority w:val="0"/>
    <w:rPr>
      <w:rFonts w:hint="eastAsia" w:ascii="仿宋" w:hAnsi="仿宋" w:eastAsia="仿宋" w:cs="仿宋"/>
      <w:color w:val="000000"/>
      <w:sz w:val="28"/>
      <w:szCs w:val="28"/>
      <w:u w:val="none"/>
    </w:rPr>
  </w:style>
  <w:style w:type="character" w:customStyle="1" w:styleId="15">
    <w:name w:val="font21"/>
    <w:basedOn w:val="9"/>
    <w:qFormat/>
    <w:uiPriority w:val="0"/>
    <w:rPr>
      <w:rFonts w:hint="eastAsia" w:ascii="仿宋" w:hAnsi="仿宋" w:eastAsia="仿宋" w:cs="仿宋"/>
      <w:color w:val="000000"/>
      <w:sz w:val="24"/>
      <w:szCs w:val="24"/>
      <w:u w:val="none"/>
    </w:rPr>
  </w:style>
  <w:style w:type="character" w:customStyle="1" w:styleId="16">
    <w:name w:val="font41"/>
    <w:basedOn w:val="9"/>
    <w:qFormat/>
    <w:uiPriority w:val="0"/>
    <w:rPr>
      <w:rFonts w:hint="eastAsia" w:ascii="仿宋" w:hAnsi="仿宋" w:eastAsia="仿宋" w:cs="仿宋"/>
      <w:b/>
      <w:bCs/>
      <w:color w:val="000000"/>
      <w:sz w:val="24"/>
      <w:szCs w:val="24"/>
      <w:u w:val="none"/>
    </w:rPr>
  </w:style>
  <w:style w:type="character" w:customStyle="1" w:styleId="17">
    <w:name w:val="font61"/>
    <w:basedOn w:val="9"/>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2025-01-09T03:34:00Z</dcterms:created>
  <dc:creator>Administrator</dc:creator>
  <cp:lastModifiedBy>dzb</cp:lastModifiedBy>
  <cp:lastPrinted>2025-01-21T01:34:23Z</cp:lastPrinted>
  <dcterms:modified xsi:type="dcterms:W3CDTF">2025-01-21T02:11:46Z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1153A9974D544C55980C4EB588A0E868</vt:lpwstr>
  </property>
</Properties>
</file>