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FA74C">
      <w:pPr>
        <w:autoSpaceDE w:val="0"/>
        <w:autoSpaceDN w:val="0"/>
        <w:adjustRightInd w:val="0"/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Hlk184391224"/>
    </w:p>
    <w:bookmarkEnd w:id="0"/>
    <w:p w14:paraId="428195CA">
      <w:pPr>
        <w:autoSpaceDE w:val="0"/>
        <w:autoSpaceDN w:val="0"/>
        <w:adjustRightInd w:val="0"/>
        <w:spacing w:line="550" w:lineRule="exact"/>
        <w:jc w:val="center"/>
        <w:rPr>
          <w:rFonts w:ascii="方正小标宋_GBK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杭州市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城市轨道交通TOD综合开发高质量发展实施细则》起草说明</w:t>
      </w:r>
    </w:p>
    <w:p w14:paraId="326DC036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14:paraId="0B74D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textAlignment w:val="auto"/>
        <w:rPr>
          <w:rFonts w:hint="default" w:ascii="仿宋_GB2312" w:hAnsi="黑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sz w:val="32"/>
          <w:szCs w:val="32"/>
          <w:lang w:val="en-US" w:eastAsia="zh-CN"/>
        </w:rPr>
        <w:t>为贯彻落实2024年10月</w:t>
      </w:r>
      <w:bookmarkStart w:id="1" w:name="_GoBack"/>
      <w:bookmarkEnd w:id="1"/>
      <w:r>
        <w:rPr>
          <w:rFonts w:hint="eastAsia" w:ascii="仿宋_GB2312" w:hAnsi="黑体" w:eastAsia="仿宋_GB2312" w:cs="宋体"/>
          <w:sz w:val="32"/>
          <w:szCs w:val="32"/>
          <w:lang w:val="en-US" w:eastAsia="zh-CN"/>
        </w:rPr>
        <w:t>市政府主要领导关于TOD项目开发模式和规划推进工作专题会议精神，市发改委会同相关部门研究起草了《杭州市城市轨道交通TOD综合开发高质量发展实施细则》（以下简称《实施细则》）。现将有关起草情况说明如下：</w:t>
      </w:r>
    </w:p>
    <w:p w14:paraId="370C5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一、起草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背景</w:t>
      </w:r>
    </w:p>
    <w:p w14:paraId="42AEF83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textAlignment w:val="auto"/>
        <w:rPr>
          <w:rFonts w:hint="default" w:ascii="仿宋_GB2312" w:hAnsi="黑体" w:eastAsia="仿宋_GB2312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为切实推进我市轨道交通TOD综合开发</w:t>
      </w:r>
      <w:r>
        <w:rPr>
          <w:rFonts w:hint="eastAsia" w:ascii="仿宋_GB2312" w:hAnsi="黑体" w:eastAsia="仿宋_GB2312" w:cs="宋体"/>
          <w:sz w:val="32"/>
          <w:szCs w:val="32"/>
        </w:rPr>
        <w:t>（以下简称</w:t>
      </w:r>
      <w:r>
        <w:rPr>
          <w:rFonts w:hint="eastAsia" w:ascii="仿宋_GB2312" w:hAnsi="黑体" w:eastAsia="仿宋_GB2312" w:cs="宋体"/>
          <w:sz w:val="32"/>
          <w:szCs w:val="32"/>
          <w:lang w:val="en-US" w:eastAsia="zh-CN"/>
        </w:rPr>
        <w:t>TOD开发</w:t>
      </w:r>
      <w:r>
        <w:rPr>
          <w:rFonts w:hint="eastAsia" w:ascii="仿宋_GB2312" w:hAnsi="黑体" w:eastAsia="仿宋_GB2312" w:cs="宋体"/>
          <w:sz w:val="32"/>
          <w:szCs w:val="32"/>
        </w:rPr>
        <w:t>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高起点规划、高标准设计、高品质建设，优化城市及产业布局，促进土地高效集约利用，改善人居环境，激发市场活力，筹集轨道交通建设和运营补助资金，实现可持续发展，结合我市实际情况，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制定本《实施细则》。</w:t>
      </w:r>
    </w:p>
    <w:p w14:paraId="0FA7F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二、起草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依据</w:t>
      </w:r>
    </w:p>
    <w:p w14:paraId="5AFDC9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《城市公共交通条例》（国令第793号）</w:t>
      </w:r>
    </w:p>
    <w:p w14:paraId="4BD9F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《国务院办公厅关于进⼀步加强城市轨道交通规划建设管理的意见》（国办发〔2018〕52号）</w:t>
      </w:r>
    </w:p>
    <w:p w14:paraId="23121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《关于推动浙江省轨道交通健康可持续发展的意见》（浙政办发〔2021〕52号）</w:t>
      </w:r>
    </w:p>
    <w:p w14:paraId="5AE60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《关于推进轨道交通可持续高质量发展的实施意见》（市委发〔2020〕23号）</w:t>
      </w:r>
    </w:p>
    <w:p w14:paraId="5C3FC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、起草过程</w:t>
      </w:r>
    </w:p>
    <w:p w14:paraId="5EB94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（一）开展课题研究。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2024年4-10月，牵头开展杭州轨道交通TOD综合开发政策保障体系课题研究，从不同实施阶段着手提出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TOD开发政策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优化思路。</w:t>
      </w:r>
    </w:p>
    <w:p w14:paraId="63B0B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（二）外出调研学习。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2024年11月，梳理当前我市TOD开发存在的实际问题，形成调研学习清单，赴成都、深圳、广州等兄弟城市调研学习TOD开发经验做法。</w:t>
      </w:r>
    </w:p>
    <w:p w14:paraId="77387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（三）广泛征求意见。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2025年1月至今，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起草前，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向市级部门和区政府等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23单位征集有关政策意见，共收集各方面意见78条；在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过程中，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会同责任单位逐条论证，细化完善，力争每条意见都具体可行；在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形成初稿后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，又两轮书面征求相关单位意见，并数次进行修改完善，争取部门层面能够达成共识。</w:t>
      </w:r>
    </w:p>
    <w:p w14:paraId="6316C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  <w:u w:val="none"/>
        </w:rPr>
      </w:pPr>
      <w:r>
        <w:rPr>
          <w:rFonts w:hint="eastAsia" w:ascii="Times New Roman" w:hAnsi="Times New Roman" w:eastAsia="黑体" w:cs="黑体"/>
          <w:sz w:val="32"/>
          <w:szCs w:val="32"/>
          <w:u w:val="none"/>
          <w:lang w:val="en-US" w:eastAsia="zh-CN"/>
        </w:rPr>
        <w:t>四</w:t>
      </w:r>
      <w:r>
        <w:rPr>
          <w:rFonts w:hint="eastAsia" w:ascii="Times New Roman" w:hAnsi="Times New Roman" w:eastAsia="黑体" w:cs="黑体"/>
          <w:sz w:val="32"/>
          <w:szCs w:val="32"/>
          <w:u w:val="none"/>
          <w:lang w:val="zh-TW"/>
        </w:rPr>
        <w:t>、主要内容</w:t>
      </w:r>
    </w:p>
    <w:p w14:paraId="07D85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主要分为总体要求和规划、用地、开发管理四个层面。</w:t>
      </w:r>
    </w:p>
    <w:p w14:paraId="46F2D5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（一）总体要求层面。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分别明确站点和车辆基地TOD开发用地范围，明细了TOD开发和其他城市开发的用地边界；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</w:rPr>
        <w:t>车辆基地选址原则上应在城市配套服务相对成熟的近郊并设置站点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强化车辆基地的可开发性；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明确市区两级、市级部门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TOD开发工作职责，推动形成工作合力。</w:t>
      </w:r>
    </w:p>
    <w:p w14:paraId="1ADED2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（二）规划管理层面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明确规划体系。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按照地铁“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线网规划—建设规划—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可行性研究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”时序，对应建立TOD开发“专项规划—沿线用地详细规划—上盖地块选址论证”三级规划体系，并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细化各层级规划要点，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实现城市轨道交通与TOD开发在规划层面的呼应；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明确规划衔接时序要求。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除要求上述前两个阶段的规划同步编制和报审外，又新提出在轨道交通线路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可行性研究报告批复后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6个月内完成上盖地块选址论证的审查，从工程实施层面增强轨道交通建设和TOD开发协同性；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明确TOD开发专属规划指标。在现有政策基础上，提出了TOD开发8项专属规划指标。如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容积率，非住宅用地鼓励高强度开发；绿地率，非住宅用地可在相应TOD开发范围内整体平衡等。</w:t>
      </w:r>
    </w:p>
    <w:p w14:paraId="53F6F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（三）用地管理层面。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明确可合理确定TOD开发用地出让底价，以吸引更多市场主体参与开发；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明确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TOD开发用地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优先纳入经营性用地储备计划，增加年度TOD开发用地的供应量；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支持TOD开发范围内商业商务用地在不同业态之间合理转换。</w:t>
      </w:r>
    </w:p>
    <w:p w14:paraId="0DA2D1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（四）开发管理层面。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鼓励车辆基地TOD开发采用盖上空间与落地区一体化出让；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/>
          <w:kern w:val="0"/>
          <w:sz w:val="32"/>
          <w:szCs w:val="32"/>
        </w:rPr>
        <w:t>鼓励市、区两级国企参与车辆基地等上盖地块的TOD开发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/>
          <w:bCs/>
          <w:kern w:val="0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TOD开发项目纳入市重点建设项目进行统一管理，同等享受市重点项目支持政策。</w:t>
      </w:r>
    </w:p>
    <w:p w14:paraId="6839E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  <w:u w:val="none"/>
        </w:rPr>
      </w:pPr>
    </w:p>
    <w:p w14:paraId="42ECD779">
      <w:pPr>
        <w:pStyle w:val="14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06" w:bottom="2098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14548435"/>
      <w:docPartObj>
        <w:docPartGallery w:val="autotext"/>
      </w:docPartObj>
    </w:sdtPr>
    <w:sdtContent>
      <w:p w14:paraId="590E4F2E">
        <w:pPr>
          <w:pStyle w:val="6"/>
          <w:jc w:val="center"/>
        </w:pPr>
        <w:r>
          <w:rPr>
            <w:sz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outside</wp:align>
                  </wp:positionH>
                  <wp:positionV relativeFrom="paragraph">
                    <wp:posOffset>-76835</wp:posOffset>
                  </wp:positionV>
                  <wp:extent cx="1828800" cy="1828800"/>
                  <wp:effectExtent l="0" t="0" r="0" b="0"/>
                  <wp:wrapNone/>
                  <wp:docPr id="1" name="文本框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56F896">
                              <w:pPr>
                                <w:pStyle w:val="6"/>
                                <w:ind w:left="420" w:leftChars="200" w:right="420" w:rightChars="200"/>
                                <w:rPr>
                                  <w:rStyle w:val="12"/>
                                  <w:sz w:val="28"/>
                                </w:rPr>
                              </w:pPr>
                              <w:r>
                                <w:rPr>
                                  <w:rStyle w:val="12"/>
                                  <w:rFonts w:hint="eastAsia"/>
                                  <w:sz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rStyle w:val="12"/>
                                  <w:rFonts w:ascii="宋体" w:hAnsi="宋体"/>
                                  <w:sz w:val="28"/>
                                </w:rPr>
                                <w:instrText xml:space="preserve">PAGE  </w:instrTex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Style w:val="12"/>
                                  <w:rFonts w:ascii="宋体" w:hAnsi="宋体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</w:rPr>
                                <w:fldChar w:fldCharType="end"/>
                              </w:r>
                              <w:r>
                                <w:rPr>
                                  <w:rStyle w:val="12"/>
                                  <w:rFonts w:hint="eastAsia"/>
                                  <w:sz w:val="28"/>
                                </w:rPr>
                                <w:t xml:space="preserve"> — </w:t>
                              </w:r>
                            </w:p>
                            <w:p w14:paraId="3B28A4E5">
                              <w:pPr>
                                <w:pStyle w:val="6"/>
                              </w:pPr>
                            </w:p>
                          </w:txbxContent>
                        </wps:txbx>
                        <wps:bodyPr wrap="none" lIns="0" tIns="0" rIns="0" bIns="0" upright="0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202" type="#_x0000_t202" style="position:absolute;left:0pt;margin-top:-6.0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153mr1AAAAAgBAAAPAAAAAAAAAAEAIAAAACIAAABkcnMvZG93bnJl&#10;di54bWxQSwECFAAUAAAACACHTuJA5KL+z8gBAACZAwAADgAAAAAAAAABACAAAAAjAQAAZHJzL2Uy&#10;b0RvYy54bWxQSwUGAAAAAAYABgBZAQAAX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7B56F896">
                        <w:pPr>
                          <w:pStyle w:val="6"/>
                          <w:ind w:left="420" w:leftChars="200" w:right="420" w:rightChars="200"/>
                          <w:rPr>
                            <w:rStyle w:val="12"/>
                            <w:sz w:val="28"/>
                          </w:rPr>
                        </w:pPr>
                        <w:r>
                          <w:rPr>
                            <w:rStyle w:val="12"/>
                            <w:rFonts w:hint="eastAsia"/>
                            <w:sz w:val="28"/>
                          </w:rPr>
                          <w:t xml:space="preserve">— </w:t>
                        </w:r>
                        <w:r>
                          <w:rPr>
                            <w:rFonts w:ascii="宋体" w:hAnsi="宋体"/>
                            <w:sz w:val="28"/>
                          </w:rPr>
                          <w:fldChar w:fldCharType="begin"/>
                        </w:r>
                        <w:r>
                          <w:rPr>
                            <w:rStyle w:val="12"/>
                            <w:rFonts w:ascii="宋体" w:hAnsi="宋体"/>
                            <w:sz w:val="28"/>
                          </w:rPr>
                          <w:instrText xml:space="preserve">PAGE  </w:instrText>
                        </w:r>
                        <w:r>
                          <w:rPr>
                            <w:rFonts w:ascii="宋体" w:hAnsi="宋体"/>
                            <w:sz w:val="28"/>
                          </w:rPr>
                          <w:fldChar w:fldCharType="separate"/>
                        </w:r>
                        <w:r>
                          <w:rPr>
                            <w:rStyle w:val="12"/>
                            <w:rFonts w:ascii="宋体" w:hAnsi="宋体"/>
                            <w:sz w:val="28"/>
                          </w:rPr>
                          <w:t>2</w:t>
                        </w:r>
                        <w:r>
                          <w:rPr>
                            <w:rFonts w:ascii="宋体" w:hAnsi="宋体"/>
                            <w:sz w:val="28"/>
                          </w:rPr>
                          <w:fldChar w:fldCharType="end"/>
                        </w:r>
                        <w:r>
                          <w:rPr>
                            <w:rStyle w:val="12"/>
                            <w:rFonts w:hint="eastAsia"/>
                            <w:sz w:val="28"/>
                          </w:rPr>
                          <w:t xml:space="preserve"> — </w:t>
                        </w:r>
                      </w:p>
                      <w:p w14:paraId="3B28A4E5">
                        <w:pPr>
                          <w:pStyle w:val="6"/>
                        </w:pPr>
                      </w:p>
                    </w:txbxContent>
                  </v:textbox>
                </v:shape>
              </w:pict>
            </mc:Fallback>
          </mc:AlternateContent>
        </w:r>
      </w:p>
    </w:sdtContent>
  </w:sdt>
  <w:p w14:paraId="6C16F613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0Yzk2YmY0ZmIxNGViNmI4YWRhYmViYjA4YjhjYjkifQ=="/>
    <w:docVar w:name="KSO_WPS_MARK_KEY" w:val="bc8bb636-9966-468b-bf7e-9a1ab2a34e55"/>
  </w:docVars>
  <w:rsids>
    <w:rsidRoot w:val="003408C3"/>
    <w:rsid w:val="0000171D"/>
    <w:rsid w:val="0000345E"/>
    <w:rsid w:val="0001292C"/>
    <w:rsid w:val="00032DDF"/>
    <w:rsid w:val="00042188"/>
    <w:rsid w:val="00062F14"/>
    <w:rsid w:val="00086D26"/>
    <w:rsid w:val="000A4C65"/>
    <w:rsid w:val="000C48AF"/>
    <w:rsid w:val="000C4B43"/>
    <w:rsid w:val="001068E4"/>
    <w:rsid w:val="00122C92"/>
    <w:rsid w:val="00140379"/>
    <w:rsid w:val="00161F42"/>
    <w:rsid w:val="00162B0A"/>
    <w:rsid w:val="00172460"/>
    <w:rsid w:val="00177240"/>
    <w:rsid w:val="001841B8"/>
    <w:rsid w:val="0019514B"/>
    <w:rsid w:val="00202356"/>
    <w:rsid w:val="002407FE"/>
    <w:rsid w:val="002614C1"/>
    <w:rsid w:val="0027295B"/>
    <w:rsid w:val="002968C0"/>
    <w:rsid w:val="002A3181"/>
    <w:rsid w:val="002A33BC"/>
    <w:rsid w:val="002B36C4"/>
    <w:rsid w:val="002C4430"/>
    <w:rsid w:val="002D59C8"/>
    <w:rsid w:val="002F0F98"/>
    <w:rsid w:val="002F5D67"/>
    <w:rsid w:val="003214F7"/>
    <w:rsid w:val="003269E7"/>
    <w:rsid w:val="00333579"/>
    <w:rsid w:val="00336032"/>
    <w:rsid w:val="003408C3"/>
    <w:rsid w:val="00345C56"/>
    <w:rsid w:val="0034790A"/>
    <w:rsid w:val="00355470"/>
    <w:rsid w:val="003675F7"/>
    <w:rsid w:val="003A3C73"/>
    <w:rsid w:val="003A69D5"/>
    <w:rsid w:val="003D1EE8"/>
    <w:rsid w:val="00440181"/>
    <w:rsid w:val="00443D2F"/>
    <w:rsid w:val="00447512"/>
    <w:rsid w:val="004518BB"/>
    <w:rsid w:val="004607C6"/>
    <w:rsid w:val="00460C79"/>
    <w:rsid w:val="004741E7"/>
    <w:rsid w:val="00481878"/>
    <w:rsid w:val="00486F1E"/>
    <w:rsid w:val="004906A8"/>
    <w:rsid w:val="00497672"/>
    <w:rsid w:val="004C016F"/>
    <w:rsid w:val="004D610D"/>
    <w:rsid w:val="004E5DE1"/>
    <w:rsid w:val="004F3D62"/>
    <w:rsid w:val="00500FE0"/>
    <w:rsid w:val="00507032"/>
    <w:rsid w:val="00513131"/>
    <w:rsid w:val="005138C3"/>
    <w:rsid w:val="00523C5B"/>
    <w:rsid w:val="00532FC7"/>
    <w:rsid w:val="005336A3"/>
    <w:rsid w:val="005363B2"/>
    <w:rsid w:val="00536406"/>
    <w:rsid w:val="00571708"/>
    <w:rsid w:val="00585171"/>
    <w:rsid w:val="00587069"/>
    <w:rsid w:val="005A42ED"/>
    <w:rsid w:val="005A55A1"/>
    <w:rsid w:val="005B44DA"/>
    <w:rsid w:val="005D5B14"/>
    <w:rsid w:val="005D616C"/>
    <w:rsid w:val="005E234A"/>
    <w:rsid w:val="00601D8B"/>
    <w:rsid w:val="006057D9"/>
    <w:rsid w:val="00605E0B"/>
    <w:rsid w:val="006073FF"/>
    <w:rsid w:val="006111AC"/>
    <w:rsid w:val="006528F4"/>
    <w:rsid w:val="006A1B5B"/>
    <w:rsid w:val="006E0551"/>
    <w:rsid w:val="006E6A68"/>
    <w:rsid w:val="0070026E"/>
    <w:rsid w:val="00707E1B"/>
    <w:rsid w:val="007240D0"/>
    <w:rsid w:val="007267CC"/>
    <w:rsid w:val="00737A47"/>
    <w:rsid w:val="007503BD"/>
    <w:rsid w:val="00756B9C"/>
    <w:rsid w:val="00760867"/>
    <w:rsid w:val="00761CC1"/>
    <w:rsid w:val="00776E4F"/>
    <w:rsid w:val="0079577D"/>
    <w:rsid w:val="0079648F"/>
    <w:rsid w:val="00796DB9"/>
    <w:rsid w:val="007A7B7C"/>
    <w:rsid w:val="007B4FE6"/>
    <w:rsid w:val="007B6D65"/>
    <w:rsid w:val="007C2F09"/>
    <w:rsid w:val="007E0D6C"/>
    <w:rsid w:val="007E1B6A"/>
    <w:rsid w:val="0083412D"/>
    <w:rsid w:val="00842667"/>
    <w:rsid w:val="0084467C"/>
    <w:rsid w:val="00871819"/>
    <w:rsid w:val="0089030C"/>
    <w:rsid w:val="00891AA4"/>
    <w:rsid w:val="008E14C4"/>
    <w:rsid w:val="00904A53"/>
    <w:rsid w:val="0091110B"/>
    <w:rsid w:val="00926301"/>
    <w:rsid w:val="00935E55"/>
    <w:rsid w:val="00936A2F"/>
    <w:rsid w:val="00941CD1"/>
    <w:rsid w:val="00962F9B"/>
    <w:rsid w:val="009726D7"/>
    <w:rsid w:val="00977021"/>
    <w:rsid w:val="009962FA"/>
    <w:rsid w:val="009B470C"/>
    <w:rsid w:val="009C01C0"/>
    <w:rsid w:val="009E3037"/>
    <w:rsid w:val="009F0A1F"/>
    <w:rsid w:val="00A06AAF"/>
    <w:rsid w:val="00A239FA"/>
    <w:rsid w:val="00A425D7"/>
    <w:rsid w:val="00A609F6"/>
    <w:rsid w:val="00A92F2F"/>
    <w:rsid w:val="00A96FC1"/>
    <w:rsid w:val="00AA0700"/>
    <w:rsid w:val="00AA3771"/>
    <w:rsid w:val="00AD04BC"/>
    <w:rsid w:val="00B0498F"/>
    <w:rsid w:val="00B115FF"/>
    <w:rsid w:val="00B118D6"/>
    <w:rsid w:val="00B135B5"/>
    <w:rsid w:val="00B14317"/>
    <w:rsid w:val="00B22570"/>
    <w:rsid w:val="00B232E3"/>
    <w:rsid w:val="00B278B5"/>
    <w:rsid w:val="00B36B15"/>
    <w:rsid w:val="00B67874"/>
    <w:rsid w:val="00B7091B"/>
    <w:rsid w:val="00B72F56"/>
    <w:rsid w:val="00B775E6"/>
    <w:rsid w:val="00B84257"/>
    <w:rsid w:val="00B87F4A"/>
    <w:rsid w:val="00BA15DC"/>
    <w:rsid w:val="00BA78A0"/>
    <w:rsid w:val="00BD4645"/>
    <w:rsid w:val="00BE3EDE"/>
    <w:rsid w:val="00BF1897"/>
    <w:rsid w:val="00C01B05"/>
    <w:rsid w:val="00C036A5"/>
    <w:rsid w:val="00C1794C"/>
    <w:rsid w:val="00C2263F"/>
    <w:rsid w:val="00C23731"/>
    <w:rsid w:val="00C33224"/>
    <w:rsid w:val="00C400FC"/>
    <w:rsid w:val="00C4242A"/>
    <w:rsid w:val="00C448F5"/>
    <w:rsid w:val="00CC37B7"/>
    <w:rsid w:val="00CC5D3E"/>
    <w:rsid w:val="00CE2A78"/>
    <w:rsid w:val="00CF0349"/>
    <w:rsid w:val="00CF1B38"/>
    <w:rsid w:val="00D371CD"/>
    <w:rsid w:val="00D40C42"/>
    <w:rsid w:val="00D46637"/>
    <w:rsid w:val="00D507C8"/>
    <w:rsid w:val="00D5452E"/>
    <w:rsid w:val="00D5506F"/>
    <w:rsid w:val="00D564E0"/>
    <w:rsid w:val="00D702C7"/>
    <w:rsid w:val="00D8579C"/>
    <w:rsid w:val="00D92530"/>
    <w:rsid w:val="00D930F4"/>
    <w:rsid w:val="00DB3A53"/>
    <w:rsid w:val="00DD38AF"/>
    <w:rsid w:val="00DE5628"/>
    <w:rsid w:val="00DF36C2"/>
    <w:rsid w:val="00E11361"/>
    <w:rsid w:val="00E2093F"/>
    <w:rsid w:val="00E30AD4"/>
    <w:rsid w:val="00E369AA"/>
    <w:rsid w:val="00E5094F"/>
    <w:rsid w:val="00EA050C"/>
    <w:rsid w:val="00EA108B"/>
    <w:rsid w:val="00EA1D15"/>
    <w:rsid w:val="00EA3C98"/>
    <w:rsid w:val="00F0222D"/>
    <w:rsid w:val="00F029AF"/>
    <w:rsid w:val="00F236E8"/>
    <w:rsid w:val="00F3265E"/>
    <w:rsid w:val="00F405DE"/>
    <w:rsid w:val="00F627C1"/>
    <w:rsid w:val="00F8443A"/>
    <w:rsid w:val="00F93582"/>
    <w:rsid w:val="00F96B8C"/>
    <w:rsid w:val="00FC115E"/>
    <w:rsid w:val="00FD3D8D"/>
    <w:rsid w:val="0DF10C0B"/>
    <w:rsid w:val="150E2D97"/>
    <w:rsid w:val="16144D59"/>
    <w:rsid w:val="1AF22EF0"/>
    <w:rsid w:val="1D831DCA"/>
    <w:rsid w:val="1F8F2A82"/>
    <w:rsid w:val="1FA913F7"/>
    <w:rsid w:val="1FB0427F"/>
    <w:rsid w:val="297A2AEE"/>
    <w:rsid w:val="2CF56090"/>
    <w:rsid w:val="2DDF343A"/>
    <w:rsid w:val="34A915E9"/>
    <w:rsid w:val="3692244B"/>
    <w:rsid w:val="391F2ED7"/>
    <w:rsid w:val="3CAF3BD4"/>
    <w:rsid w:val="3E8D7A69"/>
    <w:rsid w:val="44313667"/>
    <w:rsid w:val="4461261A"/>
    <w:rsid w:val="45E5AEAB"/>
    <w:rsid w:val="46ED1809"/>
    <w:rsid w:val="48BE775C"/>
    <w:rsid w:val="4AEC0AFA"/>
    <w:rsid w:val="4F7F4910"/>
    <w:rsid w:val="51C56E97"/>
    <w:rsid w:val="532F47B9"/>
    <w:rsid w:val="549C3FAB"/>
    <w:rsid w:val="55314FB7"/>
    <w:rsid w:val="59B82BFA"/>
    <w:rsid w:val="5BE865EB"/>
    <w:rsid w:val="5BED6DCF"/>
    <w:rsid w:val="5E1162AB"/>
    <w:rsid w:val="5FFB4E3F"/>
    <w:rsid w:val="60262960"/>
    <w:rsid w:val="69E22037"/>
    <w:rsid w:val="6A4E644F"/>
    <w:rsid w:val="6F4B7C59"/>
    <w:rsid w:val="70161521"/>
    <w:rsid w:val="77EF2FCD"/>
    <w:rsid w:val="7C3DDA06"/>
    <w:rsid w:val="7DDF3FDB"/>
    <w:rsid w:val="7F7C0C41"/>
    <w:rsid w:val="7FF72B06"/>
    <w:rsid w:val="7FFB349D"/>
    <w:rsid w:val="7FFE69D0"/>
    <w:rsid w:val="B3FD9573"/>
    <w:rsid w:val="DECF6DC3"/>
    <w:rsid w:val="DEEE5136"/>
    <w:rsid w:val="E6A2B5BE"/>
    <w:rsid w:val="EEBDA9AA"/>
    <w:rsid w:val="FDCD1A29"/>
    <w:rsid w:val="FE7D2BF7"/>
    <w:rsid w:val="FFAFB21C"/>
    <w:rsid w:val="FFB710E0"/>
    <w:rsid w:val="FFE71F36"/>
    <w:rsid w:val="FFFFD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  <w:rPr>
      <w:rFonts w:ascii="等线" w:hAnsi="等线" w:eastAsia="等线" w:cs="黑体"/>
    </w:rPr>
  </w:style>
  <w:style w:type="paragraph" w:styleId="3">
    <w:name w:val="Body Text"/>
    <w:basedOn w:val="1"/>
    <w:next w:val="4"/>
    <w:qFormat/>
    <w:uiPriority w:val="0"/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Cs w:val="32"/>
    </w:r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3"/>
    <w:qFormat/>
    <w:uiPriority w:val="0"/>
    <w:pPr>
      <w:ind w:firstLine="420" w:firstLineChars="100"/>
    </w:p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qFormat/>
    <w:uiPriority w:val="0"/>
    <w:rPr>
      <w:sz w:val="21"/>
      <w:szCs w:val="21"/>
    </w:rPr>
  </w:style>
  <w:style w:type="paragraph" w:customStyle="1" w:styleId="14">
    <w:name w:val="Char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paragraph" w:customStyle="1" w:styleId="1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批注框文本 字符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文字 字符"/>
    <w:basedOn w:val="11"/>
    <w:link w:val="2"/>
    <w:qFormat/>
    <w:uiPriority w:val="0"/>
    <w:rPr>
      <w:rFonts w:ascii="等线" w:hAnsi="等线" w:eastAsia="等线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10</Company>
  <Pages>3</Pages>
  <Words>1355</Words>
  <Characters>1442</Characters>
  <Lines>12</Lines>
  <Paragraphs>3</Paragraphs>
  <TotalTime>1</TotalTime>
  <ScaleCrop>false</ScaleCrop>
  <LinksUpToDate>false</LinksUpToDate>
  <CharactersWithSpaces>1442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2024-12-19T15:31:00Z</dcterms:created>
  <dc:creator>Microsoft</dc:creator>
  <cp:lastModifiedBy>橙 汁恢</cp:lastModifiedBy>
  <cp:lastPrinted>2024-12-20T19:41:00Z</cp:lastPrinted>
  <dcterms:modified xsi:type="dcterms:W3CDTF">2025-07-30T09:51:24Z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0DC0F330DD4448AD855BD17B033A9434</vt:lpwstr>
  </property>
  <property fmtid="{D5CDD505-2E9C-101B-9397-08002B2CF9AE}" pid="4" name="KSOTemplateDocerSaveRecord">
    <vt:lpwstr>eyJoZGlkIjoiZTdiNThjMDlmMTk4ZTI0M2UwNjA2OWY4NmFhZmMzZDgiLCJ1c2VySWQiOiIyNzg3MDUxMTMifQ==</vt:lpwstr>
  </property>
</Properties>
</file>