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95E8" w14:textId="77777777" w:rsidR="000A2BBA" w:rsidRDefault="000A2BBA" w:rsidP="000A2BBA">
      <w:pPr>
        <w:spacing w:line="580" w:lineRule="exact"/>
        <w:jc w:val="left"/>
        <w:rPr>
          <w:rFonts w:ascii="黑体" w:eastAsia="黑体" w:hAnsi="黑体" w:cs="黑体"/>
        </w:rPr>
      </w:pPr>
      <w:r>
        <w:rPr>
          <w:rFonts w:ascii="黑体" w:eastAsia="黑体" w:hAnsi="黑体" w:cs="黑体" w:hint="eastAsia"/>
        </w:rPr>
        <w:t>附件2</w:t>
      </w:r>
    </w:p>
    <w:p w14:paraId="0C88E6E9" w14:textId="77777777" w:rsidR="000A2BBA" w:rsidRDefault="000A2BBA" w:rsidP="000A2BBA">
      <w:pPr>
        <w:spacing w:line="580" w:lineRule="exact"/>
        <w:jc w:val="left"/>
        <w:rPr>
          <w:rFonts w:ascii="黑体" w:eastAsia="黑体" w:hAnsi="黑体" w:cs="黑体" w:hint="eastAsia"/>
        </w:rPr>
      </w:pPr>
    </w:p>
    <w:p w14:paraId="7B0F3568" w14:textId="77777777" w:rsidR="000A2BBA" w:rsidRDefault="000A2BBA" w:rsidP="000A2BBA">
      <w:pPr>
        <w:pStyle w:val="ae"/>
        <w:widowControl/>
        <w:spacing w:before="0" w:beforeAutospacing="0" w:after="0" w:afterAutospacing="0" w:line="580" w:lineRule="exact"/>
        <w:jc w:val="center"/>
        <w:rPr>
          <w:rFonts w:ascii="创艺简标宋" w:eastAsia="创艺简标宋" w:hAnsi="创艺简标宋" w:cs="创艺简标宋"/>
          <w:sz w:val="44"/>
          <w:szCs w:val="44"/>
        </w:rPr>
      </w:pPr>
      <w:r>
        <w:rPr>
          <w:rFonts w:ascii="创艺简标宋" w:eastAsia="创艺简标宋" w:hAnsi="创艺简标宋" w:cs="创艺简标宋"/>
          <w:sz w:val="44"/>
          <w:szCs w:val="44"/>
        </w:rPr>
        <w:t>创新挑战赛（宁波）管理办法（修订）</w:t>
      </w:r>
    </w:p>
    <w:p w14:paraId="1180E2E6" w14:textId="77777777" w:rsidR="000A2BBA" w:rsidRDefault="000A2BBA" w:rsidP="000A2BBA">
      <w:pPr>
        <w:keepNext/>
        <w:keepLines/>
        <w:adjustRightInd w:val="0"/>
        <w:snapToGrid w:val="0"/>
        <w:spacing w:line="580" w:lineRule="exact"/>
        <w:jc w:val="center"/>
        <w:outlineLvl w:val="0"/>
        <w:rPr>
          <w:rFonts w:ascii="楷体_GB2312" w:eastAsia="楷体_GB2312" w:hAnsi="楷体_GB2312" w:cs="楷体_GB2312" w:hint="eastAsia"/>
          <w:bCs/>
          <w:kern w:val="44"/>
        </w:rPr>
      </w:pPr>
      <w:r>
        <w:rPr>
          <w:rFonts w:ascii="楷体_GB2312" w:eastAsia="楷体_GB2312" w:hAnsi="楷体_GB2312" w:cs="楷体_GB2312" w:hint="eastAsia"/>
        </w:rPr>
        <w:t>（征求意见稿）</w:t>
      </w:r>
    </w:p>
    <w:p w14:paraId="188D5ECF" w14:textId="77777777" w:rsidR="000A2BBA" w:rsidRDefault="000A2BBA" w:rsidP="000A2BBA">
      <w:pPr>
        <w:keepNext/>
        <w:keepLines/>
        <w:adjustRightInd w:val="0"/>
        <w:snapToGrid w:val="0"/>
        <w:spacing w:line="580" w:lineRule="exact"/>
        <w:jc w:val="center"/>
        <w:outlineLvl w:val="0"/>
        <w:rPr>
          <w:rFonts w:eastAsia="黑体" w:cs="仿宋_GB2312"/>
          <w:bCs/>
          <w:kern w:val="44"/>
          <w:szCs w:val="44"/>
        </w:rPr>
      </w:pPr>
    </w:p>
    <w:p w14:paraId="027AE918" w14:textId="77777777" w:rsidR="000A2BBA" w:rsidRDefault="000A2BBA" w:rsidP="000A2BBA">
      <w:pPr>
        <w:overflowPunct w:val="0"/>
        <w:autoSpaceDE w:val="0"/>
        <w:autoSpaceDN w:val="0"/>
        <w:spacing w:line="580" w:lineRule="exact"/>
        <w:jc w:val="center"/>
        <w:textAlignment w:val="baseline"/>
        <w:outlineLvl w:val="0"/>
        <w:rPr>
          <w:rFonts w:eastAsia="黑体"/>
          <w:spacing w:val="-3"/>
        </w:rPr>
      </w:pPr>
      <w:r>
        <w:rPr>
          <w:rFonts w:eastAsia="黑体"/>
          <w:spacing w:val="-3"/>
        </w:rPr>
        <w:t>第一章</w:t>
      </w:r>
      <w:r>
        <w:rPr>
          <w:rFonts w:eastAsia="黑体"/>
          <w:spacing w:val="54"/>
        </w:rPr>
        <w:t xml:space="preserve">  </w:t>
      </w:r>
      <w:r>
        <w:rPr>
          <w:rFonts w:eastAsia="黑体"/>
          <w:spacing w:val="-3"/>
        </w:rPr>
        <w:t>总则</w:t>
      </w:r>
    </w:p>
    <w:p w14:paraId="404CF28B" w14:textId="77777777" w:rsidR="000A2BBA" w:rsidRDefault="000A2BBA" w:rsidP="000A2BBA">
      <w:pPr>
        <w:overflowPunct w:val="0"/>
        <w:spacing w:line="580" w:lineRule="exact"/>
        <w:ind w:firstLineChars="200" w:firstLine="640"/>
      </w:pPr>
      <w:r>
        <w:rPr>
          <w:rFonts w:ascii="楷体_GB2312" w:eastAsia="楷体_GB2312" w:hAnsi="楷体_GB2312" w:cs="楷体_GB2312" w:hint="eastAsia"/>
        </w:rPr>
        <w:t>第一条</w:t>
      </w:r>
      <w:r>
        <w:t xml:space="preserve"> </w:t>
      </w:r>
      <w:r>
        <w:t>为进一步激发企业创新活力，强化企业创新主体地位，持续推进创新要素向企业集聚，根据《宁波市科技发展专项资金管理办法（修订）》（甬科资〔</w:t>
      </w:r>
      <w:r>
        <w:t>2022</w:t>
      </w:r>
      <w:r>
        <w:t>〕</w:t>
      </w:r>
      <w:r>
        <w:t>36</w:t>
      </w:r>
      <w:r>
        <w:t>号）等有关文件精神，参照工信部关于中国创新创业大赛创新挑战赛具体办赛要求，规范创新挑战赛（宁波）赛事组织工作，特制定本办法。</w:t>
      </w:r>
    </w:p>
    <w:p w14:paraId="63019A82" w14:textId="77777777" w:rsidR="000A2BBA" w:rsidRDefault="000A2BBA" w:rsidP="000A2BBA">
      <w:pPr>
        <w:overflowPunct w:val="0"/>
        <w:spacing w:line="580" w:lineRule="exact"/>
        <w:ind w:firstLineChars="200" w:firstLine="640"/>
      </w:pPr>
      <w:r>
        <w:rPr>
          <w:rFonts w:ascii="楷体_GB2312" w:eastAsia="楷体_GB2312" w:hAnsi="楷体_GB2312" w:cs="楷体_GB2312"/>
        </w:rPr>
        <w:t>第二条</w:t>
      </w:r>
      <w:r>
        <w:rPr>
          <w:b/>
          <w:bCs/>
        </w:rPr>
        <w:t xml:space="preserve"> </w:t>
      </w:r>
      <w:r>
        <w:t>创新挑战赛（宁波）（以下简称</w:t>
      </w:r>
      <w:r>
        <w:t>“</w:t>
      </w:r>
      <w:r>
        <w:t>挑战赛</w:t>
      </w:r>
      <w:r>
        <w:t>”</w:t>
      </w:r>
      <w:r>
        <w:t>）是由市科技局与市财政局共同举办的创新赛事。挑战赛主要围绕我市</w:t>
      </w:r>
      <w:r>
        <w:t>“361”</w:t>
      </w:r>
      <w:r>
        <w:t>现代化产业体系和</w:t>
      </w:r>
      <w:r>
        <w:t>“510”</w:t>
      </w:r>
      <w:r>
        <w:t>科技创新体系，以聚焦关键核心技术，提升企业技术创新能力，创新项目形成机制和比选方式为核心，通过</w:t>
      </w:r>
      <w:r>
        <w:t>“</w:t>
      </w:r>
      <w:r>
        <w:t>揭榜挂帅</w:t>
      </w:r>
      <w:r>
        <w:t>”</w:t>
      </w:r>
      <w:r>
        <w:t>，为企业匹配创新团队，解决技术难题，促进战略性新兴产业、高新技术产业发展，助力我市企业形成创新优势。</w:t>
      </w:r>
    </w:p>
    <w:p w14:paraId="4F91602A" w14:textId="77777777" w:rsidR="000A2BBA" w:rsidRDefault="000A2BBA" w:rsidP="000A2BBA">
      <w:pPr>
        <w:overflowPunct w:val="0"/>
        <w:spacing w:line="580" w:lineRule="exact"/>
        <w:ind w:firstLineChars="200" w:firstLine="640"/>
      </w:pPr>
      <w:r>
        <w:rPr>
          <w:rFonts w:ascii="楷体_GB2312" w:eastAsia="楷体_GB2312" w:hAnsi="楷体_GB2312" w:cs="楷体_GB2312"/>
        </w:rPr>
        <w:t>第三条</w:t>
      </w:r>
      <w:r>
        <w:rPr>
          <w:rFonts w:eastAsia="楷体"/>
        </w:rPr>
        <w:t xml:space="preserve"> </w:t>
      </w:r>
      <w:r>
        <w:t>挑战赛是实现人才、技术、资本和市场等各类创新创业要素向企业集聚，加快推进科技成果转移转化，推进大中小企业融通发展，引导社会资本和创新主体加大研发投入的重要创新活动；是优化科技创新创业生态，唱好杭甬</w:t>
      </w:r>
      <w:r>
        <w:t>“</w:t>
      </w:r>
      <w:r>
        <w:t>双城记</w:t>
      </w:r>
      <w:r>
        <w:t>”</w:t>
      </w:r>
      <w:r>
        <w:t>，推进长三角一体化深度融合发展，加快建设现代化滨</w:t>
      </w:r>
      <w:r>
        <w:lastRenderedPageBreak/>
        <w:t>海大都市和共同富裕先行市的有力支撑。</w:t>
      </w:r>
    </w:p>
    <w:p w14:paraId="17231D87" w14:textId="77777777" w:rsidR="000A2BBA" w:rsidRDefault="000A2BBA" w:rsidP="000A2BBA">
      <w:pPr>
        <w:overflowPunct w:val="0"/>
        <w:spacing w:line="580" w:lineRule="exact"/>
        <w:ind w:firstLineChars="200" w:firstLine="640"/>
      </w:pPr>
      <w:r>
        <w:rPr>
          <w:rFonts w:ascii="楷体_GB2312" w:eastAsia="楷体_GB2312" w:hAnsi="楷体_GB2312" w:cs="楷体_GB2312"/>
        </w:rPr>
        <w:t xml:space="preserve">第四条 </w:t>
      </w:r>
      <w:r>
        <w:t>挑战赛需求类别分为重大技术需求与一般技术需求。重大技术需求是指</w:t>
      </w:r>
      <w:r>
        <w:t>“</w:t>
      </w:r>
      <w:r>
        <w:t>出题企业</w:t>
      </w:r>
      <w:r>
        <w:t>”</w:t>
      </w:r>
      <w:r>
        <w:t>为实现技术自主可控或抢占科技制高点为目标，布局在未来</w:t>
      </w:r>
      <w:r>
        <w:t>3</w:t>
      </w:r>
      <w:r>
        <w:t>年内有望取得重大技术突破以带动社会经济效益显著提升的攻关项目中，针对</w:t>
      </w:r>
      <w:r>
        <w:t>“</w:t>
      </w:r>
      <w:r>
        <w:t>出题企业</w:t>
      </w:r>
      <w:r>
        <w:t>”</w:t>
      </w:r>
      <w:r>
        <w:t>短期内自身难以攻克的技术难点，委托外部科研力量利用科学技术进行协同攻关的技术需求。一般技术需求是指</w:t>
      </w:r>
      <w:r>
        <w:t>“</w:t>
      </w:r>
      <w:r>
        <w:t>出题企业</w:t>
      </w:r>
      <w:r>
        <w:t>”</w:t>
      </w:r>
      <w:r>
        <w:t>根据自身创新发展需要或为解决生产经营中具体难题，且有意向依托外部科研力量利用科学技术协同攻关的技术需求。</w:t>
      </w:r>
    </w:p>
    <w:p w14:paraId="39307798" w14:textId="77777777" w:rsidR="000A2BBA" w:rsidRDefault="000A2BBA" w:rsidP="000A2BBA">
      <w:pPr>
        <w:overflowPunct w:val="0"/>
        <w:spacing w:line="580" w:lineRule="exact"/>
        <w:ind w:firstLineChars="200" w:firstLine="640"/>
      </w:pPr>
      <w:r>
        <w:rPr>
          <w:rFonts w:ascii="楷体_GB2312" w:eastAsia="楷体_GB2312" w:hAnsi="楷体_GB2312" w:cs="楷体_GB2312"/>
        </w:rPr>
        <w:t xml:space="preserve">第五条 </w:t>
      </w:r>
      <w:r>
        <w:t>挑战赛赛事类型分为主场赛、区域专场赛、行业专场赛、企业专场赛，由市科技局确定年度赛事形式。主场赛是指面向全市全行业范围内企业开展的赛事；区域专场赛是指面向全市特定区域范围内企业开展的赛事；行业专场赛是指面向全市特定行业范围内企业开展的赛事；企业专场赛是指针对全市全行业范围内单一企业提出的技术需求开展的赛事。</w:t>
      </w:r>
    </w:p>
    <w:p w14:paraId="1368DADD" w14:textId="77777777" w:rsidR="000A2BBA" w:rsidRDefault="000A2BBA" w:rsidP="000A2BBA">
      <w:pPr>
        <w:overflowPunct w:val="0"/>
        <w:spacing w:line="580" w:lineRule="exact"/>
        <w:ind w:firstLineChars="200" w:firstLine="640"/>
      </w:pPr>
      <w:r>
        <w:rPr>
          <w:rFonts w:ascii="楷体_GB2312" w:eastAsia="楷体_GB2312" w:hAnsi="楷体_GB2312" w:cs="楷体_GB2312"/>
        </w:rPr>
        <w:t xml:space="preserve">第六条 </w:t>
      </w:r>
      <w:r>
        <w:t>挑战赛坚持赛事的公益性，遵循合法、公开、公平、公正的原则，不向参赛企业、研究机构和个人收取任何参赛费用，自觉接受有关部门和社会监督。</w:t>
      </w:r>
    </w:p>
    <w:p w14:paraId="38A0FF31" w14:textId="77777777" w:rsidR="000A2BBA" w:rsidRDefault="000A2BBA" w:rsidP="000A2BBA">
      <w:pPr>
        <w:overflowPunct w:val="0"/>
        <w:spacing w:line="580" w:lineRule="exact"/>
        <w:ind w:firstLineChars="200" w:firstLine="640"/>
      </w:pPr>
      <w:r>
        <w:rPr>
          <w:rFonts w:ascii="楷体_GB2312" w:eastAsia="楷体_GB2312" w:hAnsi="楷体_GB2312" w:cs="楷体_GB2312"/>
        </w:rPr>
        <w:t>第七条</w:t>
      </w:r>
      <w:r>
        <w:t xml:space="preserve"> </w:t>
      </w:r>
      <w:r>
        <w:t>市科技局负责挑战赛的活动方案制定、赛事活动组织，并会同市财政局研究制定有关支持政策，落实和保障赛事活动经费等。</w:t>
      </w:r>
    </w:p>
    <w:p w14:paraId="136AC967" w14:textId="77777777" w:rsidR="000A2BBA" w:rsidRDefault="000A2BBA" w:rsidP="000A2BBA">
      <w:pPr>
        <w:overflowPunct w:val="0"/>
        <w:spacing w:line="580" w:lineRule="exact"/>
        <w:ind w:firstLineChars="200" w:firstLine="640"/>
      </w:pPr>
      <w:r>
        <w:t>市财政局负责赛事资金预算的保障，会同市科技局确定</w:t>
      </w:r>
      <w:r>
        <w:lastRenderedPageBreak/>
        <w:t>资金分配方案并下达资金，并做好绩效评价等相关工作。</w:t>
      </w:r>
    </w:p>
    <w:p w14:paraId="02BD3CA7" w14:textId="77777777" w:rsidR="000A2BBA" w:rsidRDefault="000A2BBA" w:rsidP="000A2BBA">
      <w:pPr>
        <w:keepNext/>
        <w:overflowPunct w:val="0"/>
        <w:spacing w:line="580" w:lineRule="exact"/>
        <w:jc w:val="center"/>
        <w:outlineLvl w:val="0"/>
        <w:rPr>
          <w:rFonts w:eastAsia="黑体"/>
          <w:bCs/>
          <w:kern w:val="44"/>
          <w:szCs w:val="44"/>
        </w:rPr>
      </w:pPr>
      <w:r>
        <w:rPr>
          <w:rFonts w:eastAsia="黑体"/>
          <w:bCs/>
          <w:kern w:val="44"/>
          <w:szCs w:val="44"/>
        </w:rPr>
        <w:t>第二章</w:t>
      </w:r>
      <w:r>
        <w:rPr>
          <w:rFonts w:eastAsia="黑体"/>
          <w:spacing w:val="54"/>
        </w:rPr>
        <w:t xml:space="preserve">  </w:t>
      </w:r>
      <w:r>
        <w:rPr>
          <w:rFonts w:eastAsia="黑体"/>
          <w:bCs/>
          <w:kern w:val="44"/>
          <w:szCs w:val="44"/>
        </w:rPr>
        <w:t>赛事流程</w:t>
      </w:r>
    </w:p>
    <w:p w14:paraId="30CC8A0B" w14:textId="77777777" w:rsidR="000A2BBA" w:rsidRDefault="000A2BBA" w:rsidP="000A2BBA">
      <w:pPr>
        <w:overflowPunct w:val="0"/>
        <w:spacing w:line="580" w:lineRule="exact"/>
        <w:ind w:firstLineChars="200" w:firstLine="640"/>
        <w:rPr>
          <w:i/>
        </w:rPr>
      </w:pPr>
      <w:r>
        <w:rPr>
          <w:rFonts w:ascii="楷体_GB2312" w:eastAsia="楷体_GB2312" w:hAnsi="楷体_GB2312" w:cs="楷体_GB2312"/>
        </w:rPr>
        <w:t>第八条</w:t>
      </w:r>
      <w:r>
        <w:rPr>
          <w:b/>
          <w:bCs/>
        </w:rPr>
        <w:t xml:space="preserve"> </w:t>
      </w:r>
      <w:r>
        <w:rPr>
          <w:b/>
          <w:bCs/>
        </w:rPr>
        <w:t>赛事启动。</w:t>
      </w:r>
      <w:r>
        <w:t>市科技局会同市财政局制定赛事年度活动方案，公布赛事通知，召开赛事启动会议。</w:t>
      </w:r>
    </w:p>
    <w:p w14:paraId="31D88464" w14:textId="77777777" w:rsidR="000A2BBA" w:rsidRDefault="000A2BBA" w:rsidP="000A2BBA">
      <w:pPr>
        <w:overflowPunct w:val="0"/>
        <w:spacing w:line="580" w:lineRule="exact"/>
        <w:ind w:firstLineChars="200" w:firstLine="640"/>
      </w:pPr>
      <w:r>
        <w:rPr>
          <w:rFonts w:ascii="楷体_GB2312" w:eastAsia="楷体_GB2312" w:hAnsi="楷体_GB2312" w:cs="楷体_GB2312"/>
        </w:rPr>
        <w:t xml:space="preserve">第九条 </w:t>
      </w:r>
      <w:r>
        <w:rPr>
          <w:b/>
          <w:bCs/>
        </w:rPr>
        <w:t>需求征集。</w:t>
      </w:r>
      <w:r>
        <w:t>市科技局根据年度支持的重点科研领域和方向常态化公开征集挑战赛技术需求，并纳入我市技术需求库。一般技术需求征集后进入市科技大市场常规技术需求对接流程。</w:t>
      </w:r>
    </w:p>
    <w:p w14:paraId="5A5BCA3E" w14:textId="77777777" w:rsidR="000A2BBA" w:rsidRDefault="000A2BBA" w:rsidP="000A2BBA">
      <w:pPr>
        <w:overflowPunct w:val="0"/>
        <w:spacing w:line="580" w:lineRule="exact"/>
        <w:ind w:firstLineChars="200" w:firstLine="640"/>
      </w:pPr>
      <w:r>
        <w:rPr>
          <w:rFonts w:ascii="楷体_GB2312" w:eastAsia="楷体_GB2312" w:hAnsi="楷体_GB2312" w:cs="楷体_GB2312"/>
        </w:rPr>
        <w:t>第十条</w:t>
      </w:r>
      <w:r>
        <w:rPr>
          <w:rFonts w:eastAsia="楷体"/>
        </w:rPr>
        <w:t xml:space="preserve"> </w:t>
      </w:r>
      <w:r>
        <w:rPr>
          <w:b/>
          <w:bCs/>
        </w:rPr>
        <w:t>需求遴选。</w:t>
      </w:r>
      <w:r>
        <w:t>市科技局依托宁波市技术需求库、重大专项指南和市外合作地区重大技术需求名单开展重大技术需求遴选工作。</w:t>
      </w:r>
    </w:p>
    <w:p w14:paraId="0E6A852B" w14:textId="77777777" w:rsidR="000A2BBA" w:rsidRDefault="000A2BBA" w:rsidP="000A2BBA">
      <w:pPr>
        <w:overflowPunct w:val="0"/>
        <w:spacing w:line="580" w:lineRule="exact"/>
        <w:ind w:firstLineChars="200" w:firstLine="640"/>
      </w:pPr>
      <w:r>
        <w:t>技术需求库遴选是指宁波市技术需求库中的重大技术需求，经所在区（县、市）科技局、开发园区科技管理部门初审，市科技局形式审查等筛选环节后，对符合条件的重大技术需求由各区（县、市）科技局、开发园区科技管理部门出具重大技术需求推荐汇总表盖章件。</w:t>
      </w:r>
    </w:p>
    <w:p w14:paraId="27837187" w14:textId="77777777" w:rsidR="000A2BBA" w:rsidRDefault="000A2BBA" w:rsidP="000A2BBA">
      <w:pPr>
        <w:overflowPunct w:val="0"/>
        <w:spacing w:line="580" w:lineRule="exact"/>
        <w:ind w:firstLineChars="200" w:firstLine="640"/>
      </w:pPr>
      <w:r>
        <w:t>重大专项指南遴选是指面向我市重点研发计划申报指南中尚未有企业</w:t>
      </w:r>
      <w:r>
        <w:t>“</w:t>
      </w:r>
      <w:r>
        <w:t>揭榜</w:t>
      </w:r>
      <w:r>
        <w:t>”</w:t>
      </w:r>
      <w:r>
        <w:t>的技术需求，经市科技局确认后直接纳入挑战赛，支持</w:t>
      </w:r>
      <w:r>
        <w:t>“</w:t>
      </w:r>
      <w:r>
        <w:t>科技副总</w:t>
      </w:r>
      <w:r>
        <w:t>”</w:t>
      </w:r>
      <w:r>
        <w:t>辅助企业提出的技术需求。</w:t>
      </w:r>
    </w:p>
    <w:p w14:paraId="78A716A4" w14:textId="77777777" w:rsidR="000A2BBA" w:rsidRDefault="000A2BBA" w:rsidP="000A2BBA">
      <w:pPr>
        <w:overflowPunct w:val="0"/>
        <w:spacing w:line="580" w:lineRule="exact"/>
        <w:ind w:firstLineChars="200" w:firstLine="640"/>
      </w:pPr>
      <w:r>
        <w:t>市外合作地区重大技术需求，由市科技局与当地科技行政管理部门共同征集，经当地科技行政管理部门书面推荐后纳入挑战赛。</w:t>
      </w:r>
    </w:p>
    <w:p w14:paraId="3D1C802C" w14:textId="77777777" w:rsidR="000A2BBA" w:rsidRDefault="000A2BBA" w:rsidP="000A2BBA">
      <w:pPr>
        <w:overflowPunct w:val="0"/>
        <w:spacing w:line="580" w:lineRule="exact"/>
        <w:ind w:firstLineChars="200" w:firstLine="640"/>
      </w:pPr>
      <w:r>
        <w:rPr>
          <w:rFonts w:ascii="楷体_GB2312" w:eastAsia="楷体_GB2312" w:hAnsi="楷体_GB2312" w:cs="楷体_GB2312"/>
        </w:rPr>
        <w:t>第十一条</w:t>
      </w:r>
      <w:r>
        <w:rPr>
          <w:b/>
          <w:bCs/>
        </w:rPr>
        <w:t xml:space="preserve"> </w:t>
      </w:r>
      <w:r>
        <w:rPr>
          <w:b/>
          <w:bCs/>
        </w:rPr>
        <w:t>实地诊断。</w:t>
      </w:r>
      <w:r>
        <w:t>市科技局组织技术、管理、财务等多领域专家深入</w:t>
      </w:r>
      <w:r>
        <w:t>“</w:t>
      </w:r>
      <w:r>
        <w:t>出题企业</w:t>
      </w:r>
      <w:r>
        <w:t>”</w:t>
      </w:r>
      <w:r>
        <w:t>，开展重大技术需求实地诊断工</w:t>
      </w:r>
      <w:r>
        <w:lastRenderedPageBreak/>
        <w:t>作。专家团队围绕产业规模、市场前景、产业链带动效应、国内外影响力及需求解决难度、是否能实现关键技术突破等关键要素进行调研与评估，形成</w:t>
      </w:r>
      <w:r>
        <w:t>“</w:t>
      </w:r>
      <w:r>
        <w:t>一题一案</w:t>
      </w:r>
      <w:r>
        <w:t>”</w:t>
      </w:r>
      <w:r>
        <w:t>诊断表，同时提炼技术需求，为企业提供专业的指导和建议。诊断表作为挑战赛重大技术需求榜单评审的重要依据。</w:t>
      </w:r>
    </w:p>
    <w:p w14:paraId="096DF5B9" w14:textId="77777777" w:rsidR="000A2BBA" w:rsidRDefault="000A2BBA" w:rsidP="000A2BBA">
      <w:pPr>
        <w:overflowPunct w:val="0"/>
        <w:spacing w:line="580" w:lineRule="exact"/>
        <w:ind w:firstLineChars="200" w:firstLine="640"/>
      </w:pPr>
      <w:r>
        <w:rPr>
          <w:rFonts w:ascii="楷体_GB2312" w:eastAsia="楷体_GB2312" w:hAnsi="楷体_GB2312" w:cs="楷体_GB2312"/>
        </w:rPr>
        <w:t>第十二条</w:t>
      </w:r>
      <w:r>
        <w:rPr>
          <w:rFonts w:eastAsia="仿宋"/>
        </w:rPr>
        <w:t xml:space="preserve"> </w:t>
      </w:r>
      <w:r>
        <w:rPr>
          <w:b/>
          <w:bCs/>
        </w:rPr>
        <w:t>凝练发榜。</w:t>
      </w:r>
      <w:r>
        <w:t>市科技局（或委托专业服务机构）组织专家对重大技术需求进行评审，由市科技局审议，明确列入榜单，研究确定最高悬赏金额后发榜，其余的重大技术需求进入市科技大市场常规技术需求对接流程。评审内容主要包括技术需求重大性和先进性、项目技术路线可行性、研发成果可转化性、项目预算合理性、</w:t>
      </w:r>
      <w:r>
        <w:t>“</w:t>
      </w:r>
      <w:r>
        <w:t>出题企业</w:t>
      </w:r>
      <w:r>
        <w:t>”</w:t>
      </w:r>
      <w:r>
        <w:t>的承担能力和研发基础等方面。</w:t>
      </w:r>
    </w:p>
    <w:p w14:paraId="5A787699" w14:textId="77777777" w:rsidR="000A2BBA" w:rsidRDefault="000A2BBA" w:rsidP="000A2BBA">
      <w:pPr>
        <w:overflowPunct w:val="0"/>
        <w:spacing w:line="580" w:lineRule="exact"/>
        <w:ind w:firstLineChars="200" w:firstLine="640"/>
      </w:pPr>
      <w:r>
        <w:rPr>
          <w:rFonts w:ascii="楷体_GB2312" w:eastAsia="楷体_GB2312" w:hAnsi="楷体_GB2312" w:cs="楷体_GB2312"/>
        </w:rPr>
        <w:t>第十三条</w:t>
      </w:r>
      <w:r>
        <w:rPr>
          <w:b/>
          <w:bCs/>
        </w:rPr>
        <w:t xml:space="preserve"> </w:t>
      </w:r>
      <w:r>
        <w:rPr>
          <w:b/>
          <w:bCs/>
        </w:rPr>
        <w:t>解决方案征集。</w:t>
      </w:r>
      <w:r>
        <w:t>针对挑战赛重大技术需求榜单，市科技局面向国内外征集揭榜团队。秉持</w:t>
      </w:r>
      <w:r>
        <w:t>“</w:t>
      </w:r>
      <w:r>
        <w:t>谁能干让谁干</w:t>
      </w:r>
      <w:r>
        <w:t>”</w:t>
      </w:r>
      <w:r>
        <w:t>的原则，坚持</w:t>
      </w:r>
      <w:r>
        <w:t>“</w:t>
      </w:r>
      <w:r>
        <w:t>创新不问出身，英雄不论出处</w:t>
      </w:r>
      <w:r>
        <w:t>”</w:t>
      </w:r>
      <w:r>
        <w:t>，不以</w:t>
      </w:r>
      <w:r>
        <w:t>“</w:t>
      </w:r>
      <w:r>
        <w:t>论文、职称、学历、奖项</w:t>
      </w:r>
      <w:r>
        <w:t>”</w:t>
      </w:r>
      <w:r>
        <w:t>等条件设置门槛，着重考量揭榜团队的科研能力和科研条件。市科技局组织揭榜团队与</w:t>
      </w:r>
      <w:r>
        <w:t>“</w:t>
      </w:r>
      <w:r>
        <w:t>出题企业</w:t>
      </w:r>
      <w:r>
        <w:t>”</w:t>
      </w:r>
      <w:r>
        <w:t>充分对接，揭榜团队针对挑战赛重大技术需求榜单提出解决方案。</w:t>
      </w:r>
    </w:p>
    <w:p w14:paraId="5A6AB4DB" w14:textId="77777777" w:rsidR="000A2BBA" w:rsidRDefault="000A2BBA" w:rsidP="000A2BBA">
      <w:pPr>
        <w:overflowPunct w:val="0"/>
        <w:spacing w:line="580" w:lineRule="exact"/>
        <w:ind w:firstLineChars="200" w:firstLine="640"/>
      </w:pPr>
      <w:r>
        <w:rPr>
          <w:rFonts w:ascii="楷体_GB2312" w:eastAsia="楷体_GB2312" w:hAnsi="楷体_GB2312" w:cs="楷体_GB2312"/>
        </w:rPr>
        <w:t>第十四条</w:t>
      </w:r>
      <w:r>
        <w:rPr>
          <w:rFonts w:eastAsia="黑体"/>
        </w:rPr>
        <w:t xml:space="preserve"> </w:t>
      </w:r>
      <w:r>
        <w:rPr>
          <w:b/>
          <w:bCs/>
        </w:rPr>
        <w:t>现场赛。</w:t>
      </w:r>
      <w:r>
        <w:t>市科技局负责组织重大技术需求现场赛活动。一个榜单须至少三个技术团队入围现场赛，少于三个技术团队的榜单不开展现场挑战，该榜单技术需求进入市科技大市场常规技术需求对接流程。入围现场赛技术团队名单由市科技局会同</w:t>
      </w:r>
      <w:r>
        <w:t>“</w:t>
      </w:r>
      <w:r>
        <w:t>出题企业</w:t>
      </w:r>
      <w:r>
        <w:t>”</w:t>
      </w:r>
      <w:r>
        <w:t>共同确定。市科技局组织专</w:t>
      </w:r>
      <w:r>
        <w:lastRenderedPageBreak/>
        <w:t>家，以现场答辩、现场评审、现场亮分的形式，综合解决方案的技术性、匹配度和合作前景等方面进行评审，为</w:t>
      </w:r>
      <w:r>
        <w:t>“</w:t>
      </w:r>
      <w:r>
        <w:t>出题企业</w:t>
      </w:r>
      <w:r>
        <w:t>”</w:t>
      </w:r>
      <w:r>
        <w:t>寻求最佳解决方案和揭榜团队。</w:t>
      </w:r>
    </w:p>
    <w:p w14:paraId="4AA91744" w14:textId="77777777" w:rsidR="000A2BBA" w:rsidRDefault="000A2BBA" w:rsidP="000A2BBA">
      <w:pPr>
        <w:overflowPunct w:val="0"/>
        <w:spacing w:line="580" w:lineRule="exact"/>
        <w:ind w:firstLineChars="200" w:firstLine="640"/>
      </w:pPr>
      <w:r>
        <w:rPr>
          <w:rFonts w:ascii="楷体_GB2312" w:eastAsia="楷体_GB2312" w:hAnsi="楷体_GB2312" w:cs="楷体_GB2312"/>
        </w:rPr>
        <w:t>第十五条</w:t>
      </w:r>
      <w:r>
        <w:rPr>
          <w:rFonts w:eastAsia="黑体"/>
        </w:rPr>
        <w:t xml:space="preserve"> </w:t>
      </w:r>
      <w:r>
        <w:rPr>
          <w:b/>
          <w:bCs/>
        </w:rPr>
        <w:t>重大专项立项。</w:t>
      </w:r>
      <w:r>
        <w:t>现场赛后两个月内，</w:t>
      </w:r>
      <w:r>
        <w:t>“</w:t>
      </w:r>
      <w:r>
        <w:t>重大技术需求出题企业</w:t>
      </w:r>
      <w:r>
        <w:t>”</w:t>
      </w:r>
      <w:r>
        <w:t>与该需求现场挑战第一名的揭榜团队签订技术合同，并按要求提交挑战赛重大专项申报。市科技局对项目进行审议决策，并会同市财政局确定立项项目，项目列为宁波市重点研发计划项目统一管理。</w:t>
      </w:r>
    </w:p>
    <w:p w14:paraId="53EE6025" w14:textId="77777777" w:rsidR="000A2BBA" w:rsidRDefault="000A2BBA" w:rsidP="000A2BBA">
      <w:pPr>
        <w:keepNext/>
        <w:overflowPunct w:val="0"/>
        <w:spacing w:line="580" w:lineRule="exact"/>
        <w:jc w:val="center"/>
        <w:outlineLvl w:val="0"/>
        <w:rPr>
          <w:rFonts w:eastAsia="黑体"/>
          <w:bCs/>
          <w:kern w:val="44"/>
          <w:szCs w:val="44"/>
        </w:rPr>
      </w:pPr>
      <w:r>
        <w:rPr>
          <w:rFonts w:eastAsia="黑体"/>
          <w:bCs/>
          <w:kern w:val="44"/>
          <w:szCs w:val="44"/>
        </w:rPr>
        <w:t>第三章</w:t>
      </w:r>
      <w:r>
        <w:rPr>
          <w:rFonts w:eastAsia="黑体"/>
          <w:spacing w:val="54"/>
        </w:rPr>
        <w:t xml:space="preserve">  </w:t>
      </w:r>
      <w:r>
        <w:rPr>
          <w:rFonts w:eastAsia="黑体"/>
          <w:bCs/>
          <w:kern w:val="44"/>
          <w:szCs w:val="44"/>
        </w:rPr>
        <w:t>参赛要求</w:t>
      </w:r>
    </w:p>
    <w:p w14:paraId="7AEB607A" w14:textId="77777777" w:rsidR="000A2BBA" w:rsidRDefault="000A2BBA" w:rsidP="000A2BBA">
      <w:pPr>
        <w:overflowPunct w:val="0"/>
        <w:spacing w:line="580" w:lineRule="exact"/>
        <w:ind w:firstLineChars="200" w:firstLine="640"/>
      </w:pPr>
      <w:r>
        <w:rPr>
          <w:rFonts w:ascii="楷体_GB2312" w:eastAsia="楷体_GB2312" w:hAnsi="楷体_GB2312" w:cs="楷体_GB2312"/>
        </w:rPr>
        <w:t>第十六条</w:t>
      </w:r>
      <w:r>
        <w:rPr>
          <w:rFonts w:eastAsia="黑体"/>
        </w:rPr>
        <w:t xml:space="preserve"> </w:t>
      </w:r>
      <w:r>
        <w:t>重大技术需求</w:t>
      </w:r>
      <w:r>
        <w:t>“</w:t>
      </w:r>
      <w:r>
        <w:t>出题企业</w:t>
      </w:r>
      <w:r>
        <w:t>”</w:t>
      </w:r>
      <w:r>
        <w:t>须明确参加四个赛事类型中的其中一个，且需满足以下要求：一是支持具有独立法人资格的高新技术企业，重点支持国家级制造业</w:t>
      </w:r>
      <w:r>
        <w:t>“</w:t>
      </w:r>
      <w:r>
        <w:t>单项冠军</w:t>
      </w:r>
      <w:r>
        <w:t>”</w:t>
      </w:r>
      <w:r>
        <w:t>企业、专精特新</w:t>
      </w:r>
      <w:r>
        <w:t>“</w:t>
      </w:r>
      <w:r>
        <w:t>小巨人</w:t>
      </w:r>
      <w:r>
        <w:t>”</w:t>
      </w:r>
      <w:r>
        <w:t>企业，围绕主营业务和未来发展需要提出重大技术需求。二是上一年度纳入研究与试验发展（</w:t>
      </w:r>
      <w:r>
        <w:t>R&amp;D</w:t>
      </w:r>
      <w:r>
        <w:t>）经费的统计范围，且上一年度研发投入不低于</w:t>
      </w:r>
      <w:r>
        <w:t>1000</w:t>
      </w:r>
      <w:r>
        <w:t>万元。三是企业近三年未纳入挑战赛立项项目支持范围。</w:t>
      </w:r>
    </w:p>
    <w:p w14:paraId="32E11DE2" w14:textId="77777777" w:rsidR="000A2BBA" w:rsidRDefault="000A2BBA" w:rsidP="000A2BBA">
      <w:pPr>
        <w:overflowPunct w:val="0"/>
        <w:spacing w:line="580" w:lineRule="exact"/>
        <w:ind w:firstLineChars="200" w:firstLine="640"/>
      </w:pPr>
      <w:r>
        <w:rPr>
          <w:rFonts w:ascii="楷体_GB2312" w:eastAsia="楷体_GB2312" w:hAnsi="楷体_GB2312" w:cs="楷体_GB2312"/>
        </w:rPr>
        <w:t>第十七条</w:t>
      </w:r>
      <w:r>
        <w:rPr>
          <w:rFonts w:eastAsia="黑体"/>
        </w:rPr>
        <w:t xml:space="preserve"> </w:t>
      </w:r>
      <w:r>
        <w:t>重大技术需求揭榜牵头团队所在单位一般为高校院所、产业技术研究院、新型研发机构等研究型单位；多个团队联合作为揭榜团队，须明确</w:t>
      </w:r>
      <w:r>
        <w:t>1</w:t>
      </w:r>
      <w:r>
        <w:t>个团队作为牵头团队，其余联合团队数量不超过</w:t>
      </w:r>
      <w:r>
        <w:t>1</w:t>
      </w:r>
      <w:r>
        <w:t>个；曾成功揭榜并合作的</w:t>
      </w:r>
      <w:r>
        <w:t>“</w:t>
      </w:r>
      <w:r>
        <w:t>出题企业</w:t>
      </w:r>
      <w:r>
        <w:t>”</w:t>
      </w:r>
      <w:r>
        <w:t>与技术团队，双方再次合作的项目将不再纳入挑战赛立项支持。市外合作地区的揭榜单位要求为独立法人单位。</w:t>
      </w:r>
    </w:p>
    <w:p w14:paraId="014440CB" w14:textId="77777777" w:rsidR="000A2BBA" w:rsidRDefault="000A2BBA" w:rsidP="000A2BBA">
      <w:pPr>
        <w:keepNext/>
        <w:overflowPunct w:val="0"/>
        <w:spacing w:line="580" w:lineRule="exact"/>
        <w:jc w:val="center"/>
        <w:outlineLvl w:val="0"/>
        <w:rPr>
          <w:rFonts w:eastAsia="黑体"/>
          <w:bCs/>
          <w:kern w:val="44"/>
          <w:szCs w:val="44"/>
        </w:rPr>
      </w:pPr>
      <w:r>
        <w:rPr>
          <w:rFonts w:eastAsia="黑体"/>
          <w:bCs/>
          <w:kern w:val="44"/>
          <w:szCs w:val="44"/>
        </w:rPr>
        <w:t>第四章</w:t>
      </w:r>
      <w:r>
        <w:rPr>
          <w:rFonts w:eastAsia="黑体"/>
          <w:spacing w:val="54"/>
        </w:rPr>
        <w:t xml:space="preserve">  </w:t>
      </w:r>
      <w:r>
        <w:rPr>
          <w:rFonts w:eastAsia="黑体"/>
          <w:bCs/>
          <w:kern w:val="44"/>
          <w:szCs w:val="44"/>
        </w:rPr>
        <w:t>赛事支持</w:t>
      </w:r>
    </w:p>
    <w:p w14:paraId="32766F7C" w14:textId="77777777" w:rsidR="000A2BBA" w:rsidRDefault="000A2BBA" w:rsidP="000A2BBA">
      <w:pPr>
        <w:overflowPunct w:val="0"/>
        <w:spacing w:line="580" w:lineRule="exact"/>
        <w:ind w:firstLineChars="200" w:firstLine="640"/>
      </w:pPr>
      <w:r>
        <w:rPr>
          <w:rFonts w:ascii="楷体_GB2312" w:eastAsia="楷体_GB2312" w:hAnsi="楷体_GB2312" w:cs="楷体_GB2312"/>
        </w:rPr>
        <w:t>第十八条</w:t>
      </w:r>
      <w:r>
        <w:rPr>
          <w:b/>
          <w:bCs/>
        </w:rPr>
        <w:t xml:space="preserve"> </w:t>
      </w:r>
      <w:r>
        <w:t>挑战赛设立重大技术需求解决方案优胜奖和</w:t>
      </w:r>
      <w:r>
        <w:lastRenderedPageBreak/>
        <w:t>优秀奖，对挑战赛现场赛优秀解决方案进行表彰。</w:t>
      </w:r>
    </w:p>
    <w:p w14:paraId="049FA352" w14:textId="77777777" w:rsidR="000A2BBA" w:rsidRDefault="000A2BBA" w:rsidP="000A2BBA">
      <w:pPr>
        <w:overflowPunct w:val="0"/>
        <w:spacing w:line="580" w:lineRule="exact"/>
        <w:ind w:firstLineChars="200" w:firstLine="640"/>
      </w:pPr>
      <w:r>
        <w:rPr>
          <w:rFonts w:ascii="楷体_GB2312" w:eastAsia="楷体_GB2312" w:hAnsi="楷体_GB2312" w:cs="楷体_GB2312"/>
        </w:rPr>
        <w:t xml:space="preserve">第十九条 </w:t>
      </w:r>
      <w:r>
        <w:t>挑战赛重大技术需求揭榜成功并与第一名签订技术合同的项目纳入宁波市重点研发计划支持。项目承担单位要求为</w:t>
      </w:r>
      <w:r>
        <w:t>“</w:t>
      </w:r>
      <w:r>
        <w:t>出题企业</w:t>
      </w:r>
      <w:r>
        <w:t>”</w:t>
      </w:r>
      <w:r>
        <w:t>，市外合作地区的项目承担单位要求为我市揭榜团队。挑战赛重大专项资助总额与双方所达成的技术合同金额挂钩，不超过双方技术合同金额，且不超过项目总投入的</w:t>
      </w:r>
      <w:r>
        <w:t>20%</w:t>
      </w:r>
      <w:r>
        <w:t>，最高</w:t>
      </w:r>
      <w:r>
        <w:t>500</w:t>
      </w:r>
      <w:r>
        <w:t>万元。</w:t>
      </w:r>
      <w:r>
        <w:t>“</w:t>
      </w:r>
      <w:r>
        <w:t>出题企业</w:t>
      </w:r>
      <w:r>
        <w:t>”</w:t>
      </w:r>
      <w:r>
        <w:t>或市外合作地区需求方完成委托研发费用支付，经市科技局审议决策后拨付。</w:t>
      </w:r>
    </w:p>
    <w:p w14:paraId="7B493366" w14:textId="77777777" w:rsidR="000A2BBA" w:rsidRDefault="000A2BBA" w:rsidP="000A2BBA">
      <w:pPr>
        <w:overflowPunct w:val="0"/>
        <w:spacing w:line="580" w:lineRule="exact"/>
        <w:ind w:firstLineChars="200" w:firstLine="640"/>
      </w:pPr>
      <w:r>
        <w:t>资助经费分</w:t>
      </w:r>
      <w:r>
        <w:t>3</w:t>
      </w:r>
      <w:r>
        <w:t>批拨付，首批拨付额度根据实际发生委托研发费用且不超过资助总额的</w:t>
      </w:r>
      <w:r>
        <w:t>40%</w:t>
      </w:r>
      <w:r>
        <w:t>拨付；项目中期检查通过后，第二批拨付额度根据已支付的委托研发费用且拨付额度累计不超过资助总额的</w:t>
      </w:r>
      <w:r>
        <w:t>80%</w:t>
      </w:r>
      <w:r>
        <w:t>拨付；剩余资金待全部委托研发费用支付完结且项目通过验收后拨付。鼓励以</w:t>
      </w:r>
      <w:r>
        <w:t>“</w:t>
      </w:r>
      <w:r>
        <w:t>拨改投</w:t>
      </w:r>
      <w:r>
        <w:t>”</w:t>
      </w:r>
      <w:r>
        <w:t>方式出资，可适当提高资金支持额度。</w:t>
      </w:r>
    </w:p>
    <w:p w14:paraId="4245D7DD" w14:textId="77777777" w:rsidR="000A2BBA" w:rsidRDefault="000A2BBA" w:rsidP="000A2BBA">
      <w:pPr>
        <w:overflowPunct w:val="0"/>
        <w:spacing w:line="580" w:lineRule="exact"/>
        <w:ind w:firstLineChars="200" w:firstLine="640"/>
      </w:pPr>
      <w:r>
        <w:rPr>
          <w:rFonts w:ascii="楷体_GB2312" w:eastAsia="楷体_GB2312" w:hAnsi="楷体_GB2312" w:cs="楷体_GB2312"/>
        </w:rPr>
        <w:t>第二十条</w:t>
      </w:r>
      <w:r>
        <w:rPr>
          <w:b/>
          <w:bCs/>
        </w:rPr>
        <w:t xml:space="preserve"> </w:t>
      </w:r>
      <w:r>
        <w:t>支持各区（县、市）科技局、开发园区科技管理部门加强创新氛围营造承办挑战赛，会同财政主管部门设立地方奖项，并为参赛企业提供政策支持和多元化服务。</w:t>
      </w:r>
    </w:p>
    <w:p w14:paraId="0C7708A3" w14:textId="77777777" w:rsidR="000A2BBA" w:rsidRDefault="000A2BBA" w:rsidP="000A2BBA">
      <w:pPr>
        <w:overflowPunct w:val="0"/>
        <w:spacing w:line="580" w:lineRule="exact"/>
        <w:jc w:val="center"/>
        <w:rPr>
          <w:rFonts w:eastAsia="黑体"/>
          <w:bCs/>
          <w:kern w:val="44"/>
          <w:szCs w:val="44"/>
        </w:rPr>
      </w:pPr>
      <w:r>
        <w:rPr>
          <w:rFonts w:eastAsia="黑体"/>
          <w:bCs/>
          <w:kern w:val="44"/>
          <w:szCs w:val="44"/>
        </w:rPr>
        <w:t>第五章</w:t>
      </w:r>
      <w:r>
        <w:rPr>
          <w:rFonts w:eastAsia="黑体"/>
          <w:spacing w:val="54"/>
        </w:rPr>
        <w:t xml:space="preserve">  </w:t>
      </w:r>
      <w:r>
        <w:rPr>
          <w:rFonts w:eastAsia="黑体"/>
          <w:bCs/>
          <w:kern w:val="44"/>
          <w:szCs w:val="44"/>
        </w:rPr>
        <w:t>赛事监督</w:t>
      </w:r>
    </w:p>
    <w:p w14:paraId="4D931667" w14:textId="77777777" w:rsidR="000A2BBA" w:rsidRDefault="000A2BBA" w:rsidP="000A2BBA">
      <w:pPr>
        <w:overflowPunct w:val="0"/>
        <w:spacing w:line="580" w:lineRule="exact"/>
        <w:ind w:firstLineChars="200" w:firstLine="640"/>
      </w:pPr>
      <w:r>
        <w:rPr>
          <w:rFonts w:ascii="楷体_GB2312" w:eastAsia="楷体_GB2312" w:hAnsi="楷体_GB2312" w:cs="楷体_GB2312"/>
        </w:rPr>
        <w:t>第二十一条</w:t>
      </w:r>
      <w:r>
        <w:rPr>
          <w:b/>
        </w:rPr>
        <w:t xml:space="preserve"> </w:t>
      </w:r>
      <w:r>
        <w:t>建立全过程嵌入式的监督评估机制。市科技局会同市财政局等有关部门对赛事组织、专家选用、评审立项（揭榜挂帅）、实施与验收等工作中相关主体的行为规范、工作纪律、履职尽责情况等进行监督，并作出相应处理决定。</w:t>
      </w:r>
    </w:p>
    <w:p w14:paraId="1ECF484F" w14:textId="77777777" w:rsidR="000A2BBA" w:rsidRDefault="000A2BBA" w:rsidP="000A2BBA">
      <w:pPr>
        <w:overflowPunct w:val="0"/>
        <w:spacing w:line="580" w:lineRule="exact"/>
        <w:ind w:firstLineChars="200" w:firstLine="640"/>
      </w:pPr>
      <w:r>
        <w:rPr>
          <w:rFonts w:ascii="楷体_GB2312" w:eastAsia="楷体_GB2312" w:hAnsi="楷体_GB2312" w:cs="楷体_GB2312"/>
        </w:rPr>
        <w:lastRenderedPageBreak/>
        <w:t>第二十二条</w:t>
      </w:r>
      <w:r>
        <w:rPr>
          <w:b/>
        </w:rPr>
        <w:t xml:space="preserve"> </w:t>
      </w:r>
      <w:r>
        <w:t>实施科研诚信承诺制度，从事赛事组织、推荐、评审、评估评价等工作的相关企业、团队签署科研诚信承诺书，明确承诺事项和违背承诺的处理要求。市科技局对参赛单位开展科研诚信审核，将具备良好的科研诚信记录作为必备条件，发现严重违背科研诚信要求的责任者，对其参赛资格和项目立项实行</w:t>
      </w:r>
      <w:r>
        <w:t>“</w:t>
      </w:r>
      <w:r>
        <w:t>一票否决</w:t>
      </w:r>
      <w:r>
        <w:t>”</w:t>
      </w:r>
      <w:r>
        <w:t>。</w:t>
      </w:r>
    </w:p>
    <w:p w14:paraId="1115BED7" w14:textId="77777777" w:rsidR="000A2BBA" w:rsidRDefault="000A2BBA" w:rsidP="000A2BBA">
      <w:pPr>
        <w:overflowPunct w:val="0"/>
        <w:spacing w:line="580" w:lineRule="exact"/>
        <w:ind w:firstLineChars="200" w:firstLine="640"/>
      </w:pPr>
      <w:r>
        <w:rPr>
          <w:rFonts w:ascii="楷体_GB2312" w:eastAsia="楷体_GB2312" w:hAnsi="楷体_GB2312" w:cs="楷体_GB2312"/>
        </w:rPr>
        <w:t>第二十三条</w:t>
      </w:r>
      <w:r>
        <w:rPr>
          <w:b/>
        </w:rPr>
        <w:t xml:space="preserve"> </w:t>
      </w:r>
      <w:r>
        <w:t>纳入宁波市重点研发计划支持挑战赛重大技术需求，按照《宁波市科技计划项目管理办法（修订）》（甬科资〔</w:t>
      </w:r>
      <w:r>
        <w:t>2023</w:t>
      </w:r>
      <w:r>
        <w:t>〕</w:t>
      </w:r>
      <w:r>
        <w:t>33</w:t>
      </w:r>
      <w:r>
        <w:t>号）、《宁波市科技计划项目验收管理细则》（甬科资〔</w:t>
      </w:r>
      <w:r>
        <w:t>2019</w:t>
      </w:r>
      <w:r>
        <w:t>〕</w:t>
      </w:r>
      <w:r>
        <w:t>99</w:t>
      </w:r>
      <w:r>
        <w:t>号）、《宁波市科技发展专项资金管理办法（修订）》（甬科资〔</w:t>
      </w:r>
      <w:r>
        <w:t>2022</w:t>
      </w:r>
      <w:r>
        <w:t>〕</w:t>
      </w:r>
      <w:r>
        <w:t>36</w:t>
      </w:r>
      <w:r>
        <w:t>号）等相关规定执行。建立健全挑战赛重大专项绩效评估评价机制。项目实施完成后，开展攻关成果追溯与专家评审绩效回溯，突出成果质量、实际贡献、成果转化与经济效益，评价结果作为后续支持的重要依据。</w:t>
      </w:r>
    </w:p>
    <w:p w14:paraId="0A47042B" w14:textId="77777777" w:rsidR="000A2BBA" w:rsidRDefault="000A2BBA" w:rsidP="000A2BBA">
      <w:pPr>
        <w:overflowPunct w:val="0"/>
        <w:spacing w:line="580" w:lineRule="exact"/>
        <w:ind w:firstLineChars="200" w:firstLine="640"/>
      </w:pPr>
      <w:r>
        <w:rPr>
          <w:rFonts w:ascii="楷体_GB2312" w:eastAsia="楷体_GB2312" w:hAnsi="楷体_GB2312" w:cs="楷体_GB2312"/>
        </w:rPr>
        <w:t>第二十四条</w:t>
      </w:r>
      <w:r>
        <w:t xml:space="preserve"> </w:t>
      </w:r>
      <w:r>
        <w:t>建立和完善尽职免责机制。挑战赛项目承担单位已勤勉尽责，因受技术路线选择失误、市场风险影响或其他不可预见原因，未实现项目预定目标的，经评议认可，不予追究科研失败责任，不纳入科研信用不良记录。确有重大探索价值和应用价值的，可继续支持其选择不同技术路线开展相关研究。</w:t>
      </w:r>
    </w:p>
    <w:p w14:paraId="617792BA" w14:textId="77777777" w:rsidR="000A2BBA" w:rsidRDefault="000A2BBA" w:rsidP="000A2BBA">
      <w:pPr>
        <w:keepNext/>
        <w:overflowPunct w:val="0"/>
        <w:spacing w:line="580" w:lineRule="exact"/>
        <w:jc w:val="center"/>
        <w:outlineLvl w:val="0"/>
        <w:rPr>
          <w:rFonts w:eastAsia="黑体"/>
          <w:bCs/>
          <w:kern w:val="44"/>
          <w:szCs w:val="44"/>
        </w:rPr>
      </w:pPr>
      <w:r>
        <w:rPr>
          <w:rFonts w:eastAsia="黑体"/>
          <w:bCs/>
          <w:kern w:val="44"/>
          <w:szCs w:val="44"/>
        </w:rPr>
        <w:t>第六章</w:t>
      </w:r>
      <w:r>
        <w:rPr>
          <w:rFonts w:eastAsia="黑体"/>
          <w:spacing w:val="54"/>
        </w:rPr>
        <w:t xml:space="preserve">  </w:t>
      </w:r>
      <w:r>
        <w:rPr>
          <w:rFonts w:eastAsia="黑体"/>
          <w:bCs/>
          <w:kern w:val="44"/>
          <w:szCs w:val="44"/>
        </w:rPr>
        <w:t>附则</w:t>
      </w:r>
    </w:p>
    <w:p w14:paraId="4344D0BF" w14:textId="77777777" w:rsidR="000A2BBA" w:rsidRDefault="000A2BBA" w:rsidP="000A2BBA">
      <w:pPr>
        <w:overflowPunct w:val="0"/>
        <w:spacing w:line="580" w:lineRule="exact"/>
        <w:ind w:firstLineChars="200" w:firstLine="640"/>
      </w:pPr>
      <w:r>
        <w:rPr>
          <w:rFonts w:ascii="楷体_GB2312" w:eastAsia="楷体_GB2312" w:hAnsi="楷体_GB2312" w:cs="楷体_GB2312"/>
        </w:rPr>
        <w:t>第二十五条</w:t>
      </w:r>
      <w:r>
        <w:rPr>
          <w:b/>
          <w:bCs/>
        </w:rPr>
        <w:t xml:space="preserve"> </w:t>
      </w:r>
      <w:r>
        <w:t>本办法未尽事宜，根据《宁波市科技计划项目管理办法（修订）》（甬科资〔</w:t>
      </w:r>
      <w:r>
        <w:t>2023</w:t>
      </w:r>
      <w:r>
        <w:t>〕</w:t>
      </w:r>
      <w:r>
        <w:t>33</w:t>
      </w:r>
      <w:r>
        <w:t>号）、《宁波市科技</w:t>
      </w:r>
      <w:r>
        <w:lastRenderedPageBreak/>
        <w:t>计划项目验收管理细则》（甬科资〔</w:t>
      </w:r>
      <w:r>
        <w:t>2019</w:t>
      </w:r>
      <w:r>
        <w:t>〕</w:t>
      </w:r>
      <w:r>
        <w:t>99</w:t>
      </w:r>
      <w:r>
        <w:t>号）、《宁波市科技发展专项资金管理办法（修订）》（甬科资〔</w:t>
      </w:r>
      <w:r>
        <w:t>2022</w:t>
      </w:r>
      <w:r>
        <w:t>〕</w:t>
      </w:r>
      <w:r>
        <w:t>36</w:t>
      </w:r>
      <w:r>
        <w:t>号）等相关规定执行。</w:t>
      </w:r>
    </w:p>
    <w:p w14:paraId="42090DCC" w14:textId="77777777" w:rsidR="000A2BBA" w:rsidRDefault="000A2BBA" w:rsidP="000A2BBA">
      <w:pPr>
        <w:overflowPunct w:val="0"/>
        <w:spacing w:line="580" w:lineRule="exact"/>
        <w:ind w:firstLineChars="200" w:firstLine="640"/>
      </w:pPr>
      <w:r>
        <w:rPr>
          <w:rFonts w:ascii="楷体_GB2312" w:eastAsia="楷体_GB2312" w:hAnsi="楷体_GB2312" w:cs="楷体_GB2312"/>
        </w:rPr>
        <w:t>第二十六条</w:t>
      </w:r>
      <w:r>
        <w:rPr>
          <w:b/>
          <w:bCs/>
        </w:rPr>
        <w:t xml:space="preserve"> </w:t>
      </w:r>
      <w:r>
        <w:t>本办法由市科技局、市财政局负责解释。</w:t>
      </w:r>
    </w:p>
    <w:p w14:paraId="70631FDA" w14:textId="77777777" w:rsidR="000A2BBA" w:rsidRDefault="000A2BBA" w:rsidP="000A2BBA">
      <w:pPr>
        <w:overflowPunct w:val="0"/>
        <w:spacing w:line="580" w:lineRule="exact"/>
        <w:ind w:firstLineChars="200" w:firstLine="640"/>
      </w:pPr>
      <w:r>
        <w:rPr>
          <w:rFonts w:ascii="楷体_GB2312" w:eastAsia="楷体_GB2312" w:hAnsi="楷体_GB2312" w:cs="楷体_GB2312"/>
        </w:rPr>
        <w:t>第二十七条</w:t>
      </w:r>
      <w:r>
        <w:t xml:space="preserve"> </w:t>
      </w:r>
      <w:r>
        <w:t>本办法自印发之日起</w:t>
      </w:r>
      <w:r>
        <w:t>30</w:t>
      </w:r>
      <w:r>
        <w:t>日后起实施，有效期三年。</w:t>
      </w:r>
      <w:r>
        <w:t>2022</w:t>
      </w:r>
      <w:r>
        <w:t>年</w:t>
      </w:r>
      <w:r>
        <w:t>11</w:t>
      </w:r>
      <w:r>
        <w:t>月发布的《中国创新挑战赛（宁波）管理暂行办法》（甬科合〔</w:t>
      </w:r>
      <w:r>
        <w:t>2022</w:t>
      </w:r>
      <w:r>
        <w:t>〕</w:t>
      </w:r>
      <w:r>
        <w:t>110</w:t>
      </w:r>
      <w:r>
        <w:t>号）同时废止。</w:t>
      </w:r>
    </w:p>
    <w:p w14:paraId="25C9D8BF" w14:textId="77777777" w:rsidR="000A2BBA" w:rsidRDefault="000A2BBA" w:rsidP="000A2BBA">
      <w:pPr>
        <w:overflowPunct w:val="0"/>
        <w:spacing w:line="580" w:lineRule="exact"/>
      </w:pPr>
    </w:p>
    <w:p w14:paraId="597F1ED2" w14:textId="77777777" w:rsidR="00226C48" w:rsidRDefault="00226C48">
      <w:pPr>
        <w:rPr>
          <w:rFonts w:hint="eastAsia"/>
        </w:rPr>
      </w:pPr>
    </w:p>
    <w:sectPr w:rsidR="00226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Calibri"/>
    <w:charset w:val="00"/>
    <w:family w:val="auto"/>
    <w:pitch w:val="default"/>
  </w:font>
  <w:font w:name="楷体_GB2312">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BA"/>
    <w:rsid w:val="000A2BBA"/>
    <w:rsid w:val="00226C48"/>
    <w:rsid w:val="00CC79ED"/>
    <w:rsid w:val="00DB2D16"/>
    <w:rsid w:val="00FC2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45D4"/>
  <w15:chartTrackingRefBased/>
  <w15:docId w15:val="{B075A276-5E1A-4A21-A068-8BCBAF39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BBA"/>
    <w:pPr>
      <w:widowControl w:val="0"/>
      <w:jc w:val="both"/>
    </w:pPr>
    <w:rPr>
      <w:rFonts w:ascii="Times New Roman" w:eastAsia="仿宋_GB2312" w:hAnsi="Times New Roman" w:cs="Times New Roman"/>
      <w:sz w:val="32"/>
      <w:szCs w:val="32"/>
    </w:rPr>
  </w:style>
  <w:style w:type="paragraph" w:styleId="1">
    <w:name w:val="heading 1"/>
    <w:basedOn w:val="a"/>
    <w:next w:val="a"/>
    <w:link w:val="10"/>
    <w:uiPriority w:val="9"/>
    <w:qFormat/>
    <w:rsid w:val="000A2BB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A2BB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A2BBA"/>
    <w:pPr>
      <w:keepNext/>
      <w:keepLines/>
      <w:spacing w:before="160" w:after="80"/>
      <w:outlineLvl w:val="2"/>
    </w:pPr>
    <w:rPr>
      <w:rFonts w:asciiTheme="majorHAnsi" w:eastAsiaTheme="majorEastAsia" w:hAnsiTheme="majorHAnsi" w:cstheme="majorBidi"/>
      <w:color w:val="0F4761" w:themeColor="accent1" w:themeShade="BF"/>
    </w:rPr>
  </w:style>
  <w:style w:type="paragraph" w:styleId="4">
    <w:name w:val="heading 4"/>
    <w:basedOn w:val="a"/>
    <w:next w:val="a"/>
    <w:link w:val="40"/>
    <w:uiPriority w:val="9"/>
    <w:semiHidden/>
    <w:unhideWhenUsed/>
    <w:qFormat/>
    <w:rsid w:val="000A2BBA"/>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0A2BBA"/>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0A2BBA"/>
    <w:pPr>
      <w:keepNext/>
      <w:keepLines/>
      <w:spacing w:before="40"/>
      <w:outlineLvl w:val="5"/>
    </w:pPr>
    <w:rPr>
      <w:rFonts w:asciiTheme="minorHAnsi" w:eastAsiaTheme="minorEastAsia" w:hAnsiTheme="minorHAnsi" w:cstheme="majorBidi"/>
      <w:b/>
      <w:bCs/>
      <w:color w:val="0F4761" w:themeColor="accent1" w:themeShade="BF"/>
      <w:sz w:val="21"/>
      <w:szCs w:val="22"/>
    </w:rPr>
  </w:style>
  <w:style w:type="paragraph" w:styleId="7">
    <w:name w:val="heading 7"/>
    <w:basedOn w:val="a"/>
    <w:next w:val="a"/>
    <w:link w:val="70"/>
    <w:uiPriority w:val="9"/>
    <w:semiHidden/>
    <w:unhideWhenUsed/>
    <w:qFormat/>
    <w:rsid w:val="000A2BBA"/>
    <w:pPr>
      <w:keepNext/>
      <w:keepLines/>
      <w:spacing w:before="40"/>
      <w:outlineLvl w:val="6"/>
    </w:pPr>
    <w:rPr>
      <w:rFonts w:asciiTheme="minorHAnsi" w:eastAsiaTheme="minorEastAsia" w:hAnsiTheme="minorHAnsi" w:cstheme="majorBidi"/>
      <w:b/>
      <w:bCs/>
      <w:color w:val="595959" w:themeColor="text1" w:themeTint="A6"/>
      <w:sz w:val="21"/>
      <w:szCs w:val="22"/>
    </w:rPr>
  </w:style>
  <w:style w:type="paragraph" w:styleId="8">
    <w:name w:val="heading 8"/>
    <w:basedOn w:val="a"/>
    <w:next w:val="a"/>
    <w:link w:val="80"/>
    <w:uiPriority w:val="9"/>
    <w:semiHidden/>
    <w:unhideWhenUsed/>
    <w:qFormat/>
    <w:rsid w:val="000A2BBA"/>
    <w:pPr>
      <w:keepNext/>
      <w:keepLines/>
      <w:outlineLvl w:val="7"/>
    </w:pPr>
    <w:rPr>
      <w:rFonts w:asciiTheme="minorHAnsi" w:eastAsiaTheme="minorEastAsia" w:hAnsiTheme="minorHAnsi" w:cstheme="majorBidi"/>
      <w:color w:val="595959" w:themeColor="text1" w:themeTint="A6"/>
      <w:sz w:val="21"/>
      <w:szCs w:val="22"/>
    </w:rPr>
  </w:style>
  <w:style w:type="paragraph" w:styleId="9">
    <w:name w:val="heading 9"/>
    <w:basedOn w:val="a"/>
    <w:next w:val="a"/>
    <w:link w:val="90"/>
    <w:uiPriority w:val="9"/>
    <w:semiHidden/>
    <w:unhideWhenUsed/>
    <w:qFormat/>
    <w:rsid w:val="000A2BBA"/>
    <w:pPr>
      <w:keepNext/>
      <w:keepLines/>
      <w:outlineLvl w:val="8"/>
    </w:pPr>
    <w:rPr>
      <w:rFonts w:asciiTheme="minorHAnsi" w:eastAsiaTheme="majorEastAsia" w:hAnsiTheme="minorHAnsi" w:cstheme="majorBidi"/>
      <w:color w:val="595959" w:themeColor="text1" w:themeTint="A6"/>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BB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A2BB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A2BB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A2BBA"/>
    <w:rPr>
      <w:rFonts w:cstheme="majorBidi"/>
      <w:color w:val="0F4761" w:themeColor="accent1" w:themeShade="BF"/>
      <w:sz w:val="28"/>
      <w:szCs w:val="28"/>
    </w:rPr>
  </w:style>
  <w:style w:type="character" w:customStyle="1" w:styleId="50">
    <w:name w:val="标题 5 字符"/>
    <w:basedOn w:val="a0"/>
    <w:link w:val="5"/>
    <w:uiPriority w:val="9"/>
    <w:semiHidden/>
    <w:rsid w:val="000A2BBA"/>
    <w:rPr>
      <w:rFonts w:cstheme="majorBidi"/>
      <w:color w:val="0F4761" w:themeColor="accent1" w:themeShade="BF"/>
      <w:sz w:val="24"/>
      <w:szCs w:val="24"/>
    </w:rPr>
  </w:style>
  <w:style w:type="character" w:customStyle="1" w:styleId="60">
    <w:name w:val="标题 6 字符"/>
    <w:basedOn w:val="a0"/>
    <w:link w:val="6"/>
    <w:uiPriority w:val="9"/>
    <w:semiHidden/>
    <w:rsid w:val="000A2BBA"/>
    <w:rPr>
      <w:rFonts w:cstheme="majorBidi"/>
      <w:b/>
      <w:bCs/>
      <w:color w:val="0F4761" w:themeColor="accent1" w:themeShade="BF"/>
    </w:rPr>
  </w:style>
  <w:style w:type="character" w:customStyle="1" w:styleId="70">
    <w:name w:val="标题 7 字符"/>
    <w:basedOn w:val="a0"/>
    <w:link w:val="7"/>
    <w:uiPriority w:val="9"/>
    <w:semiHidden/>
    <w:rsid w:val="000A2BBA"/>
    <w:rPr>
      <w:rFonts w:cstheme="majorBidi"/>
      <w:b/>
      <w:bCs/>
      <w:color w:val="595959" w:themeColor="text1" w:themeTint="A6"/>
    </w:rPr>
  </w:style>
  <w:style w:type="character" w:customStyle="1" w:styleId="80">
    <w:name w:val="标题 8 字符"/>
    <w:basedOn w:val="a0"/>
    <w:link w:val="8"/>
    <w:uiPriority w:val="9"/>
    <w:semiHidden/>
    <w:rsid w:val="000A2BBA"/>
    <w:rPr>
      <w:rFonts w:cstheme="majorBidi"/>
      <w:color w:val="595959" w:themeColor="text1" w:themeTint="A6"/>
    </w:rPr>
  </w:style>
  <w:style w:type="character" w:customStyle="1" w:styleId="90">
    <w:name w:val="标题 9 字符"/>
    <w:basedOn w:val="a0"/>
    <w:link w:val="9"/>
    <w:uiPriority w:val="9"/>
    <w:semiHidden/>
    <w:rsid w:val="000A2BBA"/>
    <w:rPr>
      <w:rFonts w:eastAsiaTheme="majorEastAsia" w:cstheme="majorBidi"/>
      <w:color w:val="595959" w:themeColor="text1" w:themeTint="A6"/>
    </w:rPr>
  </w:style>
  <w:style w:type="paragraph" w:styleId="a3">
    <w:name w:val="Title"/>
    <w:basedOn w:val="a"/>
    <w:next w:val="a"/>
    <w:link w:val="a4"/>
    <w:uiPriority w:val="10"/>
    <w:qFormat/>
    <w:rsid w:val="000A2B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B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BBA"/>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 字符"/>
    <w:basedOn w:val="a0"/>
    <w:link w:val="a7"/>
    <w:uiPriority w:val="29"/>
    <w:rsid w:val="000A2BBA"/>
    <w:rPr>
      <w:i/>
      <w:iCs/>
      <w:color w:val="404040" w:themeColor="text1" w:themeTint="BF"/>
    </w:rPr>
  </w:style>
  <w:style w:type="paragraph" w:styleId="a9">
    <w:name w:val="List Paragraph"/>
    <w:basedOn w:val="a"/>
    <w:uiPriority w:val="34"/>
    <w:qFormat/>
    <w:rsid w:val="000A2BBA"/>
    <w:pPr>
      <w:ind w:left="720"/>
      <w:contextualSpacing/>
    </w:pPr>
    <w:rPr>
      <w:rFonts w:asciiTheme="minorHAnsi" w:eastAsiaTheme="minorEastAsia" w:hAnsiTheme="minorHAnsi" w:cstheme="minorBidi"/>
      <w:sz w:val="21"/>
      <w:szCs w:val="22"/>
    </w:rPr>
  </w:style>
  <w:style w:type="character" w:styleId="aa">
    <w:name w:val="Intense Emphasis"/>
    <w:basedOn w:val="a0"/>
    <w:uiPriority w:val="21"/>
    <w:qFormat/>
    <w:rsid w:val="000A2BBA"/>
    <w:rPr>
      <w:i/>
      <w:iCs/>
      <w:color w:val="0F4761" w:themeColor="accent1" w:themeShade="BF"/>
    </w:rPr>
  </w:style>
  <w:style w:type="paragraph" w:styleId="ab">
    <w:name w:val="Intense Quote"/>
    <w:basedOn w:val="a"/>
    <w:next w:val="a"/>
    <w:link w:val="ac"/>
    <w:uiPriority w:val="30"/>
    <w:qFormat/>
    <w:rsid w:val="000A2BB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ac">
    <w:name w:val="明显引用 字符"/>
    <w:basedOn w:val="a0"/>
    <w:link w:val="ab"/>
    <w:uiPriority w:val="30"/>
    <w:rsid w:val="000A2BBA"/>
    <w:rPr>
      <w:i/>
      <w:iCs/>
      <w:color w:val="0F4761" w:themeColor="accent1" w:themeShade="BF"/>
    </w:rPr>
  </w:style>
  <w:style w:type="character" w:styleId="ad">
    <w:name w:val="Intense Reference"/>
    <w:basedOn w:val="a0"/>
    <w:uiPriority w:val="32"/>
    <w:qFormat/>
    <w:rsid w:val="000A2BBA"/>
    <w:rPr>
      <w:b/>
      <w:bCs/>
      <w:smallCaps/>
      <w:color w:val="0F4761" w:themeColor="accent1" w:themeShade="BF"/>
      <w:spacing w:val="5"/>
    </w:rPr>
  </w:style>
  <w:style w:type="paragraph" w:styleId="ae">
    <w:name w:val="Normal (Web)"/>
    <w:basedOn w:val="a"/>
    <w:qFormat/>
    <w:rsid w:val="000A2BBA"/>
    <w:pPr>
      <w:spacing w:before="100" w:beforeAutospacing="1" w:after="100" w:afterAutospacing="1"/>
      <w:jc w:val="left"/>
    </w:pPr>
    <w:rPr>
      <w:rFonts w:ascii="Calibri" w:eastAsia="宋体"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1983</Words>
  <Characters>2044</Characters>
  <Application>Microsoft Office Word</Application>
  <DocSecurity>0</DocSecurity>
  <Lines>92</Lines>
  <Paragraphs>44</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章莉波</dc:creator>
  <cp:keywords/>
  <dc:description/>
  <cp:lastModifiedBy>章莉波</cp:lastModifiedBy>
  <cp:revision>1</cp:revision>
  <dcterms:created xsi:type="dcterms:W3CDTF">2025-07-30T07:24:00Z</dcterms:created>
  <dcterms:modified xsi:type="dcterms:W3CDTF">2025-07-30T07:25:00Z</dcterms:modified>
</cp:coreProperties>
</file>